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 w:line="240"/>
        <w:jc w:val="center"/>
      </w:pPr>
      <w:r>
        <w:rPr>
          <w:rFonts w:ascii="Times New Roman" w:cs="Times New Roman" w:eastAsia="Times New Roman" w:hAnsi="Times New Roman"/>
          <w:b/>
          <w:bCs/>
          <w:sz w:val="28"/>
          <w:szCs w:val="28"/>
          <w:u w:val="single"/>
        </w:rPr>
        <w:t xml:space="preserve">Records Search and Gap Disclosure Log - Criterion 10</w:t>
      </w:r>
    </w:p>
    <w:p>
      <w:pPr>
        <w:spacing w:after="120" w:before="0" w:line="276"/>
        <w:jc w:val="both"/>
      </w:pPr>
      <w:r>
        <w:rPr>
          <w:rFonts w:ascii="Times New Roman" w:cs="Times New Roman" w:eastAsia="Times New Roman" w:hAnsi="Times New Roman"/>
        </w:rPr>
        <w:t xml:space="preserve">For each past activity that may have happened but is not documented in the annex, record where the genuine original was looked for and what was found. If nothing is found, the last column gives the sentence the SAR uses to disclose the gap. No record is created after the event to fill a gap.</w:t>
      </w:r>
    </w:p>
    <w:tbl>
      <w:tblPr>
        <w:tblW w:type="dxa" w:w="14638"/>
        <w:tblBorders>
          <w:top w:val="single" w:color="auto" w:sz="4"/>
          <w:left w:val="single" w:color="auto" w:sz="4"/>
          <w:bottom w:val="single" w:color="auto" w:sz="4"/>
          <w:right w:val="single" w:color="auto" w:sz="4"/>
          <w:insideH w:val="single" w:color="auto" w:sz="4"/>
          <w:insideV w:val="single" w:color="auto" w:sz="4"/>
        </w:tblBorders>
      </w:tblPr>
      <w:tblGrid>
        <w:gridCol w:w="446"/>
        <w:gridCol w:w="4022"/>
        <w:gridCol w:w="1452"/>
        <w:gridCol w:w="2681"/>
        <w:gridCol w:w="1564"/>
        <w:gridCol w:w="893"/>
        <w:gridCol w:w="3580"/>
      </w:tblGrid>
      <w:tr>
        <w:trPr>
          <w:cantSplit/>
          <w:tblHeader/>
        </w:trPr>
        <w:tc>
          <w:tcPr>
            <w:tcW w:type="dxa" w:w="446"/>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No.</w:t>
            </w:r>
          </w:p>
        </w:tc>
        <w:tc>
          <w:tcPr>
            <w:tcW w:type="dxa" w:w="4022"/>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Record sought</w:t>
            </w:r>
          </w:p>
        </w:tc>
        <w:tc>
          <w:tcPr>
            <w:tcW w:type="dxa" w:w="1452"/>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Needed for</w:t>
            </w:r>
          </w:p>
        </w:tc>
        <w:tc>
          <w:tcPr>
            <w:tcW w:type="dxa" w:w="2681"/>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Where searched (office, e-mail, ERP, portal, person)</w:t>
            </w:r>
          </w:p>
        </w:tc>
        <w:tc>
          <w:tcPr>
            <w:tcW w:type="dxa" w:w="1564"/>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Searched by / date</w:t>
            </w:r>
          </w:p>
        </w:tc>
        <w:tc>
          <w:tcPr>
            <w:tcW w:type="dxa" w:w="893"/>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Found?</w:t>
            </w:r>
          </w:p>
        </w:tc>
        <w:tc>
          <w:tcPr>
            <w:tcW w:type="dxa" w:w="3580"/>
            <w:shd w:fill="D9D9D9" w:color="auto" w:val="clear"/>
            <w:tcMar>
              <w:top w:type="dxa" w:w="50"/>
              <w:left w:type="dxa" w:w="90"/>
              <w:bottom w:type="dxa" w:w="50"/>
              <w:right w:type="dxa" w:w="90"/>
            </w:tcMar>
            <w:vAlign w:val="center"/>
          </w:tcPr>
          <w:p>
            <w:pPr>
              <w:spacing w:after="30" w:before="0" w:line="240"/>
              <w:jc w:val="center"/>
            </w:pPr>
            <w:r>
              <w:rPr>
                <w:rFonts w:ascii="Times New Roman" w:cs="Times New Roman" w:eastAsia="Times New Roman" w:hAnsi="Times New Roman"/>
                <w:b/>
                <w:bCs/>
                <w:sz w:val="17"/>
                <w:szCs w:val="17"/>
              </w:rPr>
              <w:t xml:space="preserve">Result: Annex ID, or gap statement for the SAR</w:t>
            </w:r>
          </w:p>
        </w:tc>
      </w:tr>
      <w:tr>
        <w:trPr>
          <w:cantSplit/>
        </w:trPr>
        <w:tc>
          <w:tcPr>
            <w:tcW w:type="dxa" w:w="44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w:t>
            </w:r>
          </w:p>
        </w:tc>
        <w:tc>
          <w:tcPr>
            <w:tcW w:type="dxa" w:w="402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Alumni association notices, minutes and attendance before January 2026</w:t>
            </w:r>
          </w:p>
        </w:tc>
        <w:tc>
          <w:tcPr>
            <w:tcW w:type="dxa" w:w="145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10.2 operating process</w:t>
            </w:r>
          </w:p>
        </w:tc>
        <w:tc>
          <w:tcPr>
            <w:tcW w:type="dxa" w:w="268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56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89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358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r>
        <w:trPr>
          <w:cantSplit/>
        </w:trPr>
        <w:tc>
          <w:tcPr>
            <w:tcW w:type="dxa" w:w="44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2</w:t>
            </w:r>
          </w:p>
        </w:tc>
        <w:tc>
          <w:tcPr>
            <w:tcW w:type="dxa" w:w="402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Signed approval page of Report_1 (Medi Chatbot, Dec 2025) listing Md Meskatur Rahman, Live Technologies, as external member</w:t>
            </w:r>
          </w:p>
        </w:tc>
        <w:tc>
          <w:tcPr>
            <w:tcW w:type="dxa" w:w="145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10.4.2 industry assessment</w:t>
            </w:r>
          </w:p>
        </w:tc>
        <w:tc>
          <w:tcPr>
            <w:tcW w:type="dxa" w:w="268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56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89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358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r>
        <w:trPr>
          <w:cantSplit/>
        </w:trPr>
        <w:tc>
          <w:tcPr>
            <w:tcW w:type="dxa" w:w="44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3</w:t>
            </w:r>
          </w:p>
        </w:tc>
        <w:tc>
          <w:tcPr>
            <w:tcW w:type="dxa" w:w="402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Somoy TV visit (requested for 24/07/2025): company reply, attendance, reports</w:t>
            </w:r>
          </w:p>
        </w:tc>
        <w:tc>
          <w:tcPr>
            <w:tcW w:type="dxa" w:w="145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10.4.3</w:t>
            </w:r>
          </w:p>
        </w:tc>
        <w:tc>
          <w:tcPr>
            <w:tcW w:type="dxa" w:w="268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56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89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358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r>
        <w:trPr>
          <w:cantSplit/>
        </w:trPr>
        <w:tc>
          <w:tcPr>
            <w:tcW w:type="dxa" w:w="44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4</w:t>
            </w:r>
          </w:p>
        </w:tc>
        <w:tc>
          <w:tcPr>
            <w:tcW w:type="dxa" w:w="402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Walton Hi-Tech visit (requested for 29/07/2025): company reply, attendance, reports</w:t>
            </w:r>
          </w:p>
        </w:tc>
        <w:tc>
          <w:tcPr>
            <w:tcW w:type="dxa" w:w="145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10.4.3</w:t>
            </w:r>
          </w:p>
        </w:tc>
        <w:tc>
          <w:tcPr>
            <w:tcW w:type="dxa" w:w="268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56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89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358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r>
        <w:trPr>
          <w:cantSplit/>
        </w:trPr>
        <w:tc>
          <w:tcPr>
            <w:tcW w:type="dxa" w:w="44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5</w:t>
            </w:r>
          </w:p>
        </w:tc>
        <w:tc>
          <w:tcPr>
            <w:tcW w:type="dxa" w:w="402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Faculty who accompanied the Deepto TV (16/04/2026) and Live Technologies (08/04/2026) visits; permission letters and replies</w:t>
            </w:r>
          </w:p>
        </w:tc>
        <w:tc>
          <w:tcPr>
            <w:tcW w:type="dxa" w:w="145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10.4.3</w:t>
            </w:r>
          </w:p>
        </w:tc>
        <w:tc>
          <w:tcPr>
            <w:tcW w:type="dxa" w:w="268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56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89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358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r>
        <w:trPr>
          <w:cantSplit/>
        </w:trPr>
        <w:tc>
          <w:tcPr>
            <w:tcW w:type="dxa" w:w="44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6</w:t>
            </w:r>
          </w:p>
        </w:tc>
        <w:tc>
          <w:tcPr>
            <w:tcW w:type="dxa" w:w="402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Riseup Labs training, 24/06/2024 - 14/07/2024: placement/acceptance letters, attendance, list of all participants, host evaluation</w:t>
            </w:r>
          </w:p>
        </w:tc>
        <w:tc>
          <w:tcPr>
            <w:tcW w:type="dxa" w:w="145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10.4.1</w:t>
            </w:r>
          </w:p>
        </w:tc>
        <w:tc>
          <w:tcPr>
            <w:tcW w:type="dxa" w:w="268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56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89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358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r>
        <w:trPr>
          <w:cantSplit/>
        </w:trPr>
        <w:tc>
          <w:tcPr>
            <w:tcW w:type="dxa" w:w="44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7</w:t>
            </w:r>
          </w:p>
        </w:tc>
        <w:tc>
          <w:tcPr>
            <w:tcW w:type="dxa" w:w="402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Marks for ICE 496 / ICE 498 in the result sheets, Spring 2023 - Fall 2025</w:t>
            </w:r>
          </w:p>
        </w:tc>
        <w:tc>
          <w:tcPr>
            <w:tcW w:type="dxa" w:w="145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10.4.1 assessment</w:t>
            </w:r>
          </w:p>
        </w:tc>
        <w:tc>
          <w:tcPr>
            <w:tcW w:type="dxa" w:w="268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56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89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358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r>
        <w:trPr>
          <w:cantSplit/>
        </w:trPr>
        <w:tc>
          <w:tcPr>
            <w:tcW w:type="dxa" w:w="44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8</w:t>
            </w:r>
          </w:p>
        </w:tc>
        <w:tc>
          <w:tcPr>
            <w:tcW w:type="dxa" w:w="402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Approved course outlines of ICE 496 / ICE 498 (credits, duration)</w:t>
            </w:r>
          </w:p>
        </w:tc>
        <w:tc>
          <w:tcPr>
            <w:tcW w:type="dxa" w:w="145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10.4.1</w:t>
            </w:r>
          </w:p>
        </w:tc>
        <w:tc>
          <w:tcPr>
            <w:tcW w:type="dxa" w:w="268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56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89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358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r>
        <w:trPr>
          <w:cantSplit/>
        </w:trPr>
        <w:tc>
          <w:tcPr>
            <w:tcW w:type="dxa" w:w="44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9</w:t>
            </w:r>
          </w:p>
        </w:tc>
        <w:tc>
          <w:tcPr>
            <w:tcW w:type="dxa" w:w="402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Platform attendance log of the online alumni meeting of 28/02/2026</w:t>
            </w:r>
          </w:p>
        </w:tc>
        <w:tc>
          <w:tcPr>
            <w:tcW w:type="dxa" w:w="145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10.2</w:t>
            </w:r>
          </w:p>
        </w:tc>
        <w:tc>
          <w:tcPr>
            <w:tcW w:type="dxa" w:w="268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56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89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358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r>
        <w:trPr>
          <w:cantSplit/>
        </w:trPr>
        <w:tc>
          <w:tcPr>
            <w:tcW w:type="dxa" w:w="44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10</w:t>
            </w:r>
          </w:p>
        </w:tc>
        <w:tc>
          <w:tcPr>
            <w:tcW w:type="dxa" w:w="402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Version of the alumni minutes naming 'BASIS Bhavan, Karwan Bazar' as venue (seen by IQAC)</w:t>
            </w:r>
          </w:p>
        </w:tc>
        <w:tc>
          <w:tcPr>
            <w:tcW w:type="dxa" w:w="145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10.2</w:t>
            </w:r>
          </w:p>
        </w:tc>
        <w:tc>
          <w:tcPr>
            <w:tcW w:type="dxa" w:w="268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56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89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358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r>
        <w:trPr>
          <w:cantSplit/>
        </w:trPr>
        <w:tc>
          <w:tcPr>
            <w:tcW w:type="dxa" w:w="44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11</w:t>
            </w:r>
          </w:p>
        </w:tc>
        <w:tc>
          <w:tcPr>
            <w:tcW w:type="dxa" w:w="402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Final-year project lists for every semester, Spring 2023 - Fall 2025 (registration / result records)</w:t>
            </w:r>
          </w:p>
        </w:tc>
        <w:tc>
          <w:tcPr>
            <w:tcW w:type="dxa" w:w="145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10.4.2; SAR 6.3</w:t>
            </w:r>
          </w:p>
        </w:tc>
        <w:tc>
          <w:tcPr>
            <w:tcW w:type="dxa" w:w="268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56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89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358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r>
        <w:trPr>
          <w:cantSplit/>
        </w:trPr>
        <w:tc>
          <w:tcPr>
            <w:tcW w:type="dxa" w:w="44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12</w:t>
            </w:r>
          </w:p>
        </w:tc>
        <w:tc>
          <w:tcPr>
            <w:tcW w:type="dxa" w:w="402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Approval of the change from the Department/Program of ETE to ICE (request 00-05)</w:t>
            </w:r>
          </w:p>
        </w:tc>
        <w:tc>
          <w:tcPr>
            <w:tcW w:type="dxa" w:w="145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All</w:t>
            </w:r>
          </w:p>
        </w:tc>
        <w:tc>
          <w:tcPr>
            <w:tcW w:type="dxa" w:w="268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56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89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358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r>
        <w:trPr>
          <w:cantSplit/>
        </w:trPr>
        <w:tc>
          <w:tcPr>
            <w:tcW w:type="dxa" w:w="44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13</w:t>
            </w:r>
          </w:p>
        </w:tc>
        <w:tc>
          <w:tcPr>
            <w:tcW w:type="dxa" w:w="402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Official ICE alumni election result 2025-2026 (request 10.2-01)</w:t>
            </w:r>
          </w:p>
        </w:tc>
        <w:tc>
          <w:tcPr>
            <w:tcW w:type="dxa" w:w="145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10.2</w:t>
            </w:r>
          </w:p>
        </w:tc>
        <w:tc>
          <w:tcPr>
            <w:tcW w:type="dxa" w:w="268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56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89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358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r>
        <w:trPr>
          <w:cantSplit/>
        </w:trPr>
        <w:tc>
          <w:tcPr>
            <w:tcW w:type="dxa" w:w="44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14</w:t>
            </w:r>
          </w:p>
        </w:tc>
        <w:tc>
          <w:tcPr>
            <w:tcW w:type="dxa" w:w="402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DIU academic calendars, Spring 2023 - Fall 2025 (request 00-05)</w:t>
            </w:r>
          </w:p>
        </w:tc>
        <w:tc>
          <w:tcPr>
            <w:tcW w:type="dxa" w:w="145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All</w:t>
            </w:r>
          </w:p>
        </w:tc>
        <w:tc>
          <w:tcPr>
            <w:tcW w:type="dxa" w:w="268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56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89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358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r>
        <w:trPr>
          <w:cantSplit/>
        </w:trPr>
        <w:tc>
          <w:tcPr>
            <w:tcW w:type="dxa" w:w="44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 </w:t>
            </w:r>
          </w:p>
        </w:tc>
        <w:tc>
          <w:tcPr>
            <w:tcW w:type="dxa" w:w="402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45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268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56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89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358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r>
        <w:trPr>
          <w:cantSplit/>
        </w:trPr>
        <w:tc>
          <w:tcPr>
            <w:tcW w:type="dxa" w:w="44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 </w:t>
            </w:r>
          </w:p>
        </w:tc>
        <w:tc>
          <w:tcPr>
            <w:tcW w:type="dxa" w:w="402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45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268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56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89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358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r>
        <w:trPr>
          <w:cantSplit/>
        </w:trPr>
        <w:tc>
          <w:tcPr>
            <w:tcW w:type="dxa" w:w="446"/>
            <w:tcMar>
              <w:top w:type="dxa" w:w="50"/>
              <w:left w:type="dxa" w:w="90"/>
              <w:bottom w:type="dxa" w:w="50"/>
              <w:right w:type="dxa" w:w="90"/>
            </w:tcMar>
            <w:vAlign w:val="top"/>
          </w:tcPr>
          <w:p>
            <w:pPr>
              <w:spacing w:after="30" w:before="0" w:line="240"/>
              <w:jc w:val="center"/>
            </w:pPr>
            <w:r>
              <w:rPr>
                <w:rFonts w:ascii="Times New Roman" w:cs="Times New Roman" w:eastAsia="Times New Roman" w:hAnsi="Times New Roman"/>
                <w:sz w:val="17"/>
                <w:szCs w:val="17"/>
              </w:rPr>
              <w:t xml:space="preserve"> </w:t>
            </w:r>
          </w:p>
        </w:tc>
        <w:tc>
          <w:tcPr>
            <w:tcW w:type="dxa" w:w="402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452"/>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2681"/>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1564"/>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893"/>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c>
          <w:tcPr>
            <w:tcW w:type="dxa" w:w="3580"/>
            <w:tcMar>
              <w:top w:type="dxa" w:w="50"/>
              <w:left w:type="dxa" w:w="90"/>
              <w:bottom w:type="dxa" w:w="50"/>
              <w:right w:type="dxa" w:w="90"/>
            </w:tcMar>
            <w:vAlign w:val="top"/>
          </w:tcPr>
          <w:p>
            <w:pPr>
              <w:spacing w:after="30" w:before="0" w:line="240"/>
              <w:jc w:val="left"/>
            </w:pPr>
            <w:r>
              <w:rPr>
                <w:rFonts w:ascii="Times New Roman" w:cs="Times New Roman" w:eastAsia="Times New Roman" w:hAnsi="Times New Roman"/>
                <w:sz w:val="17"/>
                <w:szCs w:val="17"/>
              </w:rPr>
              <w:t xml:space="preserve"> </w:t>
            </w:r>
          </w:p>
        </w:tc>
      </w:tr>
    </w:tbl>
    <w:p>
      <w:pPr>
        <w:spacing w:after="60"/>
      </w:pPr>
    </w:p>
    <w:tbl>
      <w:tblPr>
        <w:tblW w:type="dxa" w:w="14638"/>
        <w:tblBorders>
          <w:top w:val="none" w:color="FFFFFF" w:sz="0"/>
          <w:left w:val="none" w:color="FFFFFF" w:sz="0"/>
          <w:bottom w:val="none" w:color="FFFFFF" w:sz="0"/>
          <w:right w:val="none" w:color="FFFFFF" w:sz="0"/>
          <w:insideH w:val="none" w:color="FFFFFF" w:sz="0"/>
          <w:insideV w:val="none" w:color="FFFFFF" w:sz="0"/>
        </w:tblBorders>
      </w:tblPr>
      <w:tblGrid>
        <w:gridCol w:w="7319"/>
        <w:gridCol w:w="7319"/>
      </w:tblGrid>
      <w:tr>
        <w:trPr>
          <w:cantSplit/>
        </w:trPr>
        <w:tc>
          <w:tcPr>
            <w:tcW w:type="dxa" w:w="7319"/>
            <w:tcBorders>
              <w:top w:val="none" w:color="FFFFFF" w:sz="0"/>
              <w:left w:val="none" w:color="FFFFFF" w:sz="0"/>
              <w:bottom w:val="none" w:color="FFFFFF" w:sz="0"/>
              <w:right w:val="none" w:color="FFFFFF" w:sz="0"/>
            </w:tcBorders>
            <w:vAlign w:val="top"/>
          </w:tcPr>
          <w:p>
            <w:pPr>
              <w:spacing w:after="500" w:before="0" w:line="276"/>
              <w:jc w:val="center"/>
            </w:pPr>
            <w:r>
              <w:rPr>
                <w:rFonts w:ascii="Times New Roman" w:cs="Times New Roman" w:eastAsia="Times New Roman" w:hAnsi="Times New Roman"/>
                <w:b/>
                <w:bCs/>
              </w:rPr>
              <w:t xml:space="preserve">Prepared by</w:t>
            </w:r>
          </w:p>
          <w:p>
            <w:pPr>
              <w:spacing w:after="20" w:before="0" w:line="276"/>
              <w:jc w:val="center"/>
            </w:pPr>
            <w:r>
              <w:rPr>
                <w:rFonts w:ascii="Times New Roman" w:cs="Times New Roman" w:eastAsia="Times New Roman" w:hAnsi="Times New Roman"/>
              </w:rPr>
              <w:t xml:space="preserve">______________________________</w:t>
            </w:r>
          </w:p>
          <w:p>
            <w:pPr>
              <w:spacing w:after="0" w:before="0" w:line="276"/>
              <w:jc w:val="center"/>
            </w:pPr>
            <w:r>
              <w:rPr>
                <w:rFonts w:ascii="Times New Roman" w:cs="Times New Roman" w:eastAsia="Times New Roman" w:hAnsi="Times New Roman"/>
                <w:b/>
                <w:bCs/>
                <w:highlight w:val="yellow"/>
              </w:rPr>
              <w:t xml:space="preserve">[Name]</w:t>
            </w:r>
          </w:p>
          <w:p>
            <w:pPr>
              <w:spacing w:after="0" w:before="0" w:line="276"/>
              <w:jc w:val="center"/>
            </w:pPr>
            <w:r>
              <w:rPr>
                <w:rFonts w:ascii="Times New Roman" w:cs="Times New Roman" w:eastAsia="Times New Roman" w:hAnsi="Times New Roman"/>
              </w:rPr>
              <w:t xml:space="preserve">Criterion 10 Lead, Department of ICE</w:t>
            </w:r>
          </w:p>
          <w:p>
            <w:pPr>
              <w:spacing w:after="0" w:before="0" w:line="276"/>
              <w:jc w:val="center"/>
            </w:pPr>
            <w:r>
              <w:rPr>
                <w:rFonts w:ascii="Times New Roman" w:cs="Times New Roman" w:eastAsia="Times New Roman" w:hAnsi="Times New Roman"/>
              </w:rPr>
              <w:t xml:space="preserve">Daffodil International University</w:t>
            </w:r>
          </w:p>
          <w:p>
            <w:pPr>
              <w:spacing w:after="0" w:before="0" w:line="276"/>
              <w:jc w:val="center"/>
            </w:pPr>
            <w:r>
              <w:rPr>
                <w:rFonts w:ascii="Times New Roman" w:cs="Times New Roman" w:eastAsia="Times New Roman" w:hAnsi="Times New Roman"/>
              </w:rPr>
              <w:t xml:space="preserve">Date: </w:t>
            </w:r>
            <w:r>
              <w:rPr>
                <w:rFonts w:ascii="Times New Roman" w:cs="Times New Roman" w:eastAsia="Times New Roman" w:hAnsi="Times New Roman"/>
                <w:highlight w:val="yellow"/>
              </w:rPr>
              <w:t xml:space="preserve">[dd/mm/yyyy]</w:t>
            </w:r>
          </w:p>
        </w:tc>
        <w:tc>
          <w:tcPr>
            <w:tcW w:type="dxa" w:w="7319"/>
            <w:tcBorders>
              <w:top w:val="none" w:color="FFFFFF" w:sz="0"/>
              <w:left w:val="none" w:color="FFFFFF" w:sz="0"/>
              <w:bottom w:val="none" w:color="FFFFFF" w:sz="0"/>
              <w:right w:val="none" w:color="FFFFFF" w:sz="0"/>
            </w:tcBorders>
            <w:vAlign w:val="top"/>
          </w:tcPr>
          <w:p>
            <w:pPr>
              <w:spacing w:after="500" w:before="0" w:line="276"/>
              <w:jc w:val="center"/>
            </w:pPr>
            <w:r>
              <w:rPr>
                <w:rFonts w:ascii="Times New Roman" w:cs="Times New Roman" w:eastAsia="Times New Roman" w:hAnsi="Times New Roman"/>
                <w:b/>
                <w:bCs/>
              </w:rPr>
              <w:t xml:space="preserve">Seen by</w:t>
            </w:r>
          </w:p>
          <w:p>
            <w:pPr>
              <w:spacing w:after="20" w:before="0" w:line="276"/>
              <w:jc w:val="center"/>
            </w:pPr>
            <w:r>
              <w:rPr>
                <w:rFonts w:ascii="Times New Roman" w:cs="Times New Roman" w:eastAsia="Times New Roman" w:hAnsi="Times New Roman"/>
              </w:rPr>
              <w:t xml:space="preserve">______________________________</w:t>
            </w:r>
          </w:p>
          <w:p>
            <w:pPr>
              <w:spacing w:after="0" w:before="0" w:line="276"/>
              <w:jc w:val="center"/>
            </w:pPr>
            <w:r>
              <w:rPr>
                <w:rFonts w:ascii="Times New Roman" w:cs="Times New Roman" w:eastAsia="Times New Roman" w:hAnsi="Times New Roman"/>
                <w:b/>
                <w:bCs/>
              </w:rPr>
              <w:t xml:space="preserve">Dr. Md. Taslim Arefin</w:t>
            </w:r>
          </w:p>
          <w:p>
            <w:pPr>
              <w:spacing w:after="0" w:before="0" w:line="276"/>
              <w:jc w:val="center"/>
            </w:pPr>
            <w:r>
              <w:rPr>
                <w:rFonts w:ascii="Times New Roman" w:cs="Times New Roman" w:eastAsia="Times New Roman" w:hAnsi="Times New Roman"/>
              </w:rPr>
              <w:t xml:space="preserve">Professor &amp; Head, Department of ICE</w:t>
            </w:r>
          </w:p>
          <w:p>
            <w:pPr>
              <w:spacing w:after="0" w:before="0" w:line="276"/>
              <w:jc w:val="center"/>
            </w:pPr>
            <w:r>
              <w:rPr>
                <w:rFonts w:ascii="Times New Roman" w:cs="Times New Roman" w:eastAsia="Times New Roman" w:hAnsi="Times New Roman"/>
              </w:rPr>
              <w:t xml:space="preserve">Daffodil International University</w:t>
            </w:r>
          </w:p>
          <w:p>
            <w:pPr>
              <w:spacing w:after="0" w:before="0" w:line="276"/>
              <w:jc w:val="center"/>
            </w:pPr>
            <w:r>
              <w:rPr>
                <w:rFonts w:ascii="Times New Roman" w:cs="Times New Roman" w:eastAsia="Times New Roman" w:hAnsi="Times New Roman"/>
              </w:rPr>
              <w:t xml:space="preserve">Date: </w:t>
            </w:r>
            <w:r>
              <w:rPr>
                <w:rFonts w:ascii="Times New Roman" w:cs="Times New Roman" w:eastAsia="Times New Roman" w:hAnsi="Times New Roman"/>
                <w:highlight w:val="yellow"/>
              </w:rPr>
              <w:t xml:space="preserve">[dd/mm/yyyy]</w:t>
            </w:r>
          </w:p>
        </w:tc>
      </w:tr>
    </w:tbl>
    <w:sectPr>
      <w:headerReference w:type="default" r:id="rId6"/>
      <w:headerReference w:type="first" r:id="rId7"/>
      <w:footerReference w:type="default" r:id="rId8"/>
      <w:footerReference w:type="first" r:id="rId9"/>
      <w:pgSz w:w="16838" w:h="11906" w:orient="landscape"/>
      <w:pgMar w:top="1450" w:right="1100" w:bottom="1100" w:left="1100" w:header="420" w:footer="4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495300" cy="4953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 cy="4953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jc w:val="center"/>
    </w:pPr>
    <w:r>
      <w:drawing>
        <wp:inline distT="0" distB="0" distL="0" distR="0">
          <wp:extent cx="6286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 cy="619125"/>
                  </a:xfrm>
                  <a:prstGeom prst="rect">
                    <a:avLst/>
                  </a:prstGeom>
                </pic:spPr>
              </pic:pic>
            </a:graphicData>
          </a:graphic>
        </wp:inline>
      </w:drawing>
    </w:r>
  </w:p>
  <w:p>
    <w:pPr>
      <w:spacing w:after="0" w:line="240"/>
      <w:jc w:val="center"/>
    </w:pPr>
    <w:r>
      <w:rPr>
        <w:rFonts w:ascii="Times New Roman" w:cs="Times New Roman" w:eastAsia="Times New Roman" w:hAnsi="Times New Roman"/>
        <w:b/>
        <w:bCs/>
        <w:sz w:val="40"/>
        <w:szCs w:val="40"/>
      </w:rPr>
      <w:t xml:space="preserve">Daffodil International University</w:t>
    </w:r>
  </w:p>
  <w:p>
    <w:pPr>
      <w:spacing w:after="0" w:line="240"/>
      <w:jc w:val="center"/>
    </w:pPr>
    <w:r>
      <w:rPr>
        <w:rFonts w:ascii="Times New Roman" w:cs="Times New Roman" w:eastAsia="Times New Roman" w:hAnsi="Times New Roman"/>
        <w:b/>
        <w:bCs/>
        <w:sz w:val="27"/>
        <w:szCs w:val="27"/>
      </w:rPr>
      <w:t xml:space="preserve">Faculty of Engineering</w:t>
    </w:r>
  </w:p>
  <w:p>
    <w:pPr>
      <w:spacing w:after="0" w:line="240"/>
      <w:jc w:val="center"/>
    </w:pPr>
    <w:r>
      <w:rPr>
        <w:rFonts w:ascii="Times New Roman" w:cs="Times New Roman" w:eastAsia="Times New Roman" w:hAnsi="Times New Roman"/>
        <w:b/>
        <w:bCs/>
        <w:sz w:val="27"/>
        <w:szCs w:val="27"/>
      </w:rPr>
      <w:t xml:space="preserve">Department of Information and Communication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20"/>
      <w:outlineLvl w:val="0"/>
    </w:pPr>
    <w:rPr>
      <w:rFonts w:ascii="Times New Roman" w:cs="Times New Roman" w:eastAsia="Times New Roman" w:hAnsi="Times New Roman"/>
      <w:b/>
      <w:bCs/>
      <w:color w:val="1F3864"/>
      <w:sz w:val="25"/>
      <w:szCs w:val="25"/>
    </w:rPr>
  </w:style>
  <w:style w:type="paragraph" w:styleId="Heading2">
    <w:name w:val="Heading 2"/>
    <w:basedOn w:val="Normal"/>
    <w:next w:val="Normal"/>
    <w:qFormat/>
    <w:pPr>
      <w:keepNext/>
      <w:spacing w:after="80" w:before="160"/>
      <w:outlineLvl w:val="1"/>
    </w:pPr>
    <w:rPr>
      <w:rFonts w:ascii="Times New Roman" w:cs="Times New Roman" w:eastAsia="Times New Roman" w:hAnsi="Times New Roman"/>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6fa9cee192ad8ea879a72df295ecf9a1e2ab106a.png"/></Relationships>
</file>

<file path=word/_rels/header2.xml.rels><?xml version='1.0' encoding='UTF-8' standalone='yes'?>
<Relationships xmlns="http://schemas.openxmlformats.org/package/2006/relationships"><Relationship Id="rId0" Type="http://schemas.openxmlformats.org/officeDocument/2006/relationships/image" Target="media/d93ed29da1cce15608dc7bf15d6cba688ea913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 Criterion 10 narrative skeleton</dc:title>
  <dc:creator>Department of ICE, DIU</dc:creator>
  <dc:description>BAETE Criterion 10 document (template)</dc:description>
  <cp:lastModifiedBy>Department of ICE, DIU</cp:lastModifiedBy>
  <cp:revision>1</cp:revision>
  <dcterms:created xsi:type="dcterms:W3CDTF">2026-10-11T19:12:44.723Z</dcterms:created>
  <dcterms:modified xsi:type="dcterms:W3CDTF">2026-10-11T19:12:44.724Z</dcterms:modified>
</cp:coreProperties>
</file>

<file path=docProps/custom.xml><?xml version="1.0" encoding="utf-8"?>
<Properties xmlns="http://schemas.openxmlformats.org/officeDocument/2006/custom-properties" xmlns:vt="http://schemas.openxmlformats.org/officeDocument/2006/docPropsVTypes"/>
</file>