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 w:line="240"/>
        <w:jc w:val="center"/>
      </w:pPr>
      <w:r>
        <w:rPr>
          <w:rFonts w:ascii="Times New Roman" w:cs="Times New Roman" w:eastAsia="Times New Roman" w:hAnsi="Times New Roman"/>
          <w:b/>
          <w:bCs/>
          <w:sz w:val="28"/>
          <w:szCs w:val="28"/>
          <w:u w:val="single"/>
        </w:rPr>
        <w:t xml:space="preserve">Industry Advisory Panel - Establishment Record</w:t>
      </w:r>
    </w:p>
    <w:tbl>
      <w:tblPr>
        <w:tblW w:type="dxa" w:w="9706"/>
        <w:tblBorders>
          <w:top w:val="none" w:color="FFFFFF" w:sz="0"/>
          <w:left w:val="none" w:color="FFFFFF" w:sz="0"/>
          <w:bottom w:val="none" w:color="FFFFFF" w:sz="0"/>
          <w:right w:val="none" w:color="FFFFFF" w:sz="0"/>
          <w:insideH w:val="none" w:color="FFFFFF" w:sz="0"/>
          <w:insideV w:val="none" w:color="FFFFFF" w:sz="0"/>
        </w:tblBorders>
      </w:tblPr>
      <w:tblGrid>
        <w:gridCol w:w="4853"/>
        <w:gridCol w:w="4853"/>
      </w:tblGrid>
      <w:tr>
        <w:tc>
          <w:tcPr>
            <w:tcW w:type="dxa" w:w="4853"/>
            <w:tcBorders>
              <w:top w:val="none" w:color="FFFFFF" w:sz="0"/>
              <w:left w:val="none" w:color="FFFFFF" w:sz="0"/>
              <w:bottom w:val="none" w:color="FFFFFF" w:sz="0"/>
              <w:right w:val="none" w:color="FFFFFF" w:sz="0"/>
            </w:tcBorders>
          </w:tcPr>
          <w:p>
            <w:pPr>
              <w:spacing w:after="120" w:before="0" w:line="276"/>
              <w:jc w:val="left"/>
            </w:pPr>
            <w:r>
              <w:rPr>
                <w:rFonts w:ascii="Times New Roman" w:cs="Times New Roman" w:eastAsia="Times New Roman" w:hAnsi="Times New Roman"/>
                <w:b/>
                <w:bCs/>
              </w:rPr>
              <w:t xml:space="preserve">Ref.: </w:t>
            </w:r>
            <w:r>
              <w:rPr>
                <w:rFonts w:ascii="Times New Roman" w:cs="Times New Roman" w:eastAsia="Times New Roman" w:hAnsi="Times New Roman"/>
                <w:b/>
                <w:bCs/>
                <w:highlight w:val="yellow"/>
              </w:rPr>
              <w:t xml:space="preserve">[ICE/IAP/____/__]</w:t>
            </w:r>
          </w:p>
        </w:tc>
        <w:tc>
          <w:tcPr>
            <w:tcW w:type="dxa" w:w="4853"/>
            <w:tcBorders>
              <w:top w:val="none" w:color="FFFFFF" w:sz="0"/>
              <w:left w:val="none" w:color="FFFFFF" w:sz="0"/>
              <w:bottom w:val="none" w:color="FFFFFF" w:sz="0"/>
              <w:right w:val="none" w:color="FFFFFF" w:sz="0"/>
            </w:tcBorders>
          </w:tcPr>
          <w:p>
            <w:pPr>
              <w:spacing w:after="120" w:before="0" w:line="276"/>
              <w:jc w:val="right"/>
            </w:pPr>
            <w:r>
              <w:rPr>
                <w:rFonts w:ascii="Times New Roman" w:cs="Times New Roman" w:eastAsia="Times New Roman" w:hAnsi="Times New Roman"/>
                <w:b/>
                <w:bCs/>
              </w:rPr>
              <w:t xml:space="preserve">Date: </w:t>
            </w:r>
            <w:r>
              <w:rPr>
                <w:rFonts w:ascii="Times New Roman" w:cs="Times New Roman" w:eastAsia="Times New Roman" w:hAnsi="Times New Roman"/>
                <w:b/>
                <w:bCs/>
                <w:highlight w:val="yellow"/>
              </w:rPr>
              <w:t xml:space="preserve">[dd/mm/yyyy]</w:t>
            </w:r>
          </w:p>
        </w:tc>
      </w:tr>
    </w:tbl>
    <w:p>
      <w:pPr>
        <w:spacing w:after="120" w:before="0" w:line="276"/>
        <w:jc w:val="both"/>
      </w:pPr>
      <w:r>
        <w:rPr>
          <w:rFonts w:ascii="Times New Roman" w:cs="Times New Roman" w:eastAsia="Times New Roman" w:hAnsi="Times New Roman"/>
        </w:rPr>
        <w:t xml:space="preserve">This statement records, from the documents on file, how the Industry Advisory Panel (IAP) of the Department of Information and Communication Engineering was established. It does not replace or alter any of the records listed below.</w:t>
      </w:r>
    </w:p>
    <w:p>
      <w:pPr>
        <w:pStyle w:val="Heading2"/>
      </w:pPr>
      <w:r>
        <w:rPr>
          <w:rFonts w:ascii="Times New Roman" w:cs="Times New Roman" w:eastAsia="Times New Roman" w:hAnsi="Times New Roman"/>
        </w:rPr>
        <w:t xml:space="preserve">Chronology</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1300"/>
        <w:gridCol w:w="6003"/>
        <w:gridCol w:w="1100"/>
        <w:gridCol w:w="1303"/>
      </w:tblGrid>
      <w:tr>
        <w:trPr>
          <w:cantSplit/>
          <w:tblHeader/>
        </w:trPr>
        <w:tc>
          <w:tcPr>
            <w:tcW w:type="dxa" w:w="130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Date</w:t>
            </w:r>
          </w:p>
        </w:tc>
        <w:tc>
          <w:tcPr>
            <w:tcW w:type="dxa" w:w="6003"/>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Event</w:t>
            </w:r>
          </w:p>
        </w:tc>
        <w:tc>
          <w:tcPr>
            <w:tcW w:type="dxa" w:w="110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Members listed</w:t>
            </w:r>
          </w:p>
        </w:tc>
        <w:tc>
          <w:tcPr>
            <w:tcW w:type="dxa" w:w="1303"/>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Record</w:t>
            </w:r>
          </w:p>
        </w:tc>
      </w:tr>
      <w:tr>
        <w:trPr>
          <w:cantSplit/>
        </w:trPr>
        <w:tc>
          <w:tcPr>
            <w:tcW w:type="dxa" w:w="13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05/02/2023</w:t>
            </w:r>
          </w:p>
        </w:tc>
        <w:tc>
          <w:tcPr>
            <w:tcW w:type="dxa" w:w="60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Department meeting (Spring 2023): the IAP 'has been formed'.</w:t>
            </w:r>
          </w:p>
        </w:tc>
        <w:tc>
          <w:tcPr>
            <w:tcW w:type="dxa" w:w="11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4</w:t>
            </w:r>
          </w:p>
        </w:tc>
        <w:tc>
          <w:tcPr>
            <w:tcW w:type="dxa" w:w="130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A10.1-01</w:t>
            </w:r>
          </w:p>
        </w:tc>
      </w:tr>
      <w:tr>
        <w:trPr>
          <w:cantSplit/>
        </w:trPr>
        <w:tc>
          <w:tcPr>
            <w:tcW w:type="dxa" w:w="13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11/03/2023</w:t>
            </w:r>
          </w:p>
        </w:tc>
        <w:tc>
          <w:tcPr>
            <w:tcW w:type="dxa" w:w="60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Faculty Committee meeting, Miscellaneous: 'Department of ICE has formed Industrial Advisory Panel (IAP)'.</w:t>
            </w:r>
          </w:p>
        </w:tc>
        <w:tc>
          <w:tcPr>
            <w:tcW w:type="dxa" w:w="11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130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A10.1-04</w:t>
            </w:r>
          </w:p>
        </w:tc>
      </w:tr>
      <w:tr>
        <w:trPr>
          <w:cantSplit/>
        </w:trPr>
        <w:tc>
          <w:tcPr>
            <w:tcW w:type="dxa" w:w="13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08/04/2024</w:t>
            </w:r>
          </w:p>
        </w:tc>
        <w:tc>
          <w:tcPr>
            <w:tcW w:type="dxa" w:w="60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Department meeting (Spring 2024): the IAP is reconstituted.</w:t>
            </w:r>
          </w:p>
        </w:tc>
        <w:tc>
          <w:tcPr>
            <w:tcW w:type="dxa" w:w="11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7</w:t>
            </w:r>
          </w:p>
        </w:tc>
        <w:tc>
          <w:tcPr>
            <w:tcW w:type="dxa" w:w="130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A10.1-02</w:t>
            </w:r>
          </w:p>
        </w:tc>
      </w:tr>
      <w:tr>
        <w:trPr>
          <w:cantSplit/>
        </w:trPr>
        <w:tc>
          <w:tcPr>
            <w:tcW w:type="dxa" w:w="13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20/05/2024</w:t>
            </w:r>
          </w:p>
        </w:tc>
        <w:tc>
          <w:tcPr>
            <w:tcW w:type="dxa" w:w="60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Faculty Committee meeting, Miscellaneous: 'The Department of ICE has updated their Industrial Advisory Panel (IAP)'.</w:t>
            </w:r>
          </w:p>
        </w:tc>
        <w:tc>
          <w:tcPr>
            <w:tcW w:type="dxa" w:w="11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130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A10.1-04</w:t>
            </w:r>
          </w:p>
        </w:tc>
      </w:tr>
      <w:tr>
        <w:trPr>
          <w:cantSplit/>
        </w:trPr>
        <w:tc>
          <w:tcPr>
            <w:tcW w:type="dxa" w:w="13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08/01/2025</w:t>
            </w:r>
          </w:p>
        </w:tc>
        <w:tc>
          <w:tcPr>
            <w:tcW w:type="dxa" w:w="60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Department meeting (Spring 2025): committees for Spring 2025 - Fall 2025; IAP membership listed.</w:t>
            </w:r>
          </w:p>
        </w:tc>
        <w:tc>
          <w:tcPr>
            <w:tcW w:type="dxa" w:w="11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w:t>
            </w:r>
          </w:p>
        </w:tc>
        <w:tc>
          <w:tcPr>
            <w:tcW w:type="dxa" w:w="130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A10.1-03</w:t>
            </w:r>
          </w:p>
        </w:tc>
      </w:tr>
      <w:tr>
        <w:trPr>
          <w:cantSplit/>
        </w:trPr>
        <w:tc>
          <w:tcPr>
            <w:tcW w:type="dxa" w:w="13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21/04/2025</w:t>
            </w:r>
          </w:p>
        </w:tc>
        <w:tc>
          <w:tcPr>
            <w:tcW w:type="dxa" w:w="60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Faculty Committee meeting: the Department 'has updated their Industrial Advisory Panel (IAP)'. The Head's letter of 21/07/2025 refers to this as the Faculty Committee approval.</w:t>
            </w:r>
          </w:p>
        </w:tc>
        <w:tc>
          <w:tcPr>
            <w:tcW w:type="dxa" w:w="11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130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A10.1-04</w:t>
            </w:r>
          </w:p>
        </w:tc>
      </w:tr>
      <w:tr>
        <w:trPr>
          <w:cantSplit/>
        </w:trPr>
        <w:tc>
          <w:tcPr>
            <w:tcW w:type="dxa" w:w="13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21/07/2025</w:t>
            </w:r>
          </w:p>
        </w:tc>
        <w:tc>
          <w:tcPr>
            <w:tcW w:type="dxa" w:w="60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Head requests approval of the panel from the Vice Chancellor, through the Dean, Faculty of Engineering.</w:t>
            </w:r>
          </w:p>
        </w:tc>
        <w:tc>
          <w:tcPr>
            <w:tcW w:type="dxa" w:w="11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w:t>
            </w:r>
          </w:p>
        </w:tc>
        <w:tc>
          <w:tcPr>
            <w:tcW w:type="dxa" w:w="130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A10.1-05</w:t>
            </w:r>
          </w:p>
        </w:tc>
      </w:tr>
      <w:tr>
        <w:trPr>
          <w:cantSplit/>
        </w:trPr>
        <w:tc>
          <w:tcPr>
            <w:tcW w:type="dxa" w:w="13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23/07/2025</w:t>
            </w:r>
          </w:p>
        </w:tc>
        <w:tc>
          <w:tcPr>
            <w:tcW w:type="dxa" w:w="60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Vice Chancellor approves the panel.</w:t>
            </w:r>
          </w:p>
        </w:tc>
        <w:tc>
          <w:tcPr>
            <w:tcW w:type="dxa" w:w="11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w:t>
            </w:r>
          </w:p>
        </w:tc>
        <w:tc>
          <w:tcPr>
            <w:tcW w:type="dxa" w:w="130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A10.1-05</w:t>
            </w:r>
          </w:p>
        </w:tc>
      </w:tr>
      <w:tr>
        <w:trPr>
          <w:cantSplit/>
        </w:trPr>
        <w:tc>
          <w:tcPr>
            <w:tcW w:type="dxa" w:w="13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highlight w:val="yellow"/>
              </w:rPr>
              <w:t xml:space="preserve">[dd/mm/yyyy]</w:t>
            </w:r>
          </w:p>
        </w:tc>
        <w:tc>
          <w:tcPr>
            <w:tcW w:type="dxa" w:w="60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Office memorandum with terms of reference issued (10.1-01).</w:t>
            </w:r>
          </w:p>
        </w:tc>
        <w:tc>
          <w:tcPr>
            <w:tcW w:type="dxa" w:w="11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highlight w:val="yellow"/>
              </w:rPr>
              <w:t xml:space="preserve">[ ]</w:t>
            </w:r>
          </w:p>
        </w:tc>
        <w:tc>
          <w:tcPr>
            <w:tcW w:type="dxa" w:w="130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highlight w:val="yellow"/>
              </w:rPr>
              <w:t xml:space="preserve">[ ]</w:t>
            </w:r>
          </w:p>
        </w:tc>
      </w:tr>
      <w:tr>
        <w:trPr>
          <w:cantSplit/>
        </w:trPr>
        <w:tc>
          <w:tcPr>
            <w:tcW w:type="dxa" w:w="13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highlight w:val="yellow"/>
              </w:rPr>
              <w:t xml:space="preserve">[dd/mm/yyyy]</w:t>
            </w:r>
          </w:p>
        </w:tc>
        <w:tc>
          <w:tcPr>
            <w:tcW w:type="dxa" w:w="600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1st meeting of the panel with its industry members (10.1-03 to 10.1-05).</w:t>
            </w:r>
          </w:p>
        </w:tc>
        <w:tc>
          <w:tcPr>
            <w:tcW w:type="dxa" w:w="1100"/>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highlight w:val="yellow"/>
              </w:rPr>
              <w:t xml:space="preserve">[ ]</w:t>
            </w:r>
          </w:p>
        </w:tc>
        <w:tc>
          <w:tcPr>
            <w:tcW w:type="dxa" w:w="130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highlight w:val="yellow"/>
              </w:rPr>
              <w:t xml:space="preserve">[ ]</w:t>
            </w:r>
          </w:p>
        </w:tc>
      </w:tr>
    </w:tbl>
    <w:p>
      <w:pPr>
        <w:pStyle w:val="Heading2"/>
      </w:pPr>
      <w:r>
        <w:rPr>
          <w:rFonts w:ascii="Times New Roman" w:cs="Times New Roman" w:eastAsia="Times New Roman" w:hAnsi="Times New Roman"/>
        </w:rPr>
        <w:t xml:space="preserve">Establishment date stated in the SAR</w:t>
      </w:r>
    </w:p>
    <w:p>
      <w:pPr>
        <w:spacing w:after="120" w:before="0" w:line="276"/>
        <w:jc w:val="both"/>
      </w:pPr>
      <w:r>
        <w:rPr>
          <w:rFonts w:ascii="Times New Roman" w:cs="Times New Roman" w:eastAsia="Times New Roman" w:hAnsi="Times New Roman"/>
          <w:highlight w:val="yellow"/>
        </w:rPr>
        <w:t xml:space="preserve">[The IAP was constituted by the Department on 05/02/2023, reconstituted on 08/04/2024 and 08/01/2025, and approved by the Vice Chancellor on 23/07/2025. Its terms of reference were issued on [date]</w:t>
      </w:r>
      <w:r>
        <w:rPr>
          <w:rFonts w:ascii="Times New Roman" w:cs="Times New Roman" w:eastAsia="Times New Roman" w:hAnsi="Times New Roman"/>
        </w:rPr>
        <w:t xml:space="preserve">.] </w:t>
      </w:r>
      <w:r>
        <w:rPr>
          <w:rFonts w:ascii="Times New Roman" w:cs="Times New Roman" w:eastAsia="Times New Roman" w:hAnsi="Times New Roman"/>
          <w:highlight w:val="yellow"/>
        </w:rPr>
        <w:t xml:space="preserve">[Head to confirm the wording.]</w:t>
      </w:r>
    </w:p>
    <w:p>
      <w:pPr>
        <w:pStyle w:val="Heading2"/>
      </w:pPr>
      <w:r>
        <w:rPr>
          <w:rFonts w:ascii="Times New Roman" w:cs="Times New Roman" w:eastAsia="Times New Roman" w:hAnsi="Times New Roman"/>
        </w:rPr>
        <w:t xml:space="preserve">Wording 'formed' (2023) and 'finalized' (2025)</w:t>
      </w:r>
    </w:p>
    <w:p>
      <w:pPr>
        <w:spacing w:after="120" w:before="0" w:line="276"/>
        <w:jc w:val="both"/>
      </w:pPr>
      <w:r>
        <w:rPr>
          <w:rFonts w:ascii="Times New Roman" w:cs="Times New Roman" w:eastAsia="Times New Roman" w:hAnsi="Times New Roman"/>
        </w:rPr>
        <w:t xml:space="preserve">The minutes of 05/02/2023 say the panel 'has been formed' with four members. The Head's letter of 21/07/2025 says its formation was 'finalized' at the meeting of 08/01/2025. </w:t>
      </w:r>
      <w:r>
        <w:rPr>
          <w:rFonts w:ascii="Times New Roman" w:cs="Times New Roman" w:eastAsia="Times New Roman" w:hAnsi="Times New Roman"/>
          <w:highlight w:val="yellow"/>
        </w:rPr>
        <w:t xml:space="preserve">[The 2025 meeting finalised the ten-member panel that had been formed in 2023 and reconstituted in 2024 - Head to confirm.]</w:t>
      </w:r>
    </w:p>
    <w:p>
      <w:pPr>
        <w:pStyle w:val="Heading2"/>
      </w:pPr>
      <w:r>
        <w:rPr>
          <w:rFonts w:ascii="Times New Roman" w:cs="Times New Roman" w:eastAsia="Times New Roman" w:hAnsi="Times New Roman"/>
        </w:rPr>
        <w:t xml:space="preserve">Meetings of the panel</w:t>
      </w:r>
    </w:p>
    <w:p>
      <w:pPr>
        <w:spacing w:after="120" w:before="0" w:line="276"/>
        <w:jc w:val="both"/>
      </w:pPr>
      <w:r>
        <w:rPr>
          <w:rFonts w:ascii="Times New Roman" w:cs="Times New Roman" w:eastAsia="Times New Roman" w:hAnsi="Times New Roman"/>
        </w:rPr>
        <w:t xml:space="preserve">The department meetings listed above were meetings of the Department's faculty that formed or changed the panel. No industry member attended them, and they are not presented as meetings of the IAP. The first meeting of the panel with its industry members </w:t>
      </w:r>
      <w:r>
        <w:rPr>
          <w:rFonts w:ascii="Times New Roman" w:cs="Times New Roman" w:eastAsia="Times New Roman" w:hAnsi="Times New Roman"/>
          <w:highlight w:val="yellow"/>
        </w:rPr>
        <w:t xml:space="preserve">[was held on [date]</w:t>
      </w:r>
      <w:r>
        <w:rPr>
          <w:rFonts w:ascii="Times New Roman" w:cs="Times New Roman" w:eastAsia="Times New Roman" w:hAnsi="Times New Roman"/>
        </w:rPr>
        <w:t xml:space="preserve"> / is scheduled for </w:t>
      </w:r>
      <w:r>
        <w:rPr>
          <w:rFonts w:ascii="Times New Roman" w:cs="Times New Roman" w:eastAsia="Times New Roman" w:hAnsi="Times New Roman"/>
          <w:highlight w:val="yellow"/>
        </w:rPr>
        <w:t xml:space="preserve">[date]</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Membership at each stage</w:t>
      </w:r>
    </w:p>
    <w:tbl>
      <w:tblPr>
        <w:tblW w:type="dxa" w:w="9706"/>
        <w:tblBorders>
          <w:top w:val="single" w:color="auto" w:sz="4"/>
          <w:left w:val="single" w:color="auto" w:sz="4"/>
          <w:bottom w:val="single" w:color="auto" w:sz="4"/>
          <w:right w:val="single" w:color="auto" w:sz="4"/>
          <w:insideH w:val="single" w:color="auto" w:sz="4"/>
          <w:insideV w:val="single" w:color="auto" w:sz="4"/>
        </w:tblBorders>
      </w:tblPr>
      <w:tblGrid>
        <w:gridCol w:w="2426"/>
        <w:gridCol w:w="2628"/>
        <w:gridCol w:w="1213"/>
        <w:gridCol w:w="1213"/>
        <w:gridCol w:w="2226"/>
      </w:tblGrid>
      <w:tr>
        <w:trPr>
          <w:cantSplit/>
          <w:tblHeader/>
        </w:trPr>
        <w:tc>
          <w:tcPr>
            <w:tcW w:type="dxa" w:w="2426"/>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Member</w:t>
            </w:r>
          </w:p>
        </w:tc>
        <w:tc>
          <w:tcPr>
            <w:tcW w:type="dxa" w:w="2628"/>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Organisation</w:t>
            </w:r>
          </w:p>
        </w:tc>
        <w:tc>
          <w:tcPr>
            <w:tcW w:type="dxa" w:w="1213"/>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05/02/2023</w:t>
            </w:r>
          </w:p>
        </w:tc>
        <w:tc>
          <w:tcPr>
            <w:tcW w:type="dxa" w:w="1213"/>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08/04/2024</w:t>
            </w:r>
          </w:p>
        </w:tc>
        <w:tc>
          <w:tcPr>
            <w:tcW w:type="dxa" w:w="2226"/>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08/01/2025 and VC approval 23/07/2025</w:t>
            </w:r>
          </w:p>
        </w:tc>
      </w:tr>
      <w:tr>
        <w:trPr>
          <w:cantSplit/>
        </w:trPr>
        <w:tc>
          <w:tcPr>
            <w:tcW w:type="dxa" w:w="2426"/>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Ohidul Hoque</w:t>
            </w:r>
          </w:p>
        </w:tc>
        <w:tc>
          <w:tcPr>
            <w:tcW w:type="dxa" w:w="262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Grameenphone Ltd.</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c>
          <w:tcPr>
            <w:tcW w:type="dxa" w:w="222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r>
      <w:tr>
        <w:trPr>
          <w:cantSplit/>
        </w:trPr>
        <w:tc>
          <w:tcPr>
            <w:tcW w:type="dxa" w:w="2426"/>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Saleh Uddin Joni</w:t>
            </w:r>
          </w:p>
        </w:tc>
        <w:tc>
          <w:tcPr>
            <w:tcW w:type="dxa" w:w="262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Summit Communications Ltd.</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222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r>
      <w:tr>
        <w:trPr>
          <w:cantSplit/>
        </w:trPr>
        <w:tc>
          <w:tcPr>
            <w:tcW w:type="dxa" w:w="2426"/>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Md. Mahbub Hasan Pavel</w:t>
            </w:r>
          </w:p>
        </w:tc>
        <w:tc>
          <w:tcPr>
            <w:tcW w:type="dxa" w:w="262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Amber IT Ltd.</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c>
          <w:tcPr>
            <w:tcW w:type="dxa" w:w="222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r>
      <w:tr>
        <w:trPr>
          <w:cantSplit/>
        </w:trPr>
        <w:tc>
          <w:tcPr>
            <w:tcW w:type="dxa" w:w="2426"/>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Ferdous Alam</w:t>
            </w:r>
          </w:p>
        </w:tc>
        <w:tc>
          <w:tcPr>
            <w:tcW w:type="dxa" w:w="262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Atova Technology</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c>
          <w:tcPr>
            <w:tcW w:type="dxa" w:w="222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r>
      <w:tr>
        <w:trPr>
          <w:cantSplit/>
        </w:trPr>
        <w:tc>
          <w:tcPr>
            <w:tcW w:type="dxa" w:w="2426"/>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Md. Sifatullah</w:t>
            </w:r>
          </w:p>
        </w:tc>
        <w:tc>
          <w:tcPr>
            <w:tcW w:type="dxa" w:w="262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Summit Communications Ltd.</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222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r>
      <w:tr>
        <w:trPr>
          <w:cantSplit/>
        </w:trPr>
        <w:tc>
          <w:tcPr>
            <w:tcW w:type="dxa" w:w="2426"/>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Sadia Shahnewaz</w:t>
            </w:r>
          </w:p>
        </w:tc>
        <w:tc>
          <w:tcPr>
            <w:tcW w:type="dxa" w:w="262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BRAC Bank Plc.</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222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r>
      <w:tr>
        <w:trPr>
          <w:cantSplit/>
        </w:trPr>
        <w:tc>
          <w:tcPr>
            <w:tcW w:type="dxa" w:w="2426"/>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Kazi Mahbubul Alam</w:t>
            </w:r>
          </w:p>
        </w:tc>
        <w:tc>
          <w:tcPr>
            <w:tcW w:type="dxa" w:w="262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Daffodil Online Ltd.</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c>
          <w:tcPr>
            <w:tcW w:type="dxa" w:w="222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r>
      <w:tr>
        <w:trPr>
          <w:cantSplit/>
        </w:trPr>
        <w:tc>
          <w:tcPr>
            <w:tcW w:type="dxa" w:w="2426"/>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Irad Sakib</w:t>
            </w:r>
          </w:p>
        </w:tc>
        <w:tc>
          <w:tcPr>
            <w:tcW w:type="dxa" w:w="262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Nagad</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c>
          <w:tcPr>
            <w:tcW w:type="dxa" w:w="222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r>
      <w:tr>
        <w:trPr>
          <w:cantSplit/>
        </w:trPr>
        <w:tc>
          <w:tcPr>
            <w:tcW w:type="dxa" w:w="2426"/>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Md. Hasan Ali</w:t>
            </w:r>
          </w:p>
        </w:tc>
        <w:tc>
          <w:tcPr>
            <w:tcW w:type="dxa" w:w="262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ACME AI</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c>
          <w:tcPr>
            <w:tcW w:type="dxa" w:w="222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r>
      <w:tr>
        <w:trPr>
          <w:cantSplit/>
        </w:trPr>
        <w:tc>
          <w:tcPr>
            <w:tcW w:type="dxa" w:w="2426"/>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Rakib Hossain</w:t>
            </w:r>
          </w:p>
        </w:tc>
        <w:tc>
          <w:tcPr>
            <w:tcW w:type="dxa" w:w="2628"/>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Ulkasemi</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w:t>
            </w:r>
          </w:p>
        </w:tc>
        <w:tc>
          <w:tcPr>
            <w:tcW w:type="dxa" w:w="1213"/>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c>
          <w:tcPr>
            <w:tcW w:type="dxa" w:w="222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Yes</w:t>
            </w:r>
          </w:p>
        </w:tc>
      </w:tr>
      <w:tr>
        <w:trPr>
          <w:cantSplit/>
        </w:trPr>
        <w:tc>
          <w:tcPr>
            <w:tcW w:type="dxa" w:w="2426"/>
            <w:shd w:fill="F2F2F2" w:color="auto" w:val="clear"/>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b/>
                <w:bCs/>
                <w:sz w:val="17"/>
                <w:szCs w:val="17"/>
              </w:rPr>
              <w:t xml:space="preserve">Total</w:t>
            </w:r>
          </w:p>
        </w:tc>
        <w:tc>
          <w:tcPr>
            <w:tcW w:type="dxa" w:w="2628"/>
            <w:shd w:fill="F2F2F2" w:color="auto" w:val="clear"/>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b/>
                <w:bCs/>
                <w:sz w:val="17"/>
                <w:szCs w:val="17"/>
              </w:rPr>
              <w:t xml:space="preserve"> </w:t>
            </w:r>
          </w:p>
        </w:tc>
        <w:tc>
          <w:tcPr>
            <w:tcW w:type="dxa" w:w="1213"/>
            <w:shd w:fill="F2F2F2" w:color="auto" w:val="clear"/>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b/>
                <w:bCs/>
                <w:sz w:val="17"/>
                <w:szCs w:val="17"/>
              </w:rPr>
              <w:t xml:space="preserve">4</w:t>
            </w:r>
          </w:p>
        </w:tc>
        <w:tc>
          <w:tcPr>
            <w:tcW w:type="dxa" w:w="1213"/>
            <w:shd w:fill="F2F2F2" w:color="auto" w:val="clear"/>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b/>
                <w:bCs/>
                <w:sz w:val="17"/>
                <w:szCs w:val="17"/>
              </w:rPr>
              <w:t xml:space="preserve">7</w:t>
            </w:r>
          </w:p>
        </w:tc>
        <w:tc>
          <w:tcPr>
            <w:tcW w:type="dxa" w:w="2226"/>
            <w:shd w:fill="F2F2F2" w:color="auto" w:val="clear"/>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b/>
                <w:bCs/>
                <w:sz w:val="17"/>
                <w:szCs w:val="17"/>
              </w:rPr>
              <w:t xml:space="preserve">10</w:t>
            </w:r>
          </w:p>
        </w:tc>
      </w:tr>
    </w:tbl>
    <w:p>
      <w:pPr>
        <w:spacing w:after="60"/>
      </w:pPr>
    </w:p>
    <w:tbl>
      <w:tblPr>
        <w:tblW w:type="dxa" w:w="9706"/>
        <w:tblBorders>
          <w:top w:val="none" w:color="FFFFFF" w:sz="0"/>
          <w:left w:val="none" w:color="FFFFFF" w:sz="0"/>
          <w:bottom w:val="none" w:color="FFFFFF" w:sz="0"/>
          <w:right w:val="none" w:color="FFFFFF" w:sz="0"/>
          <w:insideH w:val="none" w:color="FFFFFF" w:sz="0"/>
          <w:insideV w:val="none" w:color="FFFFFF" w:sz="0"/>
        </w:tblBorders>
      </w:tblPr>
      <w:tblGrid>
        <w:gridCol w:w="4853"/>
        <w:gridCol w:w="4853"/>
      </w:tblGrid>
      <w:tr>
        <w:trPr>
          <w:cantSplit/>
        </w:trPr>
        <w:tc>
          <w:tcPr>
            <w:tcW w:type="dxa" w:w="4853"/>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Prepared by</w:t>
            </w:r>
          </w:p>
          <w:p>
            <w:pPr>
              <w:spacing w:after="20" w:before="0" w:line="276"/>
              <w:jc w:val="center"/>
            </w:pPr>
            <w:r>
              <w:rPr>
                <w:rFonts w:ascii="Times New Roman" w:cs="Times New Roman" w:eastAsia="Times New Roman" w:hAnsi="Times New Roman"/>
              </w:rPr>
              <w:t xml:space="preserve">______________________________</w:t>
            </w:r>
          </w:p>
          <w:p>
            <w:pPr>
              <w:spacing w:after="0" w:before="0" w:line="276"/>
              <w:jc w:val="center"/>
            </w:pPr>
            <w:r>
              <w:rPr>
                <w:rFonts w:ascii="Times New Roman" w:cs="Times New Roman" w:eastAsia="Times New Roman" w:hAnsi="Times New Roman"/>
                <w:b/>
                <w:bCs/>
                <w:highlight w:val="yellow"/>
              </w:rPr>
              <w:t xml:space="preserve">[Name]</w:t>
            </w:r>
          </w:p>
          <w:p>
            <w:pPr>
              <w:spacing w:after="0" w:before="0" w:line="276"/>
              <w:jc w:val="center"/>
            </w:pPr>
            <w:r>
              <w:rPr>
                <w:rFonts w:ascii="Times New Roman" w:cs="Times New Roman" w:eastAsia="Times New Roman" w:hAnsi="Times New Roman"/>
              </w:rPr>
              <w:t xml:space="preserve">Criterion 10 Lead, Department of ICE</w:t>
            </w:r>
          </w:p>
          <w:p>
            <w:pPr>
              <w:spacing w:after="0" w:before="0" w:line="276"/>
              <w:jc w:val="center"/>
            </w:pPr>
            <w:r>
              <w:rPr>
                <w:rFonts w:ascii="Times New Roman" w:cs="Times New Roman" w:eastAsia="Times New Roman" w:hAnsi="Times New Roman"/>
              </w:rPr>
              <w:t xml:space="preserve">Daffodil International University</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c>
          <w:tcPr>
            <w:tcW w:type="dxa" w:w="4853"/>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Approved by</w:t>
            </w:r>
          </w:p>
          <w:p>
            <w:pPr>
              <w:spacing w:after="20" w:before="0" w:line="276"/>
              <w:jc w:val="center"/>
            </w:pPr>
            <w:r>
              <w:rPr>
                <w:rFonts w:ascii="Times New Roman" w:cs="Times New Roman" w:eastAsia="Times New Roman" w:hAnsi="Times New Roman"/>
              </w:rPr>
              <w:t xml:space="preserve">______________________________</w:t>
            </w:r>
          </w:p>
          <w:p>
            <w:pPr>
              <w:spacing w:after="0" w:before="0" w:line="276"/>
              <w:jc w:val="center"/>
            </w:pPr>
            <w:r>
              <w:rPr>
                <w:rFonts w:ascii="Times New Roman" w:cs="Times New Roman" w:eastAsia="Times New Roman" w:hAnsi="Times New Roman"/>
                <w:b/>
                <w:bCs/>
              </w:rPr>
              <w:t xml:space="preserve">Dr. Md. Taslim Arefin</w:t>
            </w:r>
          </w:p>
          <w:p>
            <w:pPr>
              <w:spacing w:after="0" w:before="0" w:line="276"/>
              <w:jc w:val="center"/>
            </w:pPr>
            <w:r>
              <w:rPr>
                <w:rFonts w:ascii="Times New Roman" w:cs="Times New Roman" w:eastAsia="Times New Roman" w:hAnsi="Times New Roman"/>
              </w:rPr>
              <w:t xml:space="preserve">Professor &amp; Head, Department of ICE</w:t>
            </w:r>
          </w:p>
          <w:p>
            <w:pPr>
              <w:spacing w:after="0" w:before="0" w:line="276"/>
              <w:jc w:val="center"/>
            </w:pPr>
            <w:r>
              <w:rPr>
                <w:rFonts w:ascii="Times New Roman" w:cs="Times New Roman" w:eastAsia="Times New Roman" w:hAnsi="Times New Roman"/>
              </w:rPr>
              <w:t xml:space="preserve">Daffodil International University</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r>
    </w:tbl>
    <w:sectPr>
      <w:headerReference w:type="default" r:id="rId6"/>
      <w:headerReference w:type="first" r:id="rId7"/>
      <w:footerReference w:type="default" r:id="rId8"/>
      <w:footerReference w:type="first" r:id="rId9"/>
      <w:pgSz w:w="11906" w:h="16838" w:orient="portrait"/>
      <w:pgMar w:top="1450" w:right="1100" w:bottom="1100" w:left="1100" w:header="420" w:footer="4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495300" cy="495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4953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center"/>
    </w:pPr>
    <w:r>
      <w:drawing>
        <wp:inline distT="0" distB="0" distL="0" distR="0">
          <wp:extent cx="6286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619125"/>
                  </a:xfrm>
                  <a:prstGeom prst="rect">
                    <a:avLst/>
                  </a:prstGeom>
                </pic:spPr>
              </pic:pic>
            </a:graphicData>
          </a:graphic>
        </wp:inline>
      </w:drawing>
    </w:r>
  </w:p>
  <w:p>
    <w:pPr>
      <w:spacing w:after="0" w:line="240"/>
      <w:jc w:val="center"/>
    </w:pPr>
    <w:r>
      <w:rPr>
        <w:rFonts w:ascii="Times New Roman" w:cs="Times New Roman" w:eastAsia="Times New Roman" w:hAnsi="Times New Roman"/>
        <w:b/>
        <w:bCs/>
        <w:sz w:val="40"/>
        <w:szCs w:val="40"/>
      </w:rPr>
      <w:t xml:space="preserve">Daffodil International University</w:t>
    </w:r>
  </w:p>
  <w:p>
    <w:pPr>
      <w:spacing w:after="0" w:line="240"/>
      <w:jc w:val="center"/>
    </w:pPr>
    <w:r>
      <w:rPr>
        <w:rFonts w:ascii="Times New Roman" w:cs="Times New Roman" w:eastAsia="Times New Roman" w:hAnsi="Times New Roman"/>
        <w:b/>
        <w:bCs/>
        <w:sz w:val="27"/>
        <w:szCs w:val="27"/>
      </w:rPr>
      <w:t xml:space="preserve">Faculty of Engineering</w:t>
    </w:r>
  </w:p>
  <w:p>
    <w:pPr>
      <w:spacing w:after="0" w:line="240"/>
      <w:jc w:val="center"/>
    </w:pPr>
    <w:r>
      <w:rPr>
        <w:rFonts w:ascii="Times New Roman" w:cs="Times New Roman" w:eastAsia="Times New Roman" w:hAnsi="Times New Roman"/>
        <w:b/>
        <w:bCs/>
        <w:sz w:val="27"/>
        <w:szCs w:val="27"/>
      </w:rPr>
      <w:t xml:space="preserve">Department of Information and Communication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20"/>
      <w:outlineLvl w:val="0"/>
    </w:pPr>
    <w:rPr>
      <w:rFonts w:ascii="Times New Roman" w:cs="Times New Roman" w:eastAsia="Times New Roman" w:hAnsi="Times New Roman"/>
      <w:b/>
      <w:bCs/>
      <w:color w:val="1F3864"/>
      <w:sz w:val="25"/>
      <w:szCs w:val="25"/>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6fa9cee192ad8ea879a72df295ecf9a1e2ab106a.png"/></Relationships>
</file>

<file path=word/_rels/header2.xml.rels><?xml version='1.0' encoding='UTF-8' standalone='yes'?>
<Relationships xmlns="http://schemas.openxmlformats.org/package/2006/relationships"><Relationship Id="rId0" Type="http://schemas.openxmlformats.org/officeDocument/2006/relationships/image" Target="media/d93ed29da1cce15608dc7bf15d6cba688ea913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 Criterion 10 narrative skeleton</dc:title>
  <dc:creator>Department of ICE, DIU</dc:creator>
  <dc:description>BAETE Criterion 10 document (template)</dc:description>
  <cp:lastModifiedBy>Department of ICE, DIU</cp:lastModifiedBy>
  <cp:revision>1</cp:revision>
  <dcterms:created xsi:type="dcterms:W3CDTF">2026-10-11T19:12:44.723Z</dcterms:created>
  <dcterms:modified xsi:type="dcterms:W3CDTF">2026-10-11T19:12:44.724Z</dcterms:modified>
</cp:coreProperties>
</file>

<file path=docProps/custom.xml><?xml version="1.0" encoding="utf-8"?>
<Properties xmlns="http://schemas.openxmlformats.org/officeDocument/2006/custom-properties" xmlns:vt="http://schemas.openxmlformats.org/officeDocument/2006/docPropsVTypes"/>
</file>