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sz w:val="28"/>
        </w:rPr>
        <w:t>Criterion 10 Assessment and Audit Report on BAETE SAR of PSAC, ICE, DIU</w:t>
      </w:r>
    </w:p>
    <w:p>
      <w:pPr>
        <w:spacing w:after="40" w:before="0"/>
      </w:pPr>
      <w:r>
        <w:rPr>
          <w:b/>
        </w:rPr>
        <w:t xml:space="preserve">Department : </w:t>
      </w:r>
      <w:r>
        <w:t>Department of Information and Communication Engineering (ICE)</w:t>
      </w:r>
    </w:p>
    <w:p>
      <w:pPr>
        <w:spacing w:after="40" w:before="0"/>
      </w:pPr>
      <w:r>
        <w:rPr>
          <w:b/>
        </w:rPr>
        <w:t xml:space="preserve">Program : </w:t>
      </w:r>
      <w:r>
        <w:t>Bachelor of Science in Information and Communication Engineering</w:t>
      </w:r>
    </w:p>
    <w:p>
      <w:pPr>
        <w:spacing w:after="40" w:before="0"/>
      </w:pPr>
      <w:r>
        <w:rPr>
          <w:b/>
        </w:rPr>
        <w:t xml:space="preserve">Evaluation Rubric : </w:t>
      </w:r>
      <w:r>
        <w:t>The manual of the Board of Accreditation for Engineering and Technical Education (BAETE) Evaluation Rubric, Board of Accreditation for Engineering &amp; Technical Education (BAETE)</w:t>
      </w:r>
    </w:p>
    <w:p>
      <w:pPr>
        <w:spacing w:after="120" w:before="0"/>
      </w:pP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pPr>
              <w:spacing w:after="40"/>
              <w:jc w:val="center"/>
            </w:pPr>
            <w:r/>
            <w:r>
              <w:rPr>
                <w:b/>
                <w:sz w:val="20"/>
              </w:rPr>
              <w:t>Level</w:t>
            </w:r>
          </w:p>
        </w:tc>
        <w:tc>
          <w:tcPr>
            <w:tcW w:type="dxa" w:w="6690"/>
            <w:shd w:val="clear" w:color="auto" w:fill="D9E2F3"/>
          </w:tcPr>
          <w:p>
            <w:pPr>
              <w:spacing w:after="40"/>
              <w:jc w:val="center"/>
            </w:pPr>
            <w:r/>
            <w:r>
              <w:rPr>
                <w:b/>
                <w:sz w:val="20"/>
              </w:rPr>
              <w:t>Meaning (BAETE Language)</w:t>
            </w:r>
          </w:p>
        </w:tc>
      </w:tr>
      <w:tr>
        <w:tc>
          <w:tcPr>
            <w:tcW w:type="dxa" w:w="2381"/>
          </w:tcPr>
          <w:p>
            <w:pPr>
              <w:spacing w:after="40"/>
            </w:pPr>
            <w:r/>
            <w:r>
              <w:rPr>
                <w:b w:val="0"/>
                <w:sz w:val="20"/>
              </w:rPr>
              <w:t>Compliance (C)</w:t>
            </w:r>
          </w:p>
        </w:tc>
        <w:tc>
          <w:tcPr>
            <w:tcW w:type="dxa" w:w="6690"/>
          </w:tcPr>
          <w:p>
            <w:pPr>
              <w:spacing w:after="40"/>
            </w:pPr>
            <w:r/>
            <w:r>
              <w:rPr>
                <w:b w:val="0"/>
                <w:sz w:val="20"/>
              </w:rPr>
              <w:t>Fully meets BAETE benchmark; evidence is adequate, consistent, and implemented</w:t>
            </w:r>
          </w:p>
        </w:tc>
      </w:tr>
      <w:tr>
        <w:tc>
          <w:tcPr>
            <w:tcW w:type="dxa" w:w="2381"/>
          </w:tcPr>
          <w:p>
            <w:pPr>
              <w:spacing w:after="40"/>
            </w:pPr>
            <w:r/>
            <w:r>
              <w:rPr>
                <w:b w:val="0"/>
                <w:sz w:val="20"/>
              </w:rPr>
              <w:t>Concern (CN)</w:t>
            </w:r>
          </w:p>
        </w:tc>
        <w:tc>
          <w:tcPr>
            <w:tcW w:type="dxa" w:w="6690"/>
          </w:tcPr>
          <w:p>
            <w:pPr>
              <w:spacing w:after="40"/>
            </w:pPr>
            <w:r/>
            <w:r>
              <w:rPr>
                <w:b w:val="0"/>
                <w:sz w:val="20"/>
              </w:rPr>
              <w:t>Largely meets the benchmark, but minor gaps or inconsistent implementation</w:t>
            </w:r>
          </w:p>
        </w:tc>
      </w:tr>
      <w:tr>
        <w:tc>
          <w:tcPr>
            <w:tcW w:type="dxa" w:w="2381"/>
          </w:tcPr>
          <w:p>
            <w:pPr>
              <w:spacing w:after="40"/>
            </w:pPr>
            <w:r/>
            <w:r>
              <w:rPr>
                <w:b w:val="0"/>
                <w:sz w:val="20"/>
              </w:rPr>
              <w:t>Weakness (W)</w:t>
            </w:r>
          </w:p>
        </w:tc>
        <w:tc>
          <w:tcPr>
            <w:tcW w:type="dxa" w:w="6690"/>
          </w:tcPr>
          <w:p>
            <w:pPr>
              <w:spacing w:after="40"/>
            </w:pPr>
            <w:r/>
            <w:r>
              <w:rPr>
                <w:b w:val="0"/>
                <w:sz w:val="20"/>
              </w:rPr>
              <w:t>Partially meets benchmark; significant gaps affect quality</w:t>
            </w:r>
          </w:p>
        </w:tc>
      </w:tr>
      <w:tr>
        <w:tc>
          <w:tcPr>
            <w:tcW w:type="dxa" w:w="2381"/>
          </w:tcPr>
          <w:p>
            <w:pPr>
              <w:spacing w:after="40"/>
            </w:pPr>
            <w:r/>
            <w:r>
              <w:rPr>
                <w:b w:val="0"/>
                <w:sz w:val="20"/>
              </w:rPr>
              <w:t>Deficiency (D)</w:t>
            </w:r>
          </w:p>
        </w:tc>
        <w:tc>
          <w:tcPr>
            <w:tcW w:type="dxa" w:w="6690"/>
          </w:tcPr>
          <w:p>
            <w:pPr>
              <w:spacing w:after="40"/>
            </w:pPr>
            <w:r/>
            <w:r>
              <w:rPr>
                <w:b w:val="0"/>
                <w:sz w:val="20"/>
              </w:rPr>
              <w:t>Fails to meet essential requirements</w:t>
            </w:r>
          </w:p>
        </w:tc>
      </w:tr>
    </w:tbl>
    <w:p>
      <w:pPr>
        <w:spacing w:after="40" w:before="240"/>
      </w:pPr>
      <w:r>
        <w:rPr>
          <w:b/>
        </w:rPr>
        <w:t>Reviewer:</w:t>
      </w:r>
    </w:p>
    <w:p>
      <w:pPr>
        <w:spacing w:after="200" w:before="0"/>
      </w:pPr>
      <w:r>
        <w:rPr>
          <w:b w:val="0"/>
        </w:rPr>
        <w:t>1. PSAC</w:t>
      </w:r>
    </w:p>
    <w:p>
      <w:pPr>
        <w:spacing w:after="80" w:before="0"/>
      </w:pPr>
      <w:r>
        <w:rPr>
          <w:b/>
        </w:rPr>
        <w:t>Overall Observation</w:t>
      </w:r>
    </w:p>
    <w:p>
      <w:pPr>
        <w:spacing w:after="200" w:before="0"/>
        <w:jc w:val="both"/>
      </w:pPr>
      <w:r>
        <w:rPr>
          <w:b w:val="0"/>
        </w:rPr>
        <w:t>The SAR for Criterion 10 requires major revision before BAETE submission. The IQAC review rated all sub-criteria as Concern or Weakness, mainly because annexures, meeting records, official approvals and evidence of industry involvement were missing or not properly indexed. PSAC has collected the available official documents and prepared official-format documents for the missing evidence. These documents become evidence only after they are completed with actual records, signed and dated, and annexed with proper indexing.</w:t>
      </w:r>
    </w:p>
    <w:p>
      <w:pPr>
        <w:spacing w:after="80" w:before="120"/>
      </w:pPr>
      <w:r>
        <w:rPr>
          <w:b/>
          <w:sz w:val="24"/>
        </w:rPr>
        <w:t>Criterion 10: Interactions with Industry</w:t>
      </w:r>
    </w:p>
    <w:tbl>
      <w:tblPr>
        <w:tblStyle w:val="TableGrid"/>
        <w:tblW w:type="auto" w:w="0"/>
        <w:jc w:val="center"/>
        <w:tblLayout w:type="fixed"/>
        <w:tblLook w:firstColumn="1" w:firstRow="1" w:lastColumn="0" w:lastRow="0" w:noHBand="0" w:noVBand="1" w:val="04A0"/>
      </w:tblPr>
      <w:tblGrid>
        <w:gridCol w:w="1701"/>
        <w:gridCol w:w="3402"/>
        <w:gridCol w:w="1247"/>
        <w:gridCol w:w="3288"/>
      </w:tblGrid>
      <w:tr>
        <w:trPr>
          <w:tblHeader w:val="true"/>
        </w:trPr>
        <w:tc>
          <w:tcPr>
            <w:tcW w:type="dxa" w:w="1701"/>
            <w:shd w:val="clear" w:color="auto" w:fill="D9E2F3"/>
          </w:tcPr>
          <w:p>
            <w:pPr>
              <w:spacing w:after="40"/>
              <w:jc w:val="center"/>
            </w:pPr>
            <w:r/>
            <w:r>
              <w:rPr>
                <w:b/>
                <w:sz w:val="20"/>
              </w:rPr>
              <w:t>Sub-Criteria</w:t>
            </w:r>
          </w:p>
        </w:tc>
        <w:tc>
          <w:tcPr>
            <w:tcW w:type="dxa" w:w="3402"/>
            <w:shd w:val="clear" w:color="auto" w:fill="D9E2F3"/>
          </w:tcPr>
          <w:p>
            <w:pPr>
              <w:spacing w:after="40"/>
              <w:jc w:val="center"/>
            </w:pPr>
            <w:r/>
            <w:r>
              <w:rPr>
                <w:b/>
                <w:sz w:val="20"/>
              </w:rPr>
              <w:t>Findings</w:t>
            </w:r>
          </w:p>
        </w:tc>
        <w:tc>
          <w:tcPr>
            <w:tcW w:type="dxa" w:w="1247"/>
            <w:shd w:val="clear" w:color="auto" w:fill="D9E2F3"/>
          </w:tcPr>
          <w:p>
            <w:pPr>
              <w:spacing w:after="40"/>
              <w:jc w:val="center"/>
            </w:pPr>
            <w:r/>
            <w:r>
              <w:rPr>
                <w:b/>
                <w:sz w:val="20"/>
              </w:rPr>
              <w:t>Remarks</w:t>
            </w:r>
          </w:p>
        </w:tc>
        <w:tc>
          <w:tcPr>
            <w:tcW w:type="dxa" w:w="3288"/>
            <w:shd w:val="clear" w:color="auto" w:fill="D9E2F3"/>
          </w:tcPr>
          <w:p>
            <w:pPr>
              <w:spacing w:after="40"/>
              <w:jc w:val="center"/>
            </w:pPr>
            <w:r/>
            <w:r>
              <w:rPr>
                <w:b/>
                <w:sz w:val="20"/>
              </w:rPr>
              <w:t>Status</w:t>
            </w:r>
          </w:p>
        </w:tc>
      </w:tr>
      <w:tr>
        <w:tc>
          <w:tcPr>
            <w:tcW w:type="dxa" w:w="1701"/>
          </w:tcPr>
          <w:p>
            <w:pPr>
              <w:spacing w:after="40"/>
            </w:pPr>
            <w:r/>
            <w:r>
              <w:rPr>
                <w:b/>
                <w:sz w:val="20"/>
              </w:rPr>
              <w:t>10.1 Industrial Advisory Panel</w:t>
            </w:r>
          </w:p>
        </w:tc>
        <w:tc>
          <w:tcPr>
            <w:tcW w:type="dxa" w:w="3402"/>
          </w:tcPr>
          <w:p>
            <w:pPr>
              <w:spacing w:after="40"/>
            </w:pPr>
            <w:r/>
            <w:r>
              <w:rPr>
                <w:b w:val="0"/>
                <w:sz w:val="20"/>
              </w:rPr>
              <w:t>- The establishment date of the Industrial Advisory Panel is not mentioned in the report.</w:t>
            </w:r>
          </w:p>
          <w:p>
            <w:pPr>
              <w:spacing w:after="40"/>
            </w:pPr>
            <w:r>
              <w:rPr>
                <w:b w:val="0"/>
                <w:sz w:val="20"/>
              </w:rPr>
              <w:t>- Meeting notices, attendance lists and minutes of meetings for the last three academic years were not provided as annexures or accessible links in the SAR.</w:t>
            </w:r>
          </w:p>
          <w:p>
            <w:pPr>
              <w:spacing w:after="40"/>
            </w:pPr>
            <w:r>
              <w:rPr>
                <w:b w:val="0"/>
                <w:sz w:val="20"/>
              </w:rPr>
              <w:t>- Proposal for formation, Dean's recommendation, VC approval and memorandum are missing.</w:t>
            </w:r>
          </w:p>
        </w:tc>
        <w:tc>
          <w:tcPr>
            <w:tcW w:type="dxa" w:w="1247"/>
          </w:tcPr>
          <w:p>
            <w:pPr>
              <w:spacing w:after="40"/>
            </w:pPr>
            <w:r/>
            <w:r>
              <w:rPr>
                <w:b w:val="0"/>
                <w:sz w:val="20"/>
              </w:rPr>
              <w:t>Weakness</w:t>
            </w:r>
          </w:p>
        </w:tc>
        <w:tc>
          <w:tcPr>
            <w:tcW w:type="dxa" w:w="3288"/>
          </w:tcPr>
          <w:p>
            <w:pPr>
              <w:spacing w:after="40"/>
            </w:pPr>
            <w:r/>
            <w:r>
              <w:rPr>
                <w:b w:val="0"/>
                <w:sz w:val="20"/>
              </w:rPr>
              <w:t>Establishment date identified: IAP formed on 05.02.2023, reconstituted on 08.04.2024 and finalized on 08.01.2025 (department minutes annexed).</w:t>
            </w:r>
          </w:p>
          <w:p>
            <w:pPr>
              <w:spacing w:after="40"/>
            </w:pPr>
            <w:r>
              <w:rPr>
                <w:b w:val="0"/>
                <w:sz w:val="20"/>
              </w:rPr>
              <w:t>Faculty committee minutes (11.03.2023) with Dean's recommendation and VC approval copy collected.</w:t>
            </w:r>
          </w:p>
          <w:p>
            <w:pPr>
              <w:spacing w:after="40"/>
            </w:pPr>
            <w:r>
              <w:rPr>
                <w:b w:val="0"/>
                <w:sz w:val="20"/>
              </w:rPr>
              <w:t>Office memorandum with ToR and member consent form prepared; to be issued.</w:t>
            </w:r>
          </w:p>
          <w:p>
            <w:pPr>
              <w:spacing w:after="40"/>
            </w:pPr>
            <w:r>
              <w:rPr>
                <w:b w:val="0"/>
                <w:sz w:val="20"/>
              </w:rPr>
              <w:t>Meeting notices, attendance sheets and minutes (2023–2025) prepared; to be verified with actual records, signed and indexed. Photographs to be collected. (60%)</w:t>
            </w:r>
          </w:p>
        </w:tc>
      </w:tr>
      <w:tr>
        <w:tc>
          <w:tcPr>
            <w:tcW w:type="dxa" w:w="1701"/>
          </w:tcPr>
          <w:p>
            <w:pPr>
              <w:spacing w:after="40"/>
            </w:pPr>
            <w:r/>
            <w:r>
              <w:rPr>
                <w:b/>
                <w:sz w:val="20"/>
              </w:rPr>
              <w:t>10.2 Alumni Association</w:t>
            </w:r>
          </w:p>
        </w:tc>
        <w:tc>
          <w:tcPr>
            <w:tcW w:type="dxa" w:w="3402"/>
          </w:tcPr>
          <w:p>
            <w:pPr>
              <w:spacing w:after="40"/>
            </w:pPr>
            <w:r/>
            <w:r>
              <w:rPr>
                <w:b w:val="0"/>
                <w:sz w:val="20"/>
              </w:rPr>
              <w:t>- The alumni association is inconsistently named across documents.</w:t>
            </w:r>
          </w:p>
          <w:p>
            <w:pPr>
              <w:spacing w:after="40"/>
            </w:pPr>
            <w:r>
              <w:rPr>
                <w:b w:val="0"/>
                <w:sz w:val="20"/>
              </w:rPr>
              <w:t>- No official approval document for the formation of the departmental alumni association.</w:t>
            </w:r>
          </w:p>
          <w:p>
            <w:pPr>
              <w:spacing w:after="40"/>
            </w:pPr>
            <w:r>
              <w:rPr>
                <w:b w:val="0"/>
                <w:sz w:val="20"/>
              </w:rPr>
              <w:t>- Executive Committee formed without verified institutional affiliation.</w:t>
            </w:r>
          </w:p>
          <w:p>
            <w:pPr>
              <w:spacing w:after="40"/>
            </w:pPr>
            <w:r>
              <w:rPr>
                <w:b w:val="0"/>
                <w:sz w:val="20"/>
              </w:rPr>
              <w:t>- Only 2026 meeting minutes; digital signatures used for most meetings.</w:t>
            </w:r>
          </w:p>
          <w:p>
            <w:pPr>
              <w:spacing w:after="40"/>
            </w:pPr>
            <w:r>
              <w:rPr>
                <w:b w:val="0"/>
                <w:sz w:val="20"/>
              </w:rPr>
              <w:t>- Evidence of regular meetings (notices, minutes, attendance) not provided.</w:t>
            </w:r>
          </w:p>
        </w:tc>
        <w:tc>
          <w:tcPr>
            <w:tcW w:type="dxa" w:w="1247"/>
          </w:tcPr>
          <w:p>
            <w:pPr>
              <w:spacing w:after="40"/>
            </w:pPr>
            <w:r/>
            <w:r>
              <w:rPr>
                <w:b w:val="0"/>
                <w:sz w:val="20"/>
              </w:rPr>
              <w:t>Weakness</w:t>
            </w:r>
          </w:p>
        </w:tc>
        <w:tc>
          <w:tcPr>
            <w:tcW w:type="dxa" w:w="3288"/>
          </w:tcPr>
          <w:p>
            <w:pPr>
              <w:spacing w:after="40"/>
            </w:pPr>
            <w:r/>
            <w:r>
              <w:rPr>
                <w:b w:val="0"/>
                <w:sz w:val="20"/>
              </w:rPr>
              <w:t>Constitution, rules and regulations approval and election commission documents annexed.</w:t>
            </w:r>
          </w:p>
          <w:p>
            <w:pPr>
              <w:spacing w:after="40"/>
            </w:pPr>
            <w:r>
              <w:rPr>
                <w:b w:val="0"/>
                <w:sz w:val="20"/>
              </w:rPr>
              <w:t>Current Executive Committee and AA notices, attendance and minutes annexed.</w:t>
            </w:r>
          </w:p>
          <w:p>
            <w:pPr>
              <w:spacing w:after="40"/>
            </w:pPr>
            <w:r>
              <w:rPr>
                <w:b w:val="0"/>
                <w:sz w:val="20"/>
              </w:rPr>
              <w:t>Request for official recognition of election result and corrigendum for alumni records prepared.</w:t>
            </w:r>
          </w:p>
          <w:p>
            <w:pPr>
              <w:spacing w:after="40"/>
            </w:pPr>
            <w:r>
              <w:rPr>
                <w:b w:val="0"/>
                <w:sz w:val="20"/>
              </w:rPr>
              <w:t>Name to be harmonized as "DIU ICE Alumni Association". Wet-ink attendance sheet, alumni survey form and membership register prepared. (50%)</w:t>
            </w:r>
          </w:p>
        </w:tc>
      </w:tr>
      <w:tr>
        <w:tc>
          <w:tcPr>
            <w:tcW w:type="dxa" w:w="1701"/>
          </w:tcPr>
          <w:p>
            <w:pPr>
              <w:spacing w:after="40"/>
            </w:pPr>
            <w:r/>
            <w:r>
              <w:rPr>
                <w:b/>
                <w:sz w:val="20"/>
              </w:rPr>
              <w:t>10.3 Participation of Industry in Academic Updates</w:t>
            </w:r>
          </w:p>
        </w:tc>
        <w:tc>
          <w:tcPr>
            <w:tcW w:type="dxa" w:w="3402"/>
          </w:tcPr>
          <w:p>
            <w:pPr>
              <w:spacing w:after="40"/>
            </w:pPr>
            <w:r/>
            <w:r>
              <w:rPr>
                <w:b w:val="0"/>
                <w:sz w:val="20"/>
              </w:rPr>
              <w:t>- No adequate evidence of participation of industry experts in curriculum review or academic updates.</w:t>
            </w:r>
          </w:p>
          <w:p>
            <w:pPr>
              <w:spacing w:after="40"/>
            </w:pPr>
            <w:r>
              <w:rPr>
                <w:b w:val="0"/>
                <w:sz w:val="20"/>
              </w:rPr>
              <w:t>- The role of MoU-based collaboration in ensuring industry input is unclear and not supported with documentary evidence.</w:t>
            </w:r>
          </w:p>
        </w:tc>
        <w:tc>
          <w:tcPr>
            <w:tcW w:type="dxa" w:w="1247"/>
          </w:tcPr>
          <w:p>
            <w:pPr>
              <w:spacing w:after="40"/>
            </w:pPr>
            <w:r/>
            <w:r>
              <w:rPr>
                <w:b w:val="0"/>
                <w:sz w:val="20"/>
              </w:rPr>
              <w:t>Weakness</w:t>
            </w:r>
          </w:p>
        </w:tc>
        <w:tc>
          <w:tcPr>
            <w:tcW w:type="dxa" w:w="3288"/>
          </w:tcPr>
          <w:p>
            <w:pPr>
              <w:spacing w:after="40"/>
            </w:pPr>
            <w:r/>
            <w:r>
              <w:rPr>
                <w:b w:val="0"/>
                <w:sz w:val="20"/>
              </w:rPr>
              <w:t>MoU documents (Atova Technology, Amber IT and others) annexed.</w:t>
            </w:r>
          </w:p>
          <w:p>
            <w:pPr>
              <w:spacing w:after="40"/>
            </w:pPr>
            <w:r>
              <w:rPr>
                <w:b w:val="0"/>
                <w:sz w:val="20"/>
              </w:rPr>
              <w:t>Curriculum review form for industry experts, employer/industry feedback survey and curriculum change trace record prepared.</w:t>
            </w:r>
          </w:p>
          <w:p>
            <w:pPr>
              <w:spacing w:after="40"/>
            </w:pPr>
            <w:r>
              <w:rPr>
                <w:b w:val="0"/>
                <w:sz w:val="20"/>
              </w:rPr>
              <w:t>MoU addendum and MoU activity log prepared. Industry inputs to be collected and linked with the Syllabus Modification Committee. (30%)</w:t>
            </w:r>
          </w:p>
        </w:tc>
      </w:tr>
      <w:tr>
        <w:tc>
          <w:tcPr>
            <w:tcW w:type="dxa" w:w="1701"/>
          </w:tcPr>
          <w:p>
            <w:pPr>
              <w:spacing w:after="40"/>
            </w:pPr>
            <w:r/>
            <w:r>
              <w:rPr>
                <w:b/>
                <w:sz w:val="20"/>
              </w:rPr>
              <w:t>10.4.1 Internships</w:t>
            </w:r>
          </w:p>
        </w:tc>
        <w:tc>
          <w:tcPr>
            <w:tcW w:type="dxa" w:w="3402"/>
          </w:tcPr>
          <w:p>
            <w:pPr>
              <w:spacing w:after="40"/>
            </w:pPr>
            <w:r/>
            <w:r>
              <w:rPr>
                <w:b w:val="0"/>
                <w:sz w:val="20"/>
              </w:rPr>
              <w:t>- Internship/industrial training duration needs clarification.</w:t>
            </w:r>
          </w:p>
          <w:p>
            <w:pPr>
              <w:spacing w:after="40"/>
            </w:pPr>
            <w:r>
              <w:rPr>
                <w:b w:val="0"/>
                <w:sz w:val="20"/>
              </w:rPr>
              <w:t>- Approval copies and DIU central memos related to internship/industrial training rubrics are not included in the SAR or annexures.</w:t>
            </w:r>
          </w:p>
        </w:tc>
        <w:tc>
          <w:tcPr>
            <w:tcW w:type="dxa" w:w="1247"/>
          </w:tcPr>
          <w:p>
            <w:pPr>
              <w:spacing w:after="40"/>
            </w:pPr>
            <w:r/>
            <w:r>
              <w:rPr>
                <w:b w:val="0"/>
                <w:sz w:val="20"/>
              </w:rPr>
              <w:t>Concern</w:t>
            </w:r>
          </w:p>
        </w:tc>
        <w:tc>
          <w:tcPr>
            <w:tcW w:type="dxa" w:w="3288"/>
          </w:tcPr>
          <w:p>
            <w:pPr>
              <w:spacing w:after="40"/>
            </w:pPr>
            <w:r/>
            <w:r>
              <w:rPr>
                <w:b w:val="0"/>
                <w:sz w:val="20"/>
              </w:rPr>
              <w:t>Industrial training rubric, certificates and student assessment samples annexed.</w:t>
            </w:r>
          </w:p>
          <w:p>
            <w:pPr>
              <w:spacing w:after="40"/>
            </w:pPr>
            <w:r>
              <w:rPr>
                <w:b w:val="0"/>
                <w:sz w:val="20"/>
              </w:rPr>
              <w:t>Industrial training/internship guideline and rubric with CO-PO mapping drafted; to be approved in department meeting.</w:t>
            </w:r>
          </w:p>
          <w:p>
            <w:pPr>
              <w:spacing w:after="40"/>
            </w:pPr>
            <w:r>
              <w:rPr>
                <w:b w:val="0"/>
                <w:sz w:val="20"/>
              </w:rPr>
              <w:t>Host organisation supervisor evaluation form and placement request letter prepared. Central memo requested from the Registrar office. (50%)</w:t>
            </w:r>
          </w:p>
        </w:tc>
      </w:tr>
      <w:tr>
        <w:tc>
          <w:tcPr>
            <w:tcW w:type="dxa" w:w="1701"/>
          </w:tcPr>
          <w:p>
            <w:pPr>
              <w:spacing w:after="40"/>
            </w:pPr>
            <w:r/>
            <w:r>
              <w:rPr>
                <w:b/>
                <w:sz w:val="20"/>
              </w:rPr>
              <w:t>10.4.2 Final-year Design Project</w:t>
            </w:r>
          </w:p>
        </w:tc>
        <w:tc>
          <w:tcPr>
            <w:tcW w:type="dxa" w:w="3402"/>
          </w:tcPr>
          <w:p>
            <w:pPr>
              <w:spacing w:after="40"/>
            </w:pPr>
            <w:r/>
            <w:r>
              <w:rPr>
                <w:b w:val="0"/>
                <w:sz w:val="20"/>
              </w:rPr>
              <w:t>- Evidence of industry involvement in selecting project topics, supervising project activities and assessing project work is absent.</w:t>
            </w:r>
          </w:p>
        </w:tc>
        <w:tc>
          <w:tcPr>
            <w:tcW w:type="dxa" w:w="1247"/>
          </w:tcPr>
          <w:p>
            <w:pPr>
              <w:spacing w:after="40"/>
            </w:pPr>
            <w:r/>
            <w:r>
              <w:rPr>
                <w:b w:val="0"/>
                <w:sz w:val="20"/>
              </w:rPr>
              <w:t>Weakness</w:t>
            </w:r>
          </w:p>
        </w:tc>
        <w:tc>
          <w:tcPr>
            <w:tcW w:type="dxa" w:w="3288"/>
          </w:tcPr>
          <w:p>
            <w:pPr>
              <w:spacing w:after="40"/>
            </w:pPr>
            <w:r/>
            <w:r>
              <w:rPr>
                <w:b w:val="0"/>
                <w:sz w:val="20"/>
              </w:rPr>
              <w:t>Capstone rubrics, project list with proposal form, attendance, pre-defence records and project reports annexed.</w:t>
            </w:r>
          </w:p>
          <w:p>
            <w:pPr>
              <w:spacing w:after="40"/>
            </w:pPr>
            <w:r>
              <w:rPr>
                <w:b w:val="0"/>
                <w:sz w:val="20"/>
              </w:rPr>
              <w:t>Proposal form with industry partner field, industry topic proposal form, industry co-supervisor appointment letter, defence evaluation sheet and full capstone rubric prepared.</w:t>
            </w:r>
          </w:p>
          <w:p>
            <w:pPr>
              <w:spacing w:after="40"/>
            </w:pPr>
            <w:r>
              <w:rPr>
                <w:b w:val="0"/>
                <w:sz w:val="20"/>
              </w:rPr>
              <w:t>Semester-wise project list (Spring 2023–Fall 2025) being compiled. (40%)</w:t>
            </w:r>
          </w:p>
        </w:tc>
      </w:tr>
      <w:tr>
        <w:tc>
          <w:tcPr>
            <w:tcW w:type="dxa" w:w="1701"/>
          </w:tcPr>
          <w:p>
            <w:pPr>
              <w:spacing w:after="40"/>
            </w:pPr>
            <w:r/>
            <w:r>
              <w:rPr>
                <w:b/>
                <w:sz w:val="20"/>
              </w:rPr>
              <w:t>10.4.3 Industry Visits</w:t>
            </w:r>
          </w:p>
        </w:tc>
        <w:tc>
          <w:tcPr>
            <w:tcW w:type="dxa" w:w="3402"/>
          </w:tcPr>
          <w:p>
            <w:pPr>
              <w:spacing w:after="40"/>
            </w:pPr>
            <w:r/>
            <w:r>
              <w:rPr>
                <w:b w:val="0"/>
                <w:sz w:val="20"/>
              </w:rPr>
              <w:t>- No clear explanation on how student learning and outcome achievement from industry visits are assessed.</w:t>
            </w:r>
          </w:p>
          <w:p>
            <w:pPr>
              <w:spacing w:after="40"/>
            </w:pPr>
            <w:r>
              <w:rPr>
                <w:b w:val="0"/>
                <w:sz w:val="20"/>
              </w:rPr>
              <w:t>- Very limited involvement of faculty members in planning, supervising and documenting industrial visits.</w:t>
            </w:r>
          </w:p>
        </w:tc>
        <w:tc>
          <w:tcPr>
            <w:tcW w:type="dxa" w:w="1247"/>
          </w:tcPr>
          <w:p>
            <w:pPr>
              <w:spacing w:after="40"/>
            </w:pPr>
            <w:r/>
            <w:r>
              <w:rPr>
                <w:b w:val="0"/>
                <w:sz w:val="20"/>
              </w:rPr>
              <w:t>Concern</w:t>
            </w:r>
          </w:p>
        </w:tc>
        <w:tc>
          <w:tcPr>
            <w:tcW w:type="dxa" w:w="3288"/>
          </w:tcPr>
          <w:p>
            <w:pPr>
              <w:spacing w:after="40"/>
            </w:pPr>
            <w:r/>
            <w:r>
              <w:rPr>
                <w:b w:val="0"/>
                <w:sz w:val="20"/>
              </w:rPr>
              <w:t>Visit request letters (Walton Hi-Tech, Somoy TV) and visit reports (Live Technologies, Dipto TV) annexed.</w:t>
            </w:r>
          </w:p>
          <w:p>
            <w:pPr>
              <w:spacing w:after="40"/>
            </w:pPr>
            <w:r>
              <w:rPr>
                <w:b w:val="0"/>
                <w:sz w:val="20"/>
              </w:rPr>
              <w:t>Visit permission letter, notice and attendance sheet, faculty visit report and student visit report with assessment rubric prepared.</w:t>
            </w:r>
          </w:p>
          <w:p>
            <w:pPr>
              <w:spacing w:after="40"/>
            </w:pPr>
            <w:r>
              <w:rPr>
                <w:b w:val="0"/>
                <w:sz w:val="20"/>
              </w:rPr>
              <w:t>Industry visit register (Spring 2023–Fall 2025) being compiled from actual records. (50%)</w:t>
            </w:r>
          </w:p>
        </w:tc>
      </w:tr>
    </w:tbl>
    <w:p>
      <w:pPr>
        <w:spacing w:after="80" w:before="240"/>
      </w:pPr>
      <w:r>
        <w:rPr>
          <w:b/>
        </w:rPr>
        <w:t>Summary</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shd w:val="clear" w:color="auto" w:fill="D9E2F3"/>
          </w:tcPr>
          <w:p>
            <w:pPr>
              <w:spacing w:after="40"/>
              <w:jc w:val="center"/>
            </w:pPr>
            <w:r/>
            <w:r>
              <w:rPr>
                <w:b/>
                <w:sz w:val="20"/>
              </w:rPr>
              <w:t>BAETE STD</w:t>
            </w:r>
          </w:p>
        </w:tc>
        <w:tc>
          <w:tcPr>
            <w:tcW w:type="dxa" w:w="1814"/>
            <w:shd w:val="clear" w:color="auto" w:fill="D9E2F3"/>
          </w:tcPr>
          <w:p>
            <w:pPr>
              <w:spacing w:after="40"/>
              <w:jc w:val="center"/>
            </w:pPr>
            <w:r/>
            <w:r>
              <w:rPr>
                <w:b/>
                <w:sz w:val="20"/>
              </w:rPr>
              <w:t>Compliance (C)</w:t>
            </w:r>
          </w:p>
        </w:tc>
        <w:tc>
          <w:tcPr>
            <w:tcW w:type="dxa" w:w="1814"/>
            <w:shd w:val="clear" w:color="auto" w:fill="D9E2F3"/>
          </w:tcPr>
          <w:p>
            <w:pPr>
              <w:spacing w:after="40"/>
              <w:jc w:val="center"/>
            </w:pPr>
            <w:r/>
            <w:r>
              <w:rPr>
                <w:b/>
                <w:sz w:val="20"/>
              </w:rPr>
              <w:t>Concern (CN)</w:t>
            </w:r>
          </w:p>
        </w:tc>
        <w:tc>
          <w:tcPr>
            <w:tcW w:type="dxa" w:w="1814"/>
            <w:shd w:val="clear" w:color="auto" w:fill="D9E2F3"/>
          </w:tcPr>
          <w:p>
            <w:pPr>
              <w:spacing w:after="40"/>
              <w:jc w:val="center"/>
            </w:pPr>
            <w:r/>
            <w:r>
              <w:rPr>
                <w:b/>
                <w:sz w:val="20"/>
              </w:rPr>
              <w:t>Weakness (W)</w:t>
            </w:r>
          </w:p>
        </w:tc>
        <w:tc>
          <w:tcPr>
            <w:tcW w:type="dxa" w:w="1814"/>
            <w:shd w:val="clear" w:color="auto" w:fill="D9E2F3"/>
          </w:tcPr>
          <w:p>
            <w:pPr>
              <w:spacing w:after="40"/>
              <w:jc w:val="center"/>
            </w:pPr>
            <w:r/>
            <w:r>
              <w:rPr>
                <w:b/>
                <w:sz w:val="20"/>
              </w:rPr>
              <w:t>Deficiency (D)</w:t>
            </w:r>
          </w:p>
        </w:tc>
      </w:tr>
      <w:tr>
        <w:tc>
          <w:tcPr>
            <w:tcW w:type="dxa" w:w="1814"/>
          </w:tcPr>
          <w:p>
            <w:pPr>
              <w:spacing w:after="40"/>
            </w:pPr>
            <w:r/>
            <w:r>
              <w:rPr>
                <w:b w:val="0"/>
                <w:sz w:val="20"/>
              </w:rPr>
              <w:t>10</w:t>
            </w:r>
          </w:p>
        </w:tc>
        <w:tc>
          <w:tcPr>
            <w:tcW w:type="dxa" w:w="1814"/>
          </w:tcPr>
          <w:p>
            <w:pPr>
              <w:spacing w:after="40"/>
            </w:pPr>
            <w:r/>
            <w:r>
              <w:rPr>
                <w:b w:val="0"/>
                <w:sz w:val="20"/>
              </w:rPr>
            </w:r>
          </w:p>
        </w:tc>
        <w:tc>
          <w:tcPr>
            <w:tcW w:type="dxa" w:w="1814"/>
          </w:tcPr>
          <w:p>
            <w:pPr>
              <w:spacing w:after="40"/>
            </w:pPr>
            <w:r/>
            <w:r>
              <w:rPr>
                <w:b w:val="0"/>
                <w:sz w:val="20"/>
              </w:rPr>
              <w:t>2</w:t>
            </w:r>
          </w:p>
        </w:tc>
        <w:tc>
          <w:tcPr>
            <w:tcW w:type="dxa" w:w="1814"/>
          </w:tcPr>
          <w:p>
            <w:pPr>
              <w:spacing w:after="40"/>
            </w:pPr>
            <w:r/>
            <w:r>
              <w:rPr>
                <w:b w:val="0"/>
                <w:sz w:val="20"/>
              </w:rPr>
              <w:t>4</w:t>
            </w:r>
          </w:p>
        </w:tc>
        <w:tc>
          <w:tcPr>
            <w:tcW w:type="dxa" w:w="1814"/>
          </w:tcPr>
          <w:p>
            <w:pPr>
              <w:spacing w:after="40"/>
            </w:pPr>
            <w:r/>
            <w:r>
              <w:rPr>
                <w:b w:val="0"/>
                <w:sz w:val="20"/>
              </w:rPr>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