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936" w:val="right"/>
        </w:tabs>
        <w:spacing w:after="40" w:before="0"/>
      </w:pPr>
      <w:r>
        <w:t>Ref: DIU/FE/ICE/IAP/2024/01</w:t>
        <w:tab/>
        <w:t>Semester: Summer 2024</w:t>
      </w:r>
    </w:p>
    <w:p>
      <w:pPr>
        <w:spacing w:after="40" w:before="0"/>
        <w:jc w:val="center"/>
      </w:pPr>
      <w:r>
        <w:drawing>
          <wp:inline xmlns:a="http://schemas.openxmlformats.org/drawingml/2006/main" xmlns:pic="http://schemas.openxmlformats.org/drawingml/2006/picture">
            <wp:extent cx="548640" cy="54864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48640" cy="548640"/>
                    </a:xfrm>
                    <a:prstGeom prst="rect"/>
                  </pic:spPr>
                </pic:pic>
              </a:graphicData>
            </a:graphic>
          </wp:inline>
        </w:drawing>
      </w:r>
    </w:p>
    <w:p>
      <w:pPr>
        <w:spacing w:after="0" w:before="0"/>
        <w:jc w:val="center"/>
      </w:pPr>
      <w:r>
        <w:rPr>
          <w:b/>
          <w:i w:val="0"/>
          <w:sz w:val="32"/>
          <w:u w:val="none"/>
        </w:rPr>
        <w:t>Daffodil International University</w:t>
      </w:r>
    </w:p>
    <w:p>
      <w:pPr>
        <w:spacing w:after="120" w:before="0"/>
        <w:jc w:val="center"/>
      </w:pPr>
      <w:r>
        <w:rPr>
          <w:b/>
          <w:i w:val="0"/>
          <w:sz w:val="24"/>
          <w:u w:val="none"/>
        </w:rPr>
        <w:t>Department of Information and Communication Engineering</w:t>
      </w:r>
    </w:p>
    <w:p>
      <w:pPr>
        <w:spacing w:after="120" w:before="0"/>
        <w:jc w:val="center"/>
      </w:pPr>
      <w:r>
        <w:rPr>
          <w:b/>
          <w:i w:val="0"/>
          <w:sz w:val="26"/>
          <w:u w:val="single"/>
        </w:rPr>
        <w:t>Proceedings of the 3rd Meeting with the Industrial Advisory Panel</w:t>
      </w:r>
    </w:p>
    <w:p>
      <w:pPr>
        <w:spacing w:after="80" w:before="0"/>
        <w:jc w:val="both"/>
      </w:pPr>
      <w:r>
        <w:rPr>
          <w:b w:val="0"/>
          <w:i w:val="0"/>
          <w:sz w:val="24"/>
          <w:u w:val="none"/>
        </w:rPr>
        <w:t>A meeting of the Department of Information and Communication Engineering with the members of the Industrial Advisory Panel was held as per the following schedule:</w:t>
      </w:r>
    </w:p>
    <w:p>
      <w:pPr>
        <w:spacing w:after="0" w:before="0"/>
      </w:pPr>
      <w:r>
        <w:rPr>
          <w:b/>
        </w:rPr>
        <w:t xml:space="preserve">Date: </w:t>
      </w:r>
      <w:r>
        <w:t>11th May, 2024 (Saturday)</w:t>
      </w:r>
    </w:p>
    <w:p>
      <w:pPr>
        <w:spacing w:after="0" w:before="0"/>
      </w:pPr>
      <w:r>
        <w:rPr>
          <w:b/>
        </w:rPr>
        <w:t xml:space="preserve">Time: </w:t>
      </w:r>
      <w:r>
        <w:t>11.00 am</w:t>
      </w:r>
    </w:p>
    <w:p>
      <w:pPr>
        <w:spacing w:after="0" w:before="0"/>
      </w:pPr>
      <w:r>
        <w:rPr>
          <w:b/>
        </w:rPr>
        <w:t xml:space="preserve">Venue: </w:t>
      </w:r>
      <w:r>
        <w:t>Conference Room, Department of ICE</w:t>
      </w:r>
    </w:p>
    <w:p>
      <w:pPr>
        <w:spacing w:after="0" w:before="0"/>
      </w:pPr>
      <w:r>
        <w:rPr>
          <w:b/>
        </w:rPr>
        <w:t xml:space="preserve">Chair: </w:t>
      </w:r>
      <w:r>
        <w:t>Head, Department of ICE</w:t>
      </w:r>
    </w:p>
    <w:p>
      <w:pPr>
        <w:spacing w:after="80" w:before="80"/>
        <w:jc w:val="both"/>
      </w:pPr>
      <w:r>
        <w:rPr>
          <w:b w:val="0"/>
          <w:i w:val="0"/>
          <w:sz w:val="24"/>
          <w:u w:val="none"/>
        </w:rPr>
        <w:t>The meeting commenced with a warm welcome from the Head of the Department, who thanked all industry experts for their valuable time and continuous support in strengthening academia-industry collaboration. The following agenda items were discussed in detail, and the corresponding decisions and responsibilities were recorded as follows:</w:t>
      </w:r>
    </w:p>
    <w:tbl>
      <w:tblPr>
        <w:tblStyle w:val="TableGrid"/>
        <w:tblW w:type="auto" w:w="0"/>
        <w:jc w:val="center"/>
        <w:tblLayout w:type="fixed"/>
        <w:tblLook w:firstColumn="1" w:firstRow="1" w:lastColumn="0" w:lastRow="0" w:noHBand="0" w:noVBand="1" w:val="04A0"/>
      </w:tblPr>
      <w:tblGrid>
        <w:gridCol w:w="850"/>
        <w:gridCol w:w="2154"/>
        <w:gridCol w:w="5216"/>
        <w:gridCol w:w="1928"/>
      </w:tblGrid>
      <w:tr>
        <w:tc>
          <w:tcPr>
            <w:tcW w:type="dxa" w:w="850"/>
            <w:shd w:val="clear" w:color="auto" w:fill="D9D9D9"/>
          </w:tcPr>
          <w:p>
            <w:pPr>
              <w:jc w:val="center"/>
            </w:pPr>
            <w:r/>
            <w:r>
              <w:rPr>
                <w:b/>
                <w:sz w:val="20"/>
              </w:rPr>
              <w:t>Serial No.</w:t>
            </w:r>
          </w:p>
        </w:tc>
        <w:tc>
          <w:tcPr>
            <w:tcW w:type="dxa" w:w="2154"/>
            <w:shd w:val="clear" w:color="auto" w:fill="D9D9D9"/>
          </w:tcPr>
          <w:p>
            <w:pPr>
              <w:jc w:val="center"/>
            </w:pPr>
            <w:r/>
            <w:r>
              <w:rPr>
                <w:b/>
                <w:sz w:val="20"/>
              </w:rPr>
              <w:t>Agenda</w:t>
            </w:r>
          </w:p>
        </w:tc>
        <w:tc>
          <w:tcPr>
            <w:tcW w:type="dxa" w:w="5216"/>
            <w:shd w:val="clear" w:color="auto" w:fill="D9D9D9"/>
          </w:tcPr>
          <w:p>
            <w:pPr>
              <w:jc w:val="center"/>
            </w:pPr>
            <w:r/>
            <w:r>
              <w:rPr>
                <w:b/>
                <w:sz w:val="20"/>
              </w:rPr>
              <w:t>Decision</w:t>
            </w:r>
          </w:p>
        </w:tc>
        <w:tc>
          <w:tcPr>
            <w:tcW w:type="dxa" w:w="1928"/>
            <w:shd w:val="clear" w:color="auto" w:fill="D9D9D9"/>
          </w:tcPr>
          <w:p>
            <w:pPr>
              <w:jc w:val="center"/>
            </w:pPr>
            <w:r/>
            <w:r>
              <w:rPr>
                <w:b/>
                <w:sz w:val="20"/>
              </w:rPr>
              <w:t>Responsible</w:t>
            </w:r>
          </w:p>
        </w:tc>
      </w:tr>
      <w:tr>
        <w:tc>
          <w:tcPr>
            <w:tcW w:type="dxa" w:w="850"/>
          </w:tcPr>
          <w:p>
            <w:r/>
            <w:r>
              <w:rPr>
                <w:sz w:val="20"/>
              </w:rPr>
              <w:t>01</w:t>
            </w:r>
          </w:p>
        </w:tc>
        <w:tc>
          <w:tcPr>
            <w:tcW w:type="dxa" w:w="2154"/>
          </w:tcPr>
          <w:p>
            <w:r/>
            <w:r>
              <w:rPr>
                <w:sz w:val="20"/>
              </w:rPr>
              <w:t>Welcome of the Reconstituted IAP</w:t>
            </w:r>
          </w:p>
        </w:tc>
        <w:tc>
          <w:tcPr>
            <w:tcW w:type="dxa" w:w="5216"/>
          </w:tcPr>
          <w:p>
            <w:r/>
            <w:r>
              <w:rPr>
                <w:sz w:val="20"/>
              </w:rPr>
              <w:t>The Head welcomed the members of the reconstituted panel, including new members from Daffodil Online Ltd., Nagad, ACME AI and Ulkasemi, and briefed them on the Terms of Reference and previous decisions.</w:t>
            </w:r>
          </w:p>
        </w:tc>
        <w:tc>
          <w:tcPr>
            <w:tcW w:type="dxa" w:w="1928"/>
          </w:tcPr>
          <w:p>
            <w:r/>
            <w:r>
              <w:rPr>
                <w:sz w:val="20"/>
              </w:rPr>
              <w:t>Head, Department of ICE</w:t>
            </w:r>
          </w:p>
        </w:tc>
      </w:tr>
      <w:tr>
        <w:tc>
          <w:tcPr>
            <w:tcW w:type="dxa" w:w="850"/>
          </w:tcPr>
          <w:p>
            <w:r/>
            <w:r>
              <w:rPr>
                <w:sz w:val="20"/>
              </w:rPr>
              <w:t>02</w:t>
            </w:r>
          </w:p>
        </w:tc>
        <w:tc>
          <w:tcPr>
            <w:tcW w:type="dxa" w:w="2154"/>
          </w:tcPr>
          <w:p>
            <w:r/>
            <w:r>
              <w:rPr>
                <w:sz w:val="20"/>
              </w:rPr>
              <w:t>Confirmation of Previous Minutes and Action Taken</w:t>
            </w:r>
          </w:p>
        </w:tc>
        <w:tc>
          <w:tcPr>
            <w:tcW w:type="dxa" w:w="5216"/>
          </w:tcPr>
          <w:p>
            <w:r/>
            <w:r>
              <w:rPr>
                <w:sz w:val="20"/>
              </w:rPr>
              <w:t>The minutes of the 2nd meeting were confirmed. Progress on the decisions of the previous meeting was reviewed.</w:t>
            </w:r>
          </w:p>
        </w:tc>
        <w:tc>
          <w:tcPr>
            <w:tcW w:type="dxa" w:w="1928"/>
          </w:tcPr>
          <w:p>
            <w:r/>
            <w:r>
              <w:rPr>
                <w:sz w:val="20"/>
              </w:rPr>
              <w:t>Head, Department of ICE</w:t>
            </w:r>
          </w:p>
        </w:tc>
      </w:tr>
      <w:tr>
        <w:tc>
          <w:tcPr>
            <w:tcW w:type="dxa" w:w="850"/>
          </w:tcPr>
          <w:p>
            <w:r/>
            <w:r>
              <w:rPr>
                <w:sz w:val="20"/>
              </w:rPr>
              <w:t>03</w:t>
            </w:r>
          </w:p>
        </w:tc>
        <w:tc>
          <w:tcPr>
            <w:tcW w:type="dxa" w:w="2154"/>
          </w:tcPr>
          <w:p>
            <w:r/>
            <w:r>
              <w:rPr>
                <w:sz w:val="20"/>
              </w:rPr>
              <w:t>Alignment of PEOs and POs with Industry Needs</w:t>
            </w:r>
          </w:p>
        </w:tc>
        <w:tc>
          <w:tcPr>
            <w:tcW w:type="dxa" w:w="5216"/>
          </w:tcPr>
          <w:p>
            <w:r/>
            <w:r>
              <w:rPr>
                <w:sz w:val="20"/>
              </w:rPr>
              <w:t>The panel reviewed the PEOs and POs and suggested greater emphasis on artificial intelligence, cloud computing, cyber security and VLSI/IC design. These will be considered in the next syllabus revision.</w:t>
            </w:r>
          </w:p>
        </w:tc>
        <w:tc>
          <w:tcPr>
            <w:tcW w:type="dxa" w:w="1928"/>
          </w:tcPr>
          <w:p>
            <w:r/>
            <w:r>
              <w:rPr>
                <w:sz w:val="20"/>
              </w:rPr>
              <w:t>Head / Faculty Members</w:t>
            </w:r>
          </w:p>
        </w:tc>
      </w:tr>
      <w:tr>
        <w:tc>
          <w:tcPr>
            <w:tcW w:type="dxa" w:w="850"/>
          </w:tcPr>
          <w:p>
            <w:r/>
            <w:r>
              <w:rPr>
                <w:sz w:val="20"/>
              </w:rPr>
              <w:t>04</w:t>
            </w:r>
          </w:p>
        </w:tc>
        <w:tc>
          <w:tcPr>
            <w:tcW w:type="dxa" w:w="2154"/>
          </w:tcPr>
          <w:p>
            <w:r/>
            <w:r>
              <w:rPr>
                <w:sz w:val="20"/>
              </w:rPr>
              <w:t>Employer Feedback Survey</w:t>
            </w:r>
          </w:p>
        </w:tc>
        <w:tc>
          <w:tcPr>
            <w:tcW w:type="dxa" w:w="5216"/>
          </w:tcPr>
          <w:p>
            <w:r/>
            <w:r>
              <w:rPr>
                <w:sz w:val="20"/>
              </w:rPr>
              <w:t>An employer feedback survey on ICE graduates will be circulated annually. Panel members will help in collecting responses from employers.</w:t>
            </w:r>
          </w:p>
        </w:tc>
        <w:tc>
          <w:tcPr>
            <w:tcW w:type="dxa" w:w="1928"/>
          </w:tcPr>
          <w:p>
            <w:r/>
            <w:r>
              <w:rPr>
                <w:sz w:val="20"/>
              </w:rPr>
              <w:t>ICE Office / IAP Members</w:t>
            </w:r>
          </w:p>
        </w:tc>
      </w:tr>
      <w:tr>
        <w:tc>
          <w:tcPr>
            <w:tcW w:type="dxa" w:w="850"/>
          </w:tcPr>
          <w:p>
            <w:r/>
            <w:r>
              <w:rPr>
                <w:sz w:val="20"/>
              </w:rPr>
              <w:t>05</w:t>
            </w:r>
          </w:p>
        </w:tc>
        <w:tc>
          <w:tcPr>
            <w:tcW w:type="dxa" w:w="2154"/>
          </w:tcPr>
          <w:p>
            <w:r/>
            <w:r>
              <w:rPr>
                <w:sz w:val="20"/>
              </w:rPr>
              <w:t>Micro Credential Course and Certifications</w:t>
            </w:r>
          </w:p>
        </w:tc>
        <w:tc>
          <w:tcPr>
            <w:tcW w:type="dxa" w:w="5216"/>
          </w:tcPr>
          <w:p>
            <w:r/>
            <w:r>
              <w:rPr>
                <w:sz w:val="20"/>
              </w:rPr>
              <w:t>The department will offer short courses and professional certifications (e.g. MikroTik, CCNA, AI/ML, IC layout basics) in collaboration with industry. Members will support with trainers and resources.</w:t>
            </w:r>
          </w:p>
        </w:tc>
        <w:tc>
          <w:tcPr>
            <w:tcW w:type="dxa" w:w="1928"/>
          </w:tcPr>
          <w:p>
            <w:r/>
            <w:r>
              <w:rPr>
                <w:sz w:val="20"/>
              </w:rPr>
              <w:t>Head / IAP Members</w:t>
            </w:r>
          </w:p>
        </w:tc>
      </w:tr>
      <w:tr>
        <w:tc>
          <w:tcPr>
            <w:tcW w:type="dxa" w:w="850"/>
          </w:tcPr>
          <w:p>
            <w:r/>
            <w:r>
              <w:rPr>
                <w:sz w:val="20"/>
              </w:rPr>
              <w:t>06</w:t>
            </w:r>
          </w:p>
        </w:tc>
        <w:tc>
          <w:tcPr>
            <w:tcW w:type="dxa" w:w="2154"/>
          </w:tcPr>
          <w:p>
            <w:r/>
            <w:r>
              <w:rPr>
                <w:sz w:val="20"/>
              </w:rPr>
              <w:t>Miscellaneous</w:t>
            </w:r>
          </w:p>
        </w:tc>
        <w:tc>
          <w:tcPr>
            <w:tcW w:type="dxa" w:w="5216"/>
          </w:tcPr>
          <w:p>
            <w:r/>
            <w:r>
              <w:rPr>
                <w:sz w:val="20"/>
              </w:rPr>
              <w:t>The next meeting of the panel will be held in the Fall 2024 semester.</w:t>
            </w:r>
          </w:p>
        </w:tc>
        <w:tc>
          <w:tcPr>
            <w:tcW w:type="dxa" w:w="1928"/>
          </w:tcPr>
          <w:p>
            <w:r/>
            <w:r>
              <w:rPr>
                <w:sz w:val="20"/>
              </w:rPr>
              <w:t>Head, Department of ICE</w:t>
            </w:r>
          </w:p>
        </w:tc>
      </w:tr>
    </w:tbl>
    <w:p>
      <w:pPr>
        <w:spacing w:after="320" w:before="160"/>
        <w:jc w:val="both"/>
      </w:pPr>
      <w:r>
        <w:rPr>
          <w:b w:val="0"/>
          <w:i w:val="0"/>
          <w:sz w:val="24"/>
          <w:u w:val="none"/>
        </w:rPr>
        <w:t>As there were no other issues to discuss, the Head declared the meeting closed with a vote of thanks to all members present.</w:t>
      </w:r>
    </w:p>
    <w:p>
      <w:pPr>
        <w:spacing w:after="0" w:before="0"/>
        <w:ind w:left="6048"/>
      </w:pPr>
      <w:r>
        <w:rPr>
          <w:b w:val="0"/>
          <w:i w:val="0"/>
          <w:sz w:val="24"/>
          <w:u w:val="none"/>
        </w:rPr>
        <w:t>_______________________</w:t>
      </w:r>
    </w:p>
    <w:p>
      <w:pPr>
        <w:spacing w:after="0" w:before="0"/>
        <w:ind w:left="6048"/>
      </w:pPr>
      <w:r>
        <w:rPr>
          <w:b/>
          <w:i w:val="0"/>
          <w:sz w:val="24"/>
          <w:u w:val="none"/>
        </w:rPr>
        <w:t>Md. Taslim Arefin</w:t>
      </w:r>
    </w:p>
    <w:p>
      <w:pPr>
        <w:spacing w:after="0" w:before="0"/>
        <w:ind w:left="6048"/>
      </w:pPr>
      <w:r>
        <w:rPr>
          <w:b w:val="0"/>
          <w:i w:val="0"/>
          <w:sz w:val="24"/>
          <w:u w:val="none"/>
        </w:rPr>
        <w:t>Associate Professor &amp; Head</w:t>
      </w:r>
    </w:p>
    <w:p>
      <w:pPr>
        <w:spacing w:after="0" w:before="0"/>
        <w:ind w:left="6048"/>
      </w:pPr>
      <w:r>
        <w:rPr>
          <w:b w:val="0"/>
          <w:i w:val="0"/>
          <w:sz w:val="24"/>
          <w:u w:val="none"/>
        </w:rPr>
        <w:t>Department of ICE</w:t>
      </w:r>
    </w:p>
    <w:p>
      <w:pPr>
        <w:spacing w:after="0" w:before="0"/>
        <w:ind w:left="6048"/>
      </w:pPr>
      <w:r>
        <w:rPr>
          <w:b w:val="0"/>
          <w:i w:val="0"/>
          <w:sz w:val="24"/>
          <w:u w:val="none"/>
        </w:rPr>
        <w:t>Daffodil International University</w:t>
      </w:r>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