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C2B" w:rsidRDefault="00086C2B" w:rsidP="00086C2B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eastAsia="標楷體"/>
          <w:sz w:val="64"/>
        </w:rPr>
      </w:pPr>
      <w:r>
        <w:rPr>
          <w:rFonts w:eastAsia="標楷體" w:hint="eastAsia"/>
          <w:sz w:val="64"/>
        </w:rPr>
        <w:t>逢</w:t>
      </w:r>
      <w:r>
        <w:rPr>
          <w:rFonts w:eastAsia="標楷體"/>
          <w:sz w:val="64"/>
        </w:rPr>
        <w:t xml:space="preserve"> </w:t>
      </w:r>
      <w:r>
        <w:rPr>
          <w:rFonts w:eastAsia="標楷體" w:hint="eastAsia"/>
          <w:sz w:val="64"/>
        </w:rPr>
        <w:t xml:space="preserve">  </w:t>
      </w:r>
      <w:r>
        <w:rPr>
          <w:rFonts w:eastAsia="標楷體" w:hint="eastAsia"/>
          <w:sz w:val="64"/>
        </w:rPr>
        <w:t>甲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大</w:t>
      </w:r>
      <w:r>
        <w:rPr>
          <w:rFonts w:eastAsia="標楷體" w:hint="eastAsia"/>
          <w:sz w:val="64"/>
        </w:rPr>
        <w:t xml:space="preserve">   </w:t>
      </w:r>
      <w:r>
        <w:rPr>
          <w:rFonts w:eastAsia="標楷體" w:hint="eastAsia"/>
          <w:sz w:val="64"/>
        </w:rPr>
        <w:t>學</w:t>
      </w:r>
    </w:p>
    <w:p w:rsidR="00086C2B" w:rsidRPr="006A63BF" w:rsidRDefault="006A63BF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spacing w:val="-30"/>
          <w:sz w:val="54"/>
          <w:szCs w:val="54"/>
        </w:rPr>
      </w:pPr>
      <w:bookmarkStart w:id="0" w:name="_Hlk57123279"/>
      <w:r>
        <w:t>電聲碩士學位學程</w:t>
      </w:r>
    </w:p>
    <w:bookmarkEnd w:id="0"/>
    <w:p w:rsidR="00086C2B" w:rsidRPr="00A33B98" w:rsidRDefault="00086C2B" w:rsidP="00086C2B">
      <w:pPr>
        <w:widowControl/>
        <w:autoSpaceDE w:val="0"/>
        <w:autoSpaceDN w:val="0"/>
        <w:spacing w:line="480" w:lineRule="atLeast"/>
        <w:ind w:right="-135"/>
        <w:jc w:val="center"/>
        <w:textAlignment w:val="bottom"/>
        <w:rPr>
          <w:rFonts w:eastAsia="標楷體"/>
          <w:color w:val="FF0000"/>
          <w:szCs w:val="24"/>
        </w:rPr>
      </w:pPr>
      <w:r>
        <w:rPr>
          <w:rFonts w:eastAsia="標楷體" w:hint="eastAsia"/>
          <w:sz w:val="64"/>
        </w:rPr>
        <w:t>碩  士  論  文</w:t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r>
        <w:rPr>
          <w:rFonts w:eastAsia="標楷體" w:hint="eastAsia"/>
          <w:sz w:val="64"/>
        </w:rPr>
      </w:r>
      <w:bookmarkStart w:id="1" w:name="_Hlk57123996"/>
      <w:r w:rsidRPr="00A33B98">
        <w:rPr>
          <w:rFonts w:eastAsia="標楷體" w:hint="eastAsia"/>
          <w:color w:val="FF0000"/>
          <w:szCs w:val="24"/>
        </w:rPr>
      </w:r>
      <w:r w:rsidRPr="00A33B98">
        <w:rPr>
          <w:rFonts w:eastAsia="標楷體" w:hint="eastAsia"/>
          <w:color w:val="FF0000"/>
          <w:szCs w:val="24"/>
        </w:rPr>
      </w:r>
      <w:r w:rsidRPr="00A33B98">
        <w:rPr>
          <w:rFonts w:eastAsia="標楷體" w:hint="eastAsia"/>
          <w:color w:val="FF0000"/>
          <w:szCs w:val="24"/>
        </w:rPr>
      </w:r>
      <w:bookmarkEnd w:id="1"/>
    </w:p>
    <w:p w:rsidR="00086C2B" w:rsidRDefault="00086C2B" w:rsidP="00086C2B">
      <w:pPr>
        <w:widowControl/>
        <w:autoSpaceDE w:val="0"/>
        <w:autoSpaceDN w:val="0"/>
        <w:spacing w:line="280" w:lineRule="atLeast"/>
        <w:ind w:right="-136"/>
        <w:jc w:val="center"/>
        <w:textAlignment w:val="bottom"/>
        <w:rPr>
          <w:rFonts w:eastAsia="標楷體"/>
          <w:sz w:val="64"/>
        </w:rPr>
      </w:pPr>
    </w:p>
    <w:p w:rsidR="00086C2B" w:rsidRPr="00A33B98" w:rsidRDefault="00086C2B" w:rsidP="00086C2B">
      <w:pPr>
        <w:widowControl/>
        <w:autoSpaceDE w:val="0"/>
        <w:autoSpaceDN w:val="0"/>
        <w:spacing w:line="720" w:lineRule="atLeast"/>
        <w:jc w:val="center"/>
        <w:textAlignment w:val="bottom"/>
        <w:rPr>
          <w:rFonts w:eastAsia="標楷體"/>
          <w:sz w:val="44"/>
        </w:rPr>
      </w:pPr>
      <w:bookmarkStart w:id="4" w:name="_Hlk57124045"/>
      <w:r>
        <w:t>UR10 末端 RTX 聲學感測之可審計模擬管線研究：室內聲學特徵驗證與 Isaac Lab 延伸</w:t>
      </w:r>
    </w:p>
    <w:p w:rsidR="00086C2B" w:rsidRDefault="00086C2B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6A63BF" w:rsidRDefault="006A63BF" w:rsidP="00086C2B">
      <w:pPr>
        <w:widowControl/>
        <w:autoSpaceDE w:val="0"/>
        <w:autoSpaceDN w:val="0"/>
        <w:spacing w:before="600" w:line="660" w:lineRule="atLeast"/>
        <w:ind w:right="-136"/>
        <w:jc w:val="center"/>
        <w:textAlignment w:val="bottom"/>
        <w:rPr>
          <w:rFonts w:eastAsia="標楷體"/>
          <w:spacing w:val="100"/>
          <w:sz w:val="44"/>
        </w:rPr>
      </w:pPr>
    </w:p>
    <w:p w:rsidR="00086C2B" w:rsidRPr="0077308D" w:rsidRDefault="00086C2B" w:rsidP="00086C2B">
      <w:pPr>
        <w:ind w:left="360" w:right="464"/>
        <w:jc w:val="distribute"/>
        <w:rPr>
          <w:rFonts w:ascii="標楷體" w:eastAsia="標楷體" w:hAnsi="標楷體"/>
          <w:spacing w:val="100"/>
          <w:sz w:val="44"/>
        </w:rPr>
      </w:pPr>
      <w:bookmarkStart w:id="5" w:name="_GoBack"/>
      <w:bookmarkEnd w:id="5"/>
      <w:r>
        <w:t>中華民國 115 年 6 月</w:t>
      </w:r>
    </w:p>
    <w:p>
      <w:r>
        <w:t>指導教授：蔡鈺鼎 教授</w:t>
      </w:r>
    </w:p>
    <w:p>
      <w:pPr/>
      <w:r>
        <w:t>研究生：（請填入姓名）</w:t>
      </w:r>
    </w:p>
    <w:bookmarkEnd w:id="6"/>
    <w:p w:rsidR="00086C2B" w:rsidRPr="00D17952" w:rsidRDefault="00086C2B" w:rsidP="00086C2B">
      <w:pPr>
        <w:ind w:left="360" w:right="464"/>
        <w:jc w:val="distribute"/>
        <w:rPr>
          <w:rFonts w:eastAsia="標楷體"/>
          <w:color w:val="000000"/>
          <w:sz w:val="44"/>
          <w:szCs w:val="44"/>
        </w:rPr>
        <w:sectPr w:rsidR="00086C2B" w:rsidRPr="00D17952" w:rsidSect="00135F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linePitch="360"/>
        </w:sectPr>
      </w:pPr>
    </w:p>
    <w:p w:rsidR="00086C2B" w:rsidRDefault="00086C2B" w:rsidP="00086C2B">
      <w:pPr>
        <w:pStyle w:val="Header1"/>
        <w:ind w:firstLineChars="0" w:firstLine="0"/>
      </w:pPr>
      <w:proofErr w:type="gramStart"/>
      <w:r>
        <w:rPr>
          <w:rFonts w:hint="eastAsia"/>
        </w:rPr>
        <w:lastRenderedPageBreak/>
        <w:t>誌</w:t>
      </w:r>
      <w:proofErr w:type="gramEnd"/>
      <w:r>
        <w:t xml:space="preserve">  </w:t>
      </w:r>
      <w:r>
        <w:rPr>
          <w:rFonts w:hint="eastAsia"/>
        </w:rPr>
        <w:t>謝</w:t>
      </w:r>
    </w:p>
    <w:bookmarkEnd w:id="7"/>
    <w:bookmarkEnd w:id="8"/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ascii="標楷體" w:eastAsia="標楷體" w:hAnsi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kern w:val="0"/>
          <w:sz w:val="28"/>
          <w:szCs w:val="28"/>
        </w:rPr>
      </w:pPr>
    </w:p>
    <w:p w:rsidR="0058017A" w:rsidRDefault="0058017A" w:rsidP="0058017A">
      <w:pPr>
        <w:autoSpaceDE w:val="0"/>
        <w:ind w:right="5" w:firstLine="482"/>
        <w:jc w:val="right"/>
        <w:rPr>
          <w:rFonts w:eastAsia="標楷體"/>
          <w:color w:val="000000"/>
          <w:sz w:val="28"/>
          <w:szCs w:val="28"/>
        </w:rPr>
      </w:pP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3333FF"/>
          <w:spacing w:val="20"/>
          <w:sz w:val="28"/>
          <w:szCs w:val="28"/>
        </w:rPr>
        <w:t></w:t>
      </w:r>
      <w:r w:rsidRPr="0014020D">
        <w:rPr>
          <w:rFonts w:eastAsia="標楷體"/>
          <w:color w:val="000000"/>
          <w:sz w:val="28"/>
          <w:szCs w:val="28"/>
        </w:rPr>
        <w:t xml:space="preserve"> </w:t>
      </w:r>
      <w:r w:rsidRPr="0014020D">
        <w:rPr>
          <w:rFonts w:eastAsia="標楷體"/>
          <w:color w:val="000000"/>
          <w:sz w:val="28"/>
          <w:szCs w:val="28"/>
        </w:rPr>
        <w:t>謹</w:t>
      </w:r>
      <w:proofErr w:type="gramStart"/>
      <w:r w:rsidRPr="0014020D">
        <w:rPr>
          <w:rFonts w:eastAsia="標楷體"/>
          <w:color w:val="000000"/>
          <w:sz w:val="28"/>
          <w:szCs w:val="28"/>
        </w:rPr>
        <w:t>誌</w:t>
      </w:r>
      <w:proofErr w:type="gramEnd"/>
      <w:r w:rsidRPr="0014020D">
        <w:rPr>
          <w:rFonts w:eastAsia="標楷體"/>
          <w:color w:val="000000"/>
          <w:sz w:val="28"/>
          <w:szCs w:val="28"/>
        </w:rPr>
        <w:t>於</w:t>
      </w:r>
    </w:p>
    <w:p w:rsidR="0058017A" w:rsidRPr="0014020D" w:rsidRDefault="0058017A" w:rsidP="0058017A">
      <w:pPr>
        <w:suppressAutoHyphens/>
        <w:autoSpaceDE w:val="0"/>
        <w:autoSpaceDN w:val="0"/>
        <w:spacing w:line="360" w:lineRule="auto"/>
        <w:ind w:firstLine="482"/>
        <w:jc w:val="right"/>
        <w:textAlignment w:val="baseline"/>
        <w:rPr>
          <w:rFonts w:eastAsia="標楷體"/>
        </w:rPr>
      </w:pPr>
      <w:r w:rsidRPr="0014020D">
        <w:rPr>
          <w:rFonts w:eastAsia="標楷體"/>
          <w:color w:val="000000"/>
          <w:sz w:val="28"/>
          <w:szCs w:val="28"/>
        </w:rPr>
        <w:t>逢甲大學</w:t>
      </w:r>
      <w:bookmarkStart w:id="9" w:name="_Hlk57124262"/>
      <w:r>
        <w:rPr>
          <w:rFonts w:eastAsia="標楷體" w:hint="eastAsia"/>
          <w:color w:val="000000"/>
          <w:sz w:val="28"/>
          <w:szCs w:val="28"/>
        </w:rPr>
        <w:t>工程與科學</w:t>
      </w:r>
      <w:r w:rsidRPr="0014020D">
        <w:rPr>
          <w:rFonts w:eastAsia="標楷體"/>
          <w:color w:val="000000"/>
          <w:sz w:val="28"/>
          <w:szCs w:val="28"/>
        </w:rPr>
        <w:t>學院</w:t>
      </w:r>
      <w:bookmarkEnd w:id="9"/>
    </w:p>
    <w:p w:rsidR="00086C2B" w:rsidRPr="00120CCC" w:rsidRDefault="006C3EF0" w:rsidP="0058017A">
      <w:pPr>
        <w:spacing w:after="180"/>
        <w:ind w:firstLineChars="200" w:firstLine="560"/>
        <w:jc w:val="center"/>
        <w:rPr>
          <w:rFonts w:eastAsia="標楷體"/>
          <w:b/>
          <w:color w:val="000000"/>
          <w:sz w:val="40"/>
          <w:szCs w:val="40"/>
        </w:rPr>
      </w:pPr>
      <w:r>
        <w:t>中華民國 115 年 6 月</w:t>
      </w:r>
    </w:p>
    <w:bookmarkEnd w:id="10"/>
    <w:p w:rsidR="0058017A" w:rsidRPr="0014020D" w:rsidRDefault="0058017A" w:rsidP="0058017A">
      <w:pPr>
        <w:spacing w:after="180" w:line="360" w:lineRule="auto"/>
        <w:ind w:firstLine="560"/>
        <w:jc w:val="both"/>
        <w:rPr>
          <w:rFonts w:eastAsia="標楷體"/>
        </w:rPr>
      </w:pPr>
      <w:r>
        <w:t>本研究從應用電聲角度，探討室內主動聲學回波特徵能否在可控幾何下支撐趨勢級距離推理。研究平台為 NVIDIA Isaac Sim 6.0.0-rc.59 host standalone RTX Acoustic，感測器懸掛於 Universal Robots UR10 末端；實驗採固定 TCP、移動目標設計，於 0.5–3.0 m 範圍進行 6×5 次正式擷取，全部通過驗證（30/30 PASS）。結果顯示 primary_sgw_early_energy 優於飽和之振幅峰值作為距離代理（Spearman ρ≈−0.66, n=6），且與 PyRoomAcoustics early energy 呈中度正相關趨勢（ρ≈+0.66, p≈0.16, n=6），僅作 pilot cross-model characterization，非波形等價。延伸實驗將同一 Geometry Passport 與特徵工廠接入 Isaac Lab：動態場景 128 steps 觀測中，early_energy 與 GT 距離 ρ≈−0.48；Sim 靜態標定訓練之線性回歸於 Lab hold-out 達 MAE≈0.41 m、r≈0.47。in-sim RSL-RL PPO 閉環示範訓練迴路可行，但 hold-out 未優於監督基線（v5 det MAE≈0.44 m）。本研究貢獻為可審計模擬可行性管線與明確 claim boundary，非部署級測距或波形級數位雙生。</w:t>
      </w:r>
    </w:p>
    <w:p w:rsidR="00086C2B" w:rsidRPr="0058017A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color w:val="3333FF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color w:val="3333FF"/>
          <w:sz w:val="28"/>
          <w:szCs w:val="28"/>
        </w:rPr>
      </w:pPr>
      <w:r>
        <w:t>關鍵詞：室內聲學；RTX Acoustic；signal-way 特徵；early energy；Isaac Sim；可重複性</w:t>
      </w:r>
    </w:p>
    <w:p w:rsidR="00086C2B" w:rsidRPr="00120CCC" w:rsidRDefault="00086C2B" w:rsidP="00086C2B">
      <w:pPr>
        <w:autoSpaceDE w:val="0"/>
        <w:autoSpaceDN w:val="0"/>
        <w:adjustRightInd w:val="0"/>
        <w:spacing w:beforeLines="50" w:before="180" w:afterLines="50" w:after="180" w:line="360" w:lineRule="auto"/>
        <w:jc w:val="center"/>
        <w:rPr>
          <w:rFonts w:eastAsia="標楷體"/>
          <w:b/>
          <w:color w:val="000000"/>
          <w:sz w:val="40"/>
          <w:szCs w:val="40"/>
        </w:rPr>
      </w:pPr>
      <w:r w:rsidRPr="00120CCC">
        <w:rPr>
          <w:rFonts w:eastAsia="標楷體"/>
          <w:color w:val="000000"/>
        </w:rPr>
        <w:br w:type="page"/>
      </w:r>
      <w:r w:rsidRPr="00120CCC">
        <w:rPr>
          <w:rFonts w:eastAsia="標楷體"/>
          <w:b/>
          <w:color w:val="000000"/>
          <w:sz w:val="40"/>
          <w:szCs w:val="40"/>
        </w:rPr>
        <w:lastRenderedPageBreak/>
        <w:t>Abstract</w:t>
      </w:r>
    </w:p>
    <w:p w:rsidR="00086C2B" w:rsidRPr="00120CCC" w:rsidRDefault="00086C2B" w:rsidP="00086C2B">
      <w:pPr>
        <w:spacing w:after="180" w:line="360" w:lineRule="auto"/>
        <w:ind w:firstLineChars="200" w:firstLine="560"/>
        <w:jc w:val="both"/>
        <w:rPr>
          <w:rFonts w:eastAsia="標楷體"/>
          <w:color w:val="3333FF"/>
          <w:kern w:val="0"/>
          <w:sz w:val="28"/>
          <w:szCs w:val="28"/>
        </w:rPr>
      </w:pPr>
      <w:r>
        <w:t>This thesis examines, from an applied electro-acoustics perspective, whether indoor active acoustic echo features support trend-level distance reasoning under controlled geometry. Using NVIDIA Isaac Sim 6.0.0-rc.59 host standalone RTX Acoustic on a UR10 end-effector with a fixed-TCP, moving-target protocol, all 30 formal captures (6 distances × 5 repeats) passed validation. primary_sgw_early_energy outperformed saturated amplitude peaks as a distance proxy (Spearman ρ≈−0.66, n=6) and showed a moderate positive trend with PyRoomAcoustics early energy (ρ≈+0.66, p≈0.16, n=6) as pilot cross-model characterization, without waveform equivalence. The same geometry passport and feature factory were extended in Isaac Lab: dynamic observations showed ρ≈−0.48 between early energy and ground-truth distance; Sim-trained linear regression achieved MAE≈0.41 m and r≈0.47 on Lab hold-out. In-simulation RSL-RL PPO demonstrated a feasible closed loop but did not beat the supervised baseline (v5 det MAE≈0.44 m). The contribution is an auditable feasibility pipeline with explicit claim boundaries, not deployment-grade ranging or waveform-faithful digital twins.</w:t>
      </w: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Pr="00120CCC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086C2B" w:rsidRDefault="00086C2B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</w:p>
    <w:p w:rsidR="003C11EF" w:rsidRDefault="003C11EF" w:rsidP="00086C2B">
      <w:pPr>
        <w:spacing w:after="180" w:line="360" w:lineRule="auto"/>
        <w:jc w:val="both"/>
        <w:rPr>
          <w:rFonts w:eastAsia="標楷體"/>
          <w:kern w:val="0"/>
          <w:sz w:val="28"/>
          <w:szCs w:val="28"/>
        </w:rPr>
      </w:pPr>
      <w:r>
        <w:t>Keywords: indoor acoustics; RTX Acoustic; signal-way features; early energy; Isaac Sim; repeatability</w:t>
      </w:r>
    </w:p>
    <w:p w:rsidR="00E25432" w:rsidRPr="00B709CF" w:rsidRDefault="00086C2B" w:rsidP="00B709CF">
      <w:pPr>
        <w:widowControl/>
        <w:autoSpaceDE w:val="0"/>
        <w:autoSpaceDN w:val="0"/>
        <w:spacing w:line="480" w:lineRule="atLeast"/>
        <w:ind w:left="851" w:right="585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>
        <w:rPr>
          <w:rFonts w:eastAsia="標楷體"/>
          <w:sz w:val="64"/>
        </w:rPr>
        <w:br w:type="page"/>
      </w:r>
      <w:bookmarkStart w:id="11" w:name="_Toc169544836"/>
      <w:r w:rsidR="00E25432" w:rsidRPr="00B709CF">
        <w:rPr>
          <w:rFonts w:ascii="標楷體" w:eastAsia="標楷體" w:hAnsi="標楷體" w:hint="eastAsia"/>
          <w:sz w:val="40"/>
          <w:szCs w:val="40"/>
        </w:rPr>
        <w:lastRenderedPageBreak/>
        <w:t>目</w:t>
      </w:r>
      <w:r w:rsidR="00A33B98" w:rsidRPr="00B709CF">
        <w:rPr>
          <w:rFonts w:ascii="標楷體" w:eastAsia="標楷體" w:hAnsi="標楷體"/>
          <w:sz w:val="40"/>
          <w:szCs w:val="40"/>
        </w:rPr>
        <w:t xml:space="preserve"> </w:t>
      </w:r>
      <w:r w:rsidR="00E25432" w:rsidRPr="00B709CF">
        <w:rPr>
          <w:rFonts w:ascii="標楷體" w:eastAsia="標楷體" w:hAnsi="標楷體" w:hint="eastAsia"/>
          <w:sz w:val="40"/>
          <w:szCs w:val="40"/>
        </w:rPr>
        <w:t>錄</w:t>
      </w:r>
      <w:bookmarkEnd w:id="11"/>
    </w:p>
    <w:p w:rsidR="00E25432" w:rsidRDefault="00E25432" w:rsidP="00FE10F7">
      <w:pPr>
        <w:pStyle w:val="10"/>
        <w:rPr>
          <w:szCs w:val="24"/>
        </w:rPr>
      </w:pPr>
      <w:r>
        <w:fldChar w:fldCharType="begin"/>
      </w:r>
      <w:r>
        <w:instrText xml:space="preserve"> TOC \h \z \t "Header1,1,Header2,2,Header3,3" </w:instrText>
      </w:r>
      <w:r>
        <w:fldChar w:fldCharType="separate"/>
      </w:r>
      <w:hyperlink w:anchor="_Toc169544834" w:history="1">
        <w:r w:rsidR="00867C10">
          <w:rPr>
            <w:rStyle w:val="a7"/>
            <w:rFonts w:hint="eastAsia"/>
          </w:rPr>
          <w:t>誌謝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_Toc169544834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5" w:history="1">
        <w:r w:rsidR="00867C10">
          <w:rPr>
            <w:rStyle w:val="a7"/>
            <w:rFonts w:hint="eastAsia"/>
          </w:rPr>
          <w:t>摘要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_Toc169544835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ii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6" w:history="1">
        <w:r w:rsidR="00E25432">
          <w:rPr>
            <w:rStyle w:val="a7"/>
            <w:rFonts w:hint="eastAsia"/>
          </w:rPr>
          <w:t>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_Toc169544836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iii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7" w:history="1">
        <w:r w:rsidR="00E25432">
          <w:rPr>
            <w:rStyle w:val="a7"/>
            <w:rFonts w:hint="eastAsia"/>
          </w:rPr>
          <w:t>圖目錄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_Toc169544837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iv</w:t>
        </w:r>
        <w:r w:rsidR="00E25432">
          <w:rPr>
            <w:webHidden/>
          </w:rPr>
          <w:fldChar w:fldCharType="end"/>
        </w:r>
      </w:hyperlink>
    </w:p>
    <w:p w:rsidR="00E25432" w:rsidRDefault="003B3681" w:rsidP="00FE10F7">
      <w:pPr>
        <w:pStyle w:val="10"/>
        <w:rPr>
          <w:szCs w:val="24"/>
        </w:rPr>
      </w:pPr>
      <w:hyperlink w:anchor="_Toc169544838" w:history="1">
        <w:r w:rsidR="00E25432">
          <w:rPr>
            <w:rStyle w:val="a7"/>
            <w:rFonts w:hint="eastAsia"/>
          </w:rPr>
          <w:t>表目錄</w:t>
        </w:r>
        <w:r w:rsidR="00E25432">
          <w:rPr>
            <w:webHidden/>
          </w:rPr>
          <w:tab/>
        </w:r>
        <w:r w:rsidR="00E25432">
          <w:rPr>
            <w:webHidden/>
          </w:rPr>
          <w:fldChar w:fldCharType="begin"/>
        </w:r>
        <w:r w:rsidR="00E25432">
          <w:rPr>
            <w:webHidden/>
          </w:rPr>
          <w:instrText xml:space="preserve"> PAGEREF _Toc169544838 \h </w:instrText>
        </w:r>
        <w:r w:rsidR="00E25432">
          <w:rPr>
            <w:webHidden/>
          </w:rPr>
        </w:r>
        <w:r w:rsidR="00E25432">
          <w:rPr>
            <w:webHidden/>
          </w:rPr>
          <w:fldChar w:fldCharType="separate"/>
        </w:r>
        <w:r w:rsidR="00E25432">
          <w:rPr>
            <w:webHidden/>
          </w:rPr>
          <w:t>v</w:t>
        </w:r>
        <w:r w:rsidR="00E25432">
          <w:rPr>
            <w:webHidden/>
          </w:rPr>
          <w:fldChar w:fldCharType="end"/>
        </w:r>
      </w:hyperlink>
    </w:p>
    <w:p>
      <w:pPr>
        <w:pStyle w:val="Header1"/>
      </w:pPr>
      <w:r>
        <w:t>第一章、緒論</w:t>
      </w:r>
    </w:p>
    <w:p>
      <w:pPr>
        <w:pStyle w:val="Header2"/>
      </w:pPr>
      <w:r>
        <w:t>1.1 研究背景與問題意識</w:t>
      </w:r>
    </w:p>
    <w:p>
      <w:pPr>
        <w:pStyle w:val="Content"/>
      </w:pPr>
      <w:r>
        <w:t>室內主動聲學系統中，多徑傳播與殘響使接收信號同時承載幾何、材質與距離資訊，但各分量往往以弱耦合方式呈現於摘要特徵。在機器人末端非視覺測距應用中，如何從可控實驗條件下擷取可重現之聲學觀測，並據以判斷距離趨勢是否可被辨識，是應用電聲與機器人感知之交叉問題。NVIDIA Isaac Sim 6.0 提供 RTX Acoustic 實驗性模組，可輸出 Generic Model Output（GMO）signal-way 序列，為在模擬環境中系統化檢驗上述問題提供工具。</w:t>
      </w:r>
    </w:p>
    <w:p>
      <w:pPr>
        <w:pStyle w:val="Content"/>
      </w:pPr>
      <w:r>
        <w:t>本研究之核心問題為：在固定 TCP 與可審計幾何／材質條件下，RTX 聲學特徵（尤其 primary_sgw_early_energy）能否支撐趨勢級距離推理？此問題之答案應以可重複性與跨模型趨勢對照衡量，而非假設模擬波形等同實機超音波感測器或 CH201 硬體輸出。</w:t>
      </w:r>
    </w:p>
    <w:p>
      <w:pPr>
        <w:pStyle w:val="Header2"/>
      </w:pPr>
      <w:r>
        <w:t>1.2 研究目的與問題陳述</w:t>
      </w:r>
    </w:p>
    <w:p>
      <w:pPr>
        <w:pStyle w:val="Content"/>
      </w:pPr>
      <w:r>
        <w:t>主問題：Isaac Sim 可審計 RTX 聲學擷取管線是否可行且可重現？</w:t>
      </w:r>
    </w:p>
    <w:p>
      <w:pPr>
        <w:pStyle w:val="Content"/>
      </w:pPr>
      <w:r>
        <w:t>子問題一：early energy 等特徵對距離與材質條件之敏感度為何？</w:t>
      </w:r>
    </w:p>
    <w:p>
      <w:pPr>
        <w:pStyle w:val="Content"/>
      </w:pPr>
      <w:r>
        <w:t>子問題二：同一特徵定義能否遷移至 Isaac Lab 動態場景與學習迴路（監督／強化）？</w:t>
      </w:r>
    </w:p>
    <w:p>
      <w:pPr>
        <w:pStyle w:val="Header2"/>
      </w:pPr>
      <w:r>
        <w:t>1.3 研究範圍與限制</w:t>
      </w:r>
    </w:p>
    <w:p>
      <w:pPr>
        <w:pStyle w:val="Content"/>
      </w:pPr>
      <w:r>
        <w:t>納入：Isaac Sim 6.0 host standalone、官方 UR10、六面牆房間、sensor→target 0.5–3.0 m（6 點）、材質 A/B/C、30 次正式實驗、Isaac Lab 動態 smoke 與 Sim→Lab 監督學習、in-sim RL 閉環示範。排除：CH201 實機量測、波形級 RTX–PRA 等價、移動手臂 IK 舊方案。</w:t>
      </w:r>
    </w:p>
    <w:p>
      <w:pPr>
        <w:pStyle w:val="Content"/>
      </w:pPr>
      <w:r>
        <w:t>限制：模擬 only；單一 TCP 姿態；early_energy 為啟發式（前 25% samples 能量和）；RTX Acoustic 為 experimental API；6 距離點旨在可行性而非回歸精度飽和。</w:t>
      </w:r>
    </w:p>
    <w:p>
      <w:pPr>
        <w:pStyle w:val="Header2"/>
      </w:pPr>
      <w:r>
        <w:t>1.4 名詞解釋與研究貢獻</w:t>
      </w:r>
    </w:p>
    <w:p>
      <w:pPr>
        <w:pStyle w:val="Content"/>
      </w:pPr>
      <w:r>
        <w:t>GMO（Generic Model Output）：RTX 聲學感測輸出之結構化訊息，含 signal-way 振幅序列。Passport：可版本化之幾何／材質實驗護照。trend-level：趨勢級，允許單調相關但不宣稱絕對誤差達部署規格。claim boundary：可宣稱與不可宣稱之對照邊界（詳表6.1）。</w:t>
      </w:r>
    </w:p>
    <w:p>
      <w:pPr>
        <w:pStyle w:val="Content"/>
      </w:pPr>
      <w:r>
        <w:t>貢獻一（主）：建立 UR10 固定 TCP 下可審計 RTX 聲學管線，完成 30/30 可重複性與 RTX×PRA pilot 趨勢對照（n=6）。</w:t>
      </w:r>
    </w:p>
    <w:p>
      <w:pPr>
        <w:pStyle w:val="Content"/>
      </w:pPr>
      <w:r>
        <w:t>貢獻二（次）：延伸至 Isaac Lab 動態觀測與 Sim→Lab 監督遷移（r≈0.47，MAE≈0.41 m）。</w:t>
      </w:r>
    </w:p>
    <w:p>
      <w:pPr>
        <w:pStyle w:val="Content"/>
      </w:pPr>
      <w:r>
        <w:t>貢獻三（附）：示範 in-sim RSL-RL 閉環可跑通；未優於監督基線，僅證訓練迴路可行性。</w:t>
      </w:r>
    </w:p>
    <w:p>
      <w:pPr>
        <w:pStyle w:val="Header1"/>
      </w:pPr>
      <w:r>
        <w:t>第二章、文獻探討</w:t>
      </w:r>
    </w:p>
    <w:p>
      <w:pPr>
        <w:pStyle w:val="Header2"/>
      </w:pPr>
      <w:r>
        <w:t>2.1 機器人非視覺感測與超音波測距</w:t>
      </w:r>
    </w:p>
    <w:p>
      <w:pPr>
        <w:pStyle w:val="Content"/>
      </w:pPr>
      <w:r>
        <w:t>協作機器人與工業手臂在狹窄、遮蔽或人機共融場景中，僅依賴視覺往往難以穩定取得近距幾何資訊。Alatise 等（2020）指出，多模態感測融合——其中包含超音波與其他非視覺距離量測——可補足視覺在反光、低照度與遮擋條件下的不足。此互補角色對本研究至關重要：UR10 末端掛載之主動聲學感測，並非取代相機，而是在固定 TCP 幾何下提供可重複的距離相關觀測。</w:t>
      </w:r>
    </w:p>
    <w:p>
      <w:pPr>
        <w:pStyle w:val="Content"/>
      </w:pPr>
      <w:r>
        <w:t>時間飛行（Time-of-Flight, ToF）相機提供主動深度量測，He 等（2019）綜述其在三維擷取上的進展，同時強調多徑反射與動態範圍限制常需與其他 proximity 感測協同。Zhmud 等（2018）則以機器人（含手臂）掛載超音波感測器為例，說明近距量測需校正感測器姿態、反射面法向與安裝幾何；本研究之 Geometry Passport 即沿此脈絡，將感測器—目標相對幾何列為可審計變量。</w:t>
      </w:r>
    </w:p>
    <w:p>
      <w:pPr>
        <w:pStyle w:val="Content"/>
      </w:pPr>
      <w:r>
        <w:t>近年亦有研究探索主動聲學回波於小型機器人之應用。Dümbgen 等（2022）展示無視覺條件下，可聽域主動回波仍能估計障礙距離，與 Isaac Sim RTX Acoustic 之主動聲學模擬屬同一技術族。綜上，文獻支持「末端非視覺測距具工業互補價值」，但亦提醒量測品質高度依賴幾何與環境；本研究因此不宣稱部署級測距精度，而聚焦於控制變量下之可行性驗證。</w:t>
      </w:r>
    </w:p>
    <w:p>
      <w:pPr>
        <w:pStyle w:val="Header2"/>
      </w:pPr>
      <w:r>
        <w:t>2.2 模擬與虛實整合（Sim-to-Real）</w:t>
      </w:r>
    </w:p>
    <w:p>
      <w:pPr>
        <w:pStyle w:val="Content"/>
      </w:pPr>
      <w:r>
        <w:t>Gao 等（2026）指出，模擬已成為機器人研究的核心基礎設施；NVIDIA Isaac Sim 整合 GPU 加速物理、RTX 渲染與感測模擬於 USD 場景圖，並支援大規模機器人學習實驗。Mittal 等（2023）提出 Orbit（Isaac Lab 前身），以 GPU 並行模擬支撐互動式機器人學習環境；本研究 Phase 4–5 之 DirectRLEnv 延伸即建立於此平台系譜。</w:t>
      </w:r>
    </w:p>
    <w:p>
      <w:pPr>
        <w:pStyle w:val="Content"/>
      </w:pPr>
      <w:r>
        <w:t>近年 Isaac Sim 生態持續擴充：GRADE（2025）示範以 Isaac Sim 生成動態室內場景，與本研究移動目標設定同類；Salimpour 等（2025）將 Isaac Sim 訓練之強化學習策略銜接 Gazebo 與 ROS 2，說明模擬器可作為 Sim-to-Real 鏈路起點；Zhou 等（2024）則將 Isaac Sim 用於工業 CPS 操作基準，呼應智能製造數位驗證需求。</w:t>
      </w:r>
    </w:p>
    <w:p>
      <w:pPr>
        <w:pStyle w:val="Content"/>
      </w:pPr>
      <w:r>
        <w:t>然而，模擬器輸出並非物理真值。Höfer 等（2021）強調 Sim-to-Real 應以任務級指標驗證遷移成效，不宜假設模擬信號與實機波形等價。本研究遵循此認識論邊界：RTX GMO 特徵僅作趨勢級距離推理之可行性證據，而非 CH201 實機部署之波形對照標準。</w:t>
      </w:r>
    </w:p>
    <w:p>
      <w:pPr>
        <w:pStyle w:val="Header2"/>
      </w:pPr>
      <w:r>
        <w:t>2.3 聲學模擬與多徑效應</w:t>
      </w:r>
    </w:p>
    <w:p>
      <w:pPr>
        <w:pStyle w:val="Content"/>
      </w:pPr>
      <w:r>
        <w:t>室內聲學定位與測距長期受多徑傳播與殘響影響。Liu 等（2020）綜述室內聲學定位文獻，指出早期反射能量（early energy）常作為距離或位置之弱代理變量（proxy），其可解釋變異量受房間幾何、材質吸收與收發配置制約。</w:t>
      </w:r>
    </w:p>
    <w:p>
      <w:pPr>
        <w:pStyle w:val="Content"/>
      </w:pPr>
      <w:r>
        <w:t>Valin 等（2017）回顧機器人聲源定位，說明殘響環境下需區分直接徑與反射徑貢獻；主動聲學（感測器發射、接收回波）可提供額外距離線索，但仍非 ToF 雷射之單一路徑量測。Tsuchiya 等（2022）進一步示範，單通道聲學感測亦可利用多徑到達時間進行室內自我定位，顯示聲學—距離之間存在可利用但非線性、非單調的關聯。</w:t>
      </w:r>
    </w:p>
    <w:p>
      <w:pPr>
        <w:pStyle w:val="Content"/>
      </w:pPr>
      <w:r>
        <w:t>上述文獻為本研究選用 primary_sgw_early_energy 提供理論動機：在封閉工業房間中，早期信號能量隨距離呈趨勢性變化，但不宜將其直接等同物理 ToF 或宣稱厘米級精度。此設定與後文 PyRoomAcoustics 趨勢對照及 claim boundary 一致。</w:t>
      </w:r>
    </w:p>
    <w:p>
      <w:pPr>
        <w:pStyle w:val="Header2"/>
      </w:pPr>
      <w:r>
        <w:t>2.4 RTX Acoustic 與 GenericModelOutput</w:t>
      </w:r>
    </w:p>
    <w:p>
      <w:pPr>
        <w:pStyle w:val="Content"/>
      </w:pPr>
      <w:r>
        <w:t>Isaac Sim 6.0 提供 RTX Acoustic 實驗性感測模組（NVIDIA, 2026a），以 GPU 路徑追蹤模擬聲波傳播，輸出 Generic Model Output（GMO）之 signal-way 張量。相較傳統幾何聲學套件（如 image-source 模型），RTX 路徑與材質互動方式不同，NVIDIA（2026c）亦將 RTX 感測與註解器（annotators）定位為可擴充之合成感測管線。</w:t>
      </w:r>
    </w:p>
    <w:p>
      <w:pPr>
        <w:pStyle w:val="Content"/>
      </w:pPr>
      <w:r>
        <w:t>GMO 欄位語義（NVIDIA, 2026b）定義 tx／rx／channel 維度與振幅取樣序列，為本研究 rtx_acoustic_factory 特徵萃取之依據。由於學術文獻中直接結合「RTX Acoustic + 工業手臂」之公開研究極少，平台鄰近工作如 Song 等（2025）之 OceanSim 示範：Isaac Sim 可擴充為專用 ray-traced 感測管線，支撐本研究以官方 API 建構可重現擷取流程之合理性。</w:t>
      </w:r>
    </w:p>
    <w:p>
      <w:pPr>
        <w:pStyle w:val="Content"/>
      </w:pPr>
      <w:r>
        <w:t>需再次強調：RTX Acoustic 目前標示為 experimental，文件亦未保證與實機 CH201 或 PRA 波形一致。本研究將其視為「可控幾何下之合成觀測來源」，而非物理 ground truth。</w:t>
      </w:r>
    </w:p>
    <w:p>
      <w:pPr>
        <w:pStyle w:val="Header2"/>
      </w:pPr>
      <w:r>
        <w:t>2.5 PyRoomAcoustics 房間聲學基線</w:t>
      </w:r>
    </w:p>
    <w:p>
      <w:pPr>
        <w:pStyle w:val="Content"/>
      </w:pPr>
      <w:r>
        <w:t>為避免單一模擬器之模型偏差，本研究引入 PyRoomAcoustics（Scheibler 等, 2018）作為幾何聲學基線。Brinkmann 等（2019）之 round-robin 研究顯示，不同房間聲學模擬器對 RIR 之預測存在系統性差異，故跨模擬器比較應限於趨勢級（trend-level）對照，而非波形級等價檢定。</w:t>
      </w:r>
    </w:p>
    <w:p>
      <w:pPr>
        <w:pStyle w:val="Content"/>
      </w:pPr>
      <w:r>
        <w:t>在特徵—距離推理文獻方面，dEchorate 資料集（2021）提供標定 RIR 與回波特徵，支撐以聲學摘要特徵進行距離相關學習之可行性。本研究 Phase 3 以 PRA 萃取 early energy、RT60 等與 RTX 同幾何對齊，於 n=6 距離點觀察到 early energy 中度正相關趨勢（Spearman ρ≈+0.66, p≈0.16），惟樣本數有限且未達顯著，僅作 pilot cross-model characterization；振幅尺度與飽和行為亦不同，再次印證「趨勢可對、波形不等」之 claim boundary。</w:t>
      </w:r>
    </w:p>
    <w:p>
      <w:pPr>
        <w:pStyle w:val="Header2"/>
      </w:pPr>
      <w:r>
        <w:t>2.6 文獻缺口與本研究定位</w:t>
      </w:r>
    </w:p>
    <w:p>
      <w:pPr>
        <w:pStyle w:val="Content"/>
      </w:pPr>
      <w:r>
        <w:t>綜合前述各面向，現有文獻多覆蓋子集而非完整交集：Isaac Sim 平台研究（F2）鮮少同時處理 RTX Acoustic 距離可重複性；聲學機器人研究（F4/F6）多未提供 Isaac／Omniverse 可審計管線；Isaac Lab 閉環 RL（F7）亦少見以 RTX GMO 為觀測源之距離估計實驗。在工業固定 TCP 手臂場景下，同時整合上述要素之公開工作仍屬稀疏。</w:t>
      </w:r>
    </w:p>
    <w:p>
      <w:pPr>
        <w:pStyle w:val="Content"/>
      </w:pPr>
      <w:r>
        <w:t>Xu 等（2024）論述製造數位雙生需可重現模擬管線，呼應電聲與機器人應用交叉之模擬驗證需求。本研究定位為 simulation-based feasibility pipeline（模擬可行性管線）與 methodological bridge（Sim 靜態校準 → Lab 動態觀測 → 可選 in-sim RL）：以 Geometry／Material Passport、30/30 可重複性協定與 replication package 提供可審計證據，並以監督學習（§5.3, r≈0.47）示範趨勢級距離推理，而非宣稱部署級測距或波形等價。</w:t>
      </w:r>
    </w:p>
    <w:p>
      <w:pPr>
        <w:pStyle w:val="Content"/>
      </w:pPr>
      <w:r>
        <w:t>因此，本論文貢獻不在提出新聲學物理模型，而在填補 G0 缺口：建立 UR10 固定 TCP + RTX Acoustic + Isaac Lab 延伸之端到端可重現工作流程，為後續 CH201 實機 task-level 驗證預留協定與評估邊界。</w:t>
      </w:r>
    </w:p>
    <w:p>
      <w:pPr>
        <w:pStyle w:val="Header1"/>
      </w:pPr>
      <w:r>
        <w:t>第三章、研究方法</w:t>
      </w:r>
    </w:p>
    <w:p>
      <w:pPr>
        <w:pStyle w:val="Header2"/>
      </w:pPr>
      <w:r>
        <w:t>3.1 研究架構</w:t>
      </w:r>
    </w:p>
    <w:p>
      <w:pPr>
        <w:pStyle w:val="Content"/>
      </w:pPr>
      <w:r>
        <w:t>本研究主線為 Isaac Sim 可審計管線（第三、四章）；Isaac Lab 動態觀測與學習示範為延伸（第五章）。圖3.1 示固態流程：Passport 定義變量 → RTX 擷取 → 特徵工廠 → PRA 趨勢對照 → Sim 主實驗評估；虛線為同一 Passport／Factory 接入 Lab 之延伸路徑。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5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圖3.1  研究架構（實線：Sim 主線；虛線：Lab 延伸）</w:t>
      </w:r>
    </w:p>
    <w:p>
      <w:pPr>
        <w:pStyle w:val="Header2"/>
      </w:pPr>
      <w:r>
        <w:t>3.2 實驗平台與可重現執行</w:t>
      </w:r>
    </w:p>
    <w:p>
      <w:pPr>
        <w:pStyle w:val="Content"/>
      </w:pPr>
      <w:r>
        <w:t>Isaac Sim 6.0 host standalone（6.0.0-rc.59），以 scripts/run_host_python.sh 與 env_host_isolated.sh 隔離執行。機器人為官方 UR10 USD；RTX Acoustic 掛載於 ee_link/official_rtx_acoustic。</w:t>
      </w:r>
    </w:p>
    <w:p>
      <w:pPr>
        <w:pStyle w:val="Header2"/>
      </w:pPr>
      <w:r>
        <w:t>3.3 實驗設計：fixed_tcp_moving_target</w:t>
      </w:r>
    </w:p>
    <w:p>
      <w:pPr>
        <w:pStyle w:val="Content"/>
      </w:pPr>
      <w:r>
        <w:t>固定 TCP（xy 半徑≈0.816 m、z≈0.65 m），僅移動 8 cm×8 cm×2 cm 目標板；ee_link 運動量 0 m。距離 waypoints：0.5–3.0 m（6 點）。設計目的為隔離幾何變量，使重複性與趨勢分析可解釋。</w:t>
      </w:r>
    </w:p>
    <w:p>
      <w:pPr>
        <w:pStyle w:val="Header2"/>
      </w:pPr>
      <w:r>
        <w:t>3.4 Geometry Passport 與 Material Passport</w:t>
      </w:r>
    </w:p>
    <w:p>
      <w:pPr>
        <w:pStyle w:val="Content"/>
      </w:pPr>
      <w:r>
        <w:t>Geometry Passport v1.0：房間 4.5 m×3.0 m×2.8 m、感測器掛載、目標軌跡。Material Passport v1.0：NonVisualMaterial 條件 A（低吸收）、B（中吸收，主實驗）、C（高吸收）。</w:t>
      </w:r>
    </w:p>
    <w:p>
      <w:pPr>
        <w:pStyle w:val="Header2"/>
      </w:pPr>
      <w:r>
        <w:t>3.5 RTX GMO 擷取與 signal-way 特徵</w:t>
      </w:r>
    </w:p>
    <w:p>
      <w:pPr>
        <w:pStyle w:val="Content"/>
      </w:pPr>
      <w:r>
        <w:t>以 Replicator Writer 擷取 GMO；timeline.play() 驅動步進。rtx_acoustic_factory.py 驗證結構並解析 signal-way，萃取 primary_sgw_early_energy（前 25% samples 能量和）、primary_sgw_peak 等。</w:t>
      </w:r>
    </w:p>
    <w:p>
      <w:pPr>
        <w:pStyle w:val="Header2"/>
      </w:pPr>
      <w:r>
        <w:t>3.6 PyRoomAcoustics 趨勢參考協定</w:t>
      </w:r>
    </w:p>
    <w:p>
      <w:pPr>
        <w:pStyle w:val="Content"/>
      </w:pPr>
      <w:r>
        <w:t>PyRoomAcoustics v0.10.1 批次產生與 Geometry Passport 對齊之 RIR；萃取 RT60、early energy 等。PRA 僅作趨勢參考，非 RTX 波形 ground truth。</w:t>
      </w:r>
    </w:p>
    <w:p>
      <w:pPr>
        <w:pStyle w:val="Header2"/>
      </w:pPr>
      <w:r>
        <w:t>3.7 評估指標與 claim boundary</w:t>
      </w:r>
    </w:p>
    <w:p>
      <w:pPr>
        <w:pStyle w:val="Content"/>
      </w:pPr>
      <w:r>
        <w:t>可重複性：30/30 PASS、gmo_valid_rate、跨 repeat CV。趨勢：Spearman ρ（距離／材質）。延伸：Lab 動態 ρ、Sim→Lab SL 之 MAE／Pearson r、RL hold-out 對照。全書以表6.1 集中界定可宣稱與不可宣稱項目。</w:t>
      </w:r>
    </w:p>
    <w:p>
      <w:pPr>
        <w:pStyle w:val="Header1"/>
      </w:pPr>
      <w:r>
        <w:t>第四章、Isaac Sim 實證結果與分析</w:t>
      </w:r>
    </w:p>
    <w:p>
      <w:pPr>
        <w:pStyle w:val="Header2"/>
      </w:pPr>
      <w:r>
        <w:t>4.1 可重複性與管線可行性</w:t>
      </w:r>
    </w:p>
    <w:p>
      <w:pPr>
        <w:pStyle w:val="Content"/>
      </w:pPr>
      <w:r>
        <w:t>正式實驗 30/30 PASS；gmo_valid_rate=1.0；max_ee_motion_m=0。2.0–3.0 m 區間 amplitude_max 與 early_energy 之跨 repeat CV 近乎 0，顯示擷取管線穩定。</w:t>
      </w:r>
    </w:p>
    <w:p>
      <w:pPr>
        <w:pStyle w:val="Header2"/>
      </w:pPr>
      <w:r>
        <w:t>4.2 距離趨勢與 RTX×PRA 對照</w:t>
      </w:r>
    </w:p>
    <w:p>
      <w:pPr>
        <w:pStyle w:val="Content"/>
      </w:pPr>
      <w:r>
        <w:t>材質 B、5 repeats 平均：amplitude_max 於 1.0 m 後飽和；primary_sgw_early_energy 與距離 ρ≈−0.66（n=6）。RTX 與 PRA early energy 呈中度正相關趨勢（ρ≈+0.66, p≈0.16, n=6），振幅尺度不同；未達統計顯著，僅作 pilot cross-model characterization，非波形等價。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71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圖4.1  RTX amplitude_max 與目標距離（材質 B）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圖4.2  RTX primary_sgw_early_energy 與目標距離（材質 B）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896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9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圖4.3  PyRoomAcoustics 特徵與目標距離趨勢對照</w:t>
      </w:r>
    </w:p>
    <w:p>
      <w:pPr>
        <w:pStyle w:val="Header2"/>
      </w:pPr>
      <w:r>
        <w:t>4.3 材質敏感度（A/B/C）</w:t>
      </w:r>
    </w:p>
    <w:p>
      <w:pPr>
        <w:pStyle w:val="Content"/>
      </w:pPr>
      <w:r>
        <w:t>primary_sgw_peak 於 0.5 m 與 3.0 m 幾乎無差；early_energy @0.5 m 可區分 C（≈190.6）與 A/B（≈165.4）。PRA RT60 對材質吸收更敏感。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圖4.4  材質 A/B/C 於 0.5 m 之 early_energy 比較</w:t>
      </w:r>
    </w:p>
    <w:p>
      <w:pPr>
        <w:pStyle w:val="Header2"/>
      </w:pPr>
      <w:r>
        <w:t>4.4 穩健性驗證（P1）</w:t>
      </w:r>
    </w:p>
    <w:p>
      <w:pPr>
        <w:pStyle w:val="Content"/>
      </w:pPr>
      <w:r>
        <w:t>P1 smoke 驗證 rtx_acoustic_factory 對 GMO 之結構檢查：signal-way 維度、ACOUSTIC 模態、primary/ref/all peak 一致性與非平坦波形條件。NonVisualMaterial 條件之 NV ID 解碼與 Passport 登錄一致。P1 確保特徵萃取前資料有效，屬管線穩健性而非獨立物理假設檢驗。</w:t>
      </w:r>
    </w:p>
    <w:p>
      <w:pPr>
        <w:pStyle w:val="Header1"/>
      </w:pPr>
      <w:r>
        <w:t>第五章、Isaac Lab 延伸與學習示範</w:t>
      </w:r>
    </w:p>
    <w:p>
      <w:pPr>
        <w:pStyle w:val="Header2"/>
      </w:pPr>
      <w:r>
        <w:t>5.1 動態環境與觀測協定</w:t>
      </w:r>
    </w:p>
    <w:p>
      <w:pPr>
        <w:pStyle w:val="Content"/>
      </w:pPr>
      <w:r>
        <w:t>Ur10RtxAcousticDynamicEnv 重用 Sim 之 Passport 與 Factory；目標正弦運動 d(t)=1.5+0.5·sin(2π·step/64) m，128 steps，GMO decimation=4。觀測含 early_energy、peak、gmo_valid 與 GT 距離。</w:t>
      </w:r>
    </w:p>
    <w:p>
      <w:pPr>
        <w:pStyle w:val="Header2"/>
      </w:pPr>
      <w:r>
        <w:t>5.2 動態觀測結果</w:t>
      </w:r>
    </w:p>
    <w:p>
      <w:pPr>
        <w:pStyle w:val="Content"/>
      </w:pPr>
      <w:r>
        <w:t>27 步有效 GMO（gmo_valid_rate=1.0）；max_sensor_position_motion_m=0。primary_sgw_early_energy 與 GT 距離 Pearson ρ=−0.475（n=27），方向與 Sim 一致。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圖5.1  動態場景 GT 距離軌跡（1.0–2.0 m）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圖5.2  Lab early_energy 與 GT 距離（ρ≈−0.48）</w:t>
      </w:r>
    </w:p>
    <w:p>
      <w:pPr>
        <w:pStyle w:val="Header2"/>
      </w:pPr>
      <w:r>
        <w:t>5.3 Sim→Lab 監督學習</w:t>
      </w:r>
    </w:p>
    <w:p>
      <w:pPr>
        <w:pStyle w:val="Content"/>
      </w:pPr>
      <w:r>
        <w:t>Sim n=125 訓練單變量線性回歸（early_energy）；Lab n=27 測試：MAE=0.41 m、RMSE=0.52 m、r=0.47。加入 peak 之雙特徵模型 MAE 升至 0.44 m（peak 飽和）。此為趨勢級示範，非部署精度。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圖5.3  Sim 訓練→Lab 測試：預測 vs GT</w:t>
      </w:r>
    </w:p>
    <w:p>
      <w:pPr>
        <w:pStyle w:val="Content"/>
        <w:jc w:val="center"/>
      </w:pPr>
      <w:r>
        <w:drawing>
          <wp:inline xmlns:a="http://schemas.openxmlformats.org/drawingml/2006/main" xmlns:pic="http://schemas.openxmlformats.org/drawingml/2006/picture">
            <wp:extent cx="4754880" cy="27170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ntent"/>
        <w:jc w:val="center"/>
      </w:pPr>
      <w:r>
        <w:t>圖5.4  Sim→Lab 預測與 GT 軌跡對照</w:t>
      </w:r>
    </w:p>
    <w:p>
      <w:pPr>
        <w:pStyle w:val="Header2"/>
      </w:pPr>
      <w:r>
        <w:t>5.4 In-sim RSL-RL 閉環示範</w:t>
      </w:r>
    </w:p>
    <w:p>
      <w:pPr>
        <w:pStyle w:val="Content"/>
      </w:pPr>
      <w:r>
        <w:t>DirectRLEnv + RSL-RL PPO；修正 GMO writer 生命週期後 gmo_init_captured=True。v3 det MAE=0.115 m 但 pred 近常數（std≈0），低 MAE 部分來自常數預測，非真實追蹤。v5 塑形獎勵 500 iter：pred 具變異（std≈0.48 m），惟 det MAE=0.441 m、r=0.229，未優於 §5.3 SL（MAE=0.41 m，r=0.47）。</w:t>
      </w:r>
    </w:p>
    <w:p>
      <w:pPr>
        <w:pStyle w:val="Content"/>
        <w:jc w:val="center"/>
      </w:pPr>
      <w:r>
        <w:t>表5.1  In-sim RSL-RL hold-out 評估（64 steps）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</w:tcPr>
          <w:p>
            <w:r>
              <w:t>Run</w:t>
            </w:r>
          </w:p>
        </w:tc>
        <w:tc>
          <w:tcPr>
            <w:tcW w:type="dxa" w:w="1442"/>
          </w:tcPr>
          <w:p>
            <w:r>
              <w:t>Checkpoint</w:t>
            </w:r>
          </w:p>
        </w:tc>
        <w:tc>
          <w:tcPr>
            <w:tcW w:type="dxa" w:w="1442"/>
          </w:tcPr>
          <w:p>
            <w:r>
              <w:t>模式</w:t>
            </w:r>
          </w:p>
        </w:tc>
        <w:tc>
          <w:tcPr>
            <w:tcW w:type="dxa" w:w="1442"/>
          </w:tcPr>
          <w:p>
            <w:r>
              <w:t>MAE(m)</w:t>
            </w:r>
          </w:p>
        </w:tc>
        <w:tc>
          <w:tcPr>
            <w:tcW w:type="dxa" w:w="1442"/>
          </w:tcPr>
          <w:p>
            <w:r>
              <w:t>r(gt,pred)</w:t>
            </w:r>
          </w:p>
        </w:tc>
        <w:tc>
          <w:tcPr>
            <w:tcW w:type="dxa" w:w="1442"/>
          </w:tcPr>
          <w:p>
            <w:r>
              <w:t>pred mean±std(m)</w:t>
            </w:r>
          </w:p>
        </w:tc>
      </w:tr>
      <w:tr>
        <w:tc>
          <w:tcPr>
            <w:tcW w:type="dxa" w:w="1442"/>
          </w:tcPr>
          <w:p>
            <w:r>
              <w:t>long_v3</w:t>
            </w:r>
          </w:p>
        </w:tc>
        <w:tc>
          <w:tcPr>
            <w:tcW w:type="dxa" w:w="1442"/>
          </w:tcPr>
          <w:p>
            <w:r>
              <w:t>model_199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0.115</w:t>
            </w:r>
          </w:p>
        </w:tc>
        <w:tc>
          <w:tcPr>
            <w:tcW w:type="dxa" w:w="1442"/>
          </w:tcPr>
          <w:p>
            <w:r>
              <w:t>0.335</w:t>
            </w:r>
          </w:p>
        </w:tc>
        <w:tc>
          <w:tcPr>
            <w:tcW w:type="dxa" w:w="1442"/>
          </w:tcPr>
          <w:p>
            <w:r>
              <w:t>1.576±0.000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det</w:t>
            </w:r>
          </w:p>
        </w:tc>
        <w:tc>
          <w:tcPr>
            <w:tcW w:type="dxa" w:w="1442"/>
          </w:tcPr>
          <w:p>
            <w:r>
              <w:t>0.441</w:t>
            </w:r>
          </w:p>
        </w:tc>
        <w:tc>
          <w:tcPr>
            <w:tcW w:type="dxa" w:w="1442"/>
          </w:tcPr>
          <w:p>
            <w:r>
              <w:t>0.229</w:t>
            </w:r>
          </w:p>
        </w:tc>
        <w:tc>
          <w:tcPr>
            <w:tcW w:type="dxa" w:w="1442"/>
          </w:tcPr>
          <w:p>
            <w:r>
              <w:t>1.637±0.477</w:t>
            </w:r>
          </w:p>
        </w:tc>
      </w:tr>
      <w:tr>
        <w:tc>
          <w:tcPr>
            <w:tcW w:type="dxa" w:w="1442"/>
          </w:tcPr>
          <w:p>
            <w:r>
              <w:t>long_v5</w:t>
            </w:r>
          </w:p>
        </w:tc>
        <w:tc>
          <w:tcPr>
            <w:tcW w:type="dxa" w:w="1442"/>
          </w:tcPr>
          <w:p>
            <w:r>
              <w:t>model_499</w:t>
            </w:r>
          </w:p>
        </w:tc>
        <w:tc>
          <w:tcPr>
            <w:tcW w:type="dxa" w:w="1442"/>
          </w:tcPr>
          <w:p>
            <w:r>
              <w:t>stoch</w:t>
            </w:r>
          </w:p>
        </w:tc>
        <w:tc>
          <w:tcPr>
            <w:tcW w:type="dxa" w:w="1442"/>
          </w:tcPr>
          <w:p>
            <w:r>
              <w:t>0.457</w:t>
            </w:r>
          </w:p>
        </w:tc>
        <w:tc>
          <w:tcPr>
            <w:tcW w:type="dxa" w:w="1442"/>
          </w:tcPr>
          <w:p>
            <w:r>
              <w:t>0.078</w:t>
            </w:r>
          </w:p>
        </w:tc>
        <w:tc>
          <w:tcPr>
            <w:tcW w:type="dxa" w:w="1442"/>
          </w:tcPr>
          <w:p>
            <w:r>
              <w:t>1.559±0.481</w:t>
            </w:r>
          </w:p>
        </w:tc>
      </w:tr>
    </w:tbl>
    <w:p/>
    <w:p>
      <w:pPr>
        <w:pStyle w:val="Content"/>
        <w:jc w:val="center"/>
      </w:pPr>
      <w:r>
        <w:t>表5.2  與 §5.3 監督基線對照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</w:tblGrid>
      <w:tr>
        <w:tc>
          <w:tcPr>
            <w:tcW w:type="dxa" w:w="2163"/>
          </w:tcPr>
          <w:p>
            <w:r>
              <w:t>方法</w:t>
            </w:r>
          </w:p>
        </w:tc>
        <w:tc>
          <w:tcPr>
            <w:tcW w:type="dxa" w:w="2163"/>
          </w:tcPr>
          <w:p>
            <w:r>
              <w:t>MAE (m)</w:t>
            </w:r>
          </w:p>
        </w:tc>
        <w:tc>
          <w:tcPr>
            <w:tcW w:type="dxa" w:w="2163"/>
          </w:tcPr>
          <w:p>
            <w:r>
              <w:t>Pearson r</w:t>
            </w:r>
          </w:p>
        </w:tc>
        <w:tc>
          <w:tcPr>
            <w:tcW w:type="dxa" w:w="2163"/>
          </w:tcPr>
          <w:p>
            <w:r>
              <w:t>備註</w:t>
            </w:r>
          </w:p>
        </w:tc>
      </w:tr>
      <w:tr>
        <w:tc>
          <w:tcPr>
            <w:tcW w:type="dxa" w:w="2163"/>
          </w:tcPr>
          <w:p>
            <w:r>
              <w:t>Sim→Lab 線性 SL</w:t>
            </w:r>
          </w:p>
        </w:tc>
        <w:tc>
          <w:tcPr>
            <w:tcW w:type="dxa" w:w="2163"/>
          </w:tcPr>
          <w:p>
            <w:r>
              <w:t>0.41</w:t>
            </w:r>
          </w:p>
        </w:tc>
        <w:tc>
          <w:tcPr>
            <w:tcW w:type="dxa" w:w="2163"/>
          </w:tcPr>
          <w:p>
            <w:r>
              <w:t>0.47</w:t>
            </w:r>
          </w:p>
        </w:tc>
        <w:tc>
          <w:tcPr>
            <w:tcW w:type="dxa" w:w="2163"/>
          </w:tcPr>
          <w:p>
            <w:r>
              <w:t>主學習基線</w:t>
            </w:r>
          </w:p>
        </w:tc>
      </w:tr>
      <w:tr>
        <w:tc>
          <w:tcPr>
            <w:tcW w:type="dxa" w:w="2163"/>
          </w:tcPr>
          <w:p>
            <w:r>
              <w:t>in-sim PPO v3 det</w:t>
            </w:r>
          </w:p>
        </w:tc>
        <w:tc>
          <w:tcPr>
            <w:tcW w:type="dxa" w:w="2163"/>
          </w:tcPr>
          <w:p>
            <w:r>
              <w:t>0.115</w:t>
            </w:r>
          </w:p>
        </w:tc>
        <w:tc>
          <w:tcPr>
            <w:tcW w:type="dxa" w:w="2163"/>
          </w:tcPr>
          <w:p>
            <w:r>
              <w:t>0.34</w:t>
            </w:r>
          </w:p>
        </w:tc>
        <w:tc>
          <w:tcPr>
            <w:tcW w:type="dxa" w:w="2163"/>
          </w:tcPr>
          <w:p>
            <w:r>
              <w:t>pred 近常數</w:t>
            </w:r>
          </w:p>
        </w:tc>
      </w:tr>
      <w:tr>
        <w:tc>
          <w:tcPr>
            <w:tcW w:type="dxa" w:w="2163"/>
          </w:tcPr>
          <w:p>
            <w:r>
              <w:t>in-sim PPO v5 det</w:t>
            </w:r>
          </w:p>
        </w:tc>
        <w:tc>
          <w:tcPr>
            <w:tcW w:type="dxa" w:w="2163"/>
          </w:tcPr>
          <w:p>
            <w:r>
              <w:t>0.441</w:t>
            </w:r>
          </w:p>
        </w:tc>
        <w:tc>
          <w:tcPr>
            <w:tcW w:type="dxa" w:w="2163"/>
          </w:tcPr>
          <w:p>
            <w:r>
              <w:t>0.229</w:t>
            </w:r>
          </w:p>
        </w:tc>
        <w:tc>
          <w:tcPr>
            <w:tcW w:type="dxa" w:w="2163"/>
          </w:tcPr>
          <w:p>
            <w:r>
              <w:t>有變異，未優於 SL</w:t>
            </w:r>
          </w:p>
        </w:tc>
      </w:tr>
    </w:tbl>
    <w:p/>
    <w:p>
      <w:pPr>
        <w:pStyle w:val="Header1"/>
      </w:pPr>
      <w:r>
        <w:t>第六章、結論與建議</w:t>
      </w:r>
    </w:p>
    <w:p>
      <w:pPr>
        <w:pStyle w:val="Header2"/>
      </w:pPr>
      <w:r>
        <w:t>6.1 研究結論</w:t>
      </w:r>
    </w:p>
    <w:p>
      <w:pPr>
        <w:pStyle w:val="Content"/>
      </w:pPr>
      <w:r>
        <w:t>（1）主貢獻：固定 TCP 下 RTX 聲學擷取管線具高可重複性（30/30），early_energy 為優於 peak 之距離 proxy。（2）延伸：同一特徵定義可接入 Lab 動態觀測，Sim→Lab SL 達趨勢級追蹤（r≈0.47）。（3）附錄級：in-sim RL 閉環可跑通，但未在 hold-out 上優於 SL。</w:t>
      </w:r>
    </w:p>
    <w:p>
      <w:pPr>
        <w:pStyle w:val="Header2"/>
      </w:pPr>
      <w:r>
        <w:t>6.2 綜合討論</w:t>
      </w:r>
    </w:p>
    <w:p>
      <w:pPr>
        <w:pStyle w:val="Content"/>
      </w:pPr>
      <w:r>
        <w:t>電聲觀點：室內多徑使距離資訊主要體現在早期能量之弱趨勢，而非 peak 飽和區。模擬觀點：RTX 與 PRA early energy 於 n=6 呈中度趨勢對應（p≈0.16，未達顯著），模型機制仍不同，支持以任務級指標（ρ、CV、PASS）論證可行性。學習觀點：SL 在弱信號下較穩健；RL 低 MAE 需搭配 pred 變異解讀，避免過度宣稱。</w:t>
      </w:r>
    </w:p>
    <w:p>
      <w:pPr>
        <w:pStyle w:val="Header2"/>
      </w:pPr>
      <w:r>
        <w:t>6.3 研究限制與 claim boundary</w:t>
      </w:r>
    </w:p>
    <w:p>
      <w:pPr>
        <w:pStyle w:val="Content"/>
        <w:jc w:val="center"/>
      </w:pPr>
      <w:r>
        <w:t>表6.1  Claim boundary 總表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</w:tblGrid>
      <w:tr>
        <w:tc>
          <w:tcPr>
            <w:tcW w:type="dxa" w:w="2884"/>
          </w:tcPr>
          <w:p>
            <w:r>
              <w:t>範疇</w:t>
            </w:r>
          </w:p>
        </w:tc>
        <w:tc>
          <w:tcPr>
            <w:tcW w:type="dxa" w:w="2884"/>
          </w:tcPr>
          <w:p>
            <w:r>
              <w:t>可宣稱</w:t>
            </w:r>
          </w:p>
        </w:tc>
        <w:tc>
          <w:tcPr>
            <w:tcW w:type="dxa" w:w="2884"/>
          </w:tcPr>
          <w:p>
            <w:r>
              <w:t>不可宣稱</w:t>
            </w:r>
          </w:p>
        </w:tc>
      </w:tr>
      <w:tr>
        <w:tc>
          <w:tcPr>
            <w:tcW w:type="dxa" w:w="2884"/>
          </w:tcPr>
          <w:p>
            <w:r>
              <w:t>Sim 主實驗</w:t>
            </w:r>
          </w:p>
        </w:tc>
        <w:tc>
          <w:tcPr>
            <w:tcW w:type="dxa" w:w="2884"/>
          </w:tcPr>
          <w:p>
            <w:r>
              <w:t>30/30 可重複；early_energy 趨勢；RTX×PRA early energy 中度趨勢（ρ≈+0.66, p≈0.16, n=6, pilot）</w:t>
            </w:r>
          </w:p>
        </w:tc>
        <w:tc>
          <w:tcPr>
            <w:tcW w:type="dxa" w:w="2884"/>
          </w:tcPr>
          <w:p>
            <w:r>
              <w:t>波形等價；跨模型統計顯著一致；厘米級測距</w:t>
            </w:r>
          </w:p>
        </w:tc>
      </w:tr>
      <w:tr>
        <w:tc>
          <w:tcPr>
            <w:tcW w:type="dxa" w:w="2884"/>
          </w:tcPr>
          <w:p>
            <w:r>
              <w:t>Lab / SL</w:t>
            </w:r>
          </w:p>
        </w:tc>
        <w:tc>
          <w:tcPr>
            <w:tcW w:type="dxa" w:w="2884"/>
          </w:tcPr>
          <w:p>
            <w:r>
              <w:t>動態觀測可行；Sim→Lab 趨勢遷移 r≈0.47</w:t>
            </w:r>
          </w:p>
        </w:tc>
        <w:tc>
          <w:tcPr>
            <w:tcW w:type="dxa" w:w="2884"/>
          </w:tcPr>
          <w:p>
            <w:r>
              <w:t>MAE 0.41 m 可部署；高 R² 即物理測距</w:t>
            </w:r>
          </w:p>
        </w:tc>
      </w:tr>
      <w:tr>
        <w:tc>
          <w:tcPr>
            <w:tcW w:type="dxa" w:w="2884"/>
          </w:tcPr>
          <w:p>
            <w:r>
              <w:t>in-sim RL</w:t>
            </w:r>
          </w:p>
        </w:tc>
        <w:tc>
          <w:tcPr>
            <w:tcW w:type="dxa" w:w="2884"/>
          </w:tcPr>
          <w:p>
            <w:r>
              <w:t>DirectRLEnv 閉環可跑通；GMO 修正後有效</w:t>
            </w:r>
          </w:p>
        </w:tc>
        <w:tc>
          <w:tcPr>
            <w:tcW w:type="dxa" w:w="2884"/>
          </w:tcPr>
          <w:p>
            <w:r>
              <w:t>優於 SL；v3 低 MAE 即學會測距</w:t>
            </w:r>
          </w:p>
        </w:tc>
      </w:tr>
      <w:tr>
        <w:tc>
          <w:tcPr>
            <w:tcW w:type="dxa" w:w="2884"/>
          </w:tcPr>
          <w:p>
            <w:r>
              <w:t>整體</w:t>
            </w:r>
          </w:p>
        </w:tc>
        <w:tc>
          <w:tcPr>
            <w:tcW w:type="dxa" w:w="2884"/>
          </w:tcPr>
          <w:p>
            <w:r>
              <w:t>可審計可行性管線</w:t>
            </w:r>
          </w:p>
        </w:tc>
        <w:tc>
          <w:tcPr>
            <w:tcW w:type="dxa" w:w="2884"/>
          </w:tcPr>
          <w:p>
            <w:r>
              <w:t>CH201 實機已驗證；數位雙生完成</w:t>
            </w:r>
          </w:p>
        </w:tc>
      </w:tr>
    </w:tbl>
    <w:p/>
    <w:p>
      <w:pPr>
        <w:pStyle w:val="Header2"/>
      </w:pPr>
      <w:r>
        <w:t>6.4 後續建議</w:t>
      </w:r>
    </w:p>
    <w:p>
      <w:pPr>
        <w:pStyle w:val="Content"/>
      </w:pPr>
      <w:r>
        <w:t>建議：（1）CH201 實機 task-level 協定；（2）擴大距離／離軸點位以增加 early_energy 動態；（3）特徵工程與不確定性量化；（4）以 replication package 支援口試重現。</w:t>
      </w:r>
    </w:p>
    <w:p>
      <w:pPr>
        <w:pStyle w:val="Header1"/>
      </w:pPr>
      <w:r>
        <w:t>參考文獻</w:t>
      </w:r>
    </w:p>
    <w:p>
      <w:pPr>
        <w:pStyle w:val="Content"/>
      </w:pPr>
      <w:r>
        <w:t>Alatise, M. B., &amp; Hancke, G. P. (2020). A review on challenges of autonomous mobile robot and sensor fusion methods. IEEE Access, 8, 39830–39846. https://doi.org/10.1109/ACCESS.2020.2975643</w:t>
        <w:br/>
        <w:br/>
        <w:t>Brinkmann, F., Lindau, A., Weinzierl, S., Geier, M., Spors, S., Wierstorf, H., … Assenmacher, I. (2019). A round robin on room acoustical simulation and auralization. The Journal of the Acoustical Society of America, 145(4), 2744–2760. https://doi.org/10.1121/1.5096178</w:t>
        <w:br/>
        <w:br/>
        <w:t>dEchorate Team. (2021). dEchorate: A calibrated room impulse response dataset for echo-aware signal processing. EURASIP Journal on Audio, Speech, and Music Processing, 2021, 7. https://doi.org/10.1186/s13636-021-00229-0</w:t>
        <w:br/>
        <w:br/>
        <w:t>Dümbgen, F., Wieser, A., &amp; Wieser, A. (2022). Blind as a bat: Audible echolocation on small robots. IEEE Robotics and Automation Letters, 7(4), 9274–9281. https://doi.org/10.1109/LRA.2022.3194669</w:t>
        <w:br/>
        <w:br/>
        <w:t>Gao, S., Pagnucco, M., Bednarz, T., &amp; Song, Y. (2026). NVIDIA Isaac Sim: Enabling scalable, GPU-accelerated simulation for robotics. arXiv:2606.03551. https://doi.org/10.48550/arxiv.2606.03551</w:t>
        <w:br/>
        <w:br/>
        <w:t>GRADE Authors. (2025). Generating realistic and dynamic environments for robotics research with Isaac Sim. The International Journal of Robotics Research. https://doi.org/10.1177/02783649251346211</w:t>
        <w:br/>
        <w:br/>
        <w:t>He, Y., Liang, B., Zou, Y., He, J., &amp; Yang, J. (2019). Recent advances in 3D data acquisition and processing by time-of-flight camera. IEEE Access, 7, 174406–174420. https://doi.org/10.1109/ACCESS.2019.2891693</w:t>
        <w:br/>
        <w:br/>
        <w:t>Höfer, S., Bekris, K., Handa, A., Gamboa, J. C., Mozifian, M., Golemo, F., … Fox, D. (2021). Sim2Real in robotics and automation: Applications and challenges. IEEE Transactions on Automation Science and Engineering, 18(2), 398–400. https://doi.org/10.1109/TASE.2021.3064065</w:t>
        <w:br/>
        <w:br/>
        <w:t>Liu, M., Wang, Y., &amp; Zhao, Q. (2020). Indoor acoustic localization: A survey. Human-centric Computing and Information Sciences, 10, 5. https://doi.org/10.1186/s13673-019-0207-4</w:t>
        <w:br/>
        <w:br/>
        <w:t>Mittal, M., Yu, C., Yu, C., Tang, J., Bo, A., Zhu, J., … Hutter, M. (2023). Orbit: A unified simulation framework for interactive robot learning environments. IEEE Robotics and Automation Letters, 8(6), 3740–3747. https://doi.org/10.1109/LRA.2023.3270034</w:t>
        <w:br/>
        <w:br/>
        <w:t>NVIDIA. (2026a). RTX acoustic sensor. Isaac Sim Documentation. https://docs.isaacsim.omniverse.nvidia.com/latest/sensors/isaacsim_sensors_rtx_acoustic.html</w:t>
        <w:br/>
        <w:br/>
        <w:t>NVIDIA. (2026b). RTX annotators and generic model output. Isaac Sim Documentation. https://docs.isaacsim.omniverse.nvidia.com/6.0.0/sensors/isaacsim_sensors_rtx_annotators.html</w:t>
        <w:br/>
        <w:br/>
        <w:t>NVIDIA. (2026c). RTX sensors overview. Isaac Sim Documentation. https://docs.isaacsim.omniverse.nvidia.com/latest/sensors/isaacsim_sensors_rtx.html</w:t>
        <w:br/>
        <w:br/>
        <w:t>Salimpour, S., Peña-Queralta, J., &amp; Páez-Granados, D. (2025). Sim-to-real transfer of reinforcement learning policies from Isaac Sim to Gazebo and ROS 2. arXiv:2501.02902. https://doi.org/10.48550/arxiv.2501.02902</w:t>
        <w:br/>
        <w:br/>
        <w:t>Scheibler, R., Bevilacqua, E., Holighaus, N., &amp; Dokmanić, I. (2018). PyRoomAcoustics: A Python package for audio room simulation and array processing algorithms. In ICASSP 2018 (pp. 351–355). https://doi.org/10.1109/ICASSP.2018.8461829</w:t>
        <w:br/>
        <w:br/>
        <w:t>Song, J., Zhang, Y., Li, H., &amp; Chen, X. (2025). OceanSim: Underwater robot simulation with Isaac Sim. In 2025 IEEE/RSJ International Conference on Intelligent Robots and Systems (IROS) (pp. 1–8). https://doi.org/10.1109/iros60139.2025.11246878</w:t>
        <w:br/>
        <w:br/>
        <w:t>Tsuchiya, A., Kagami, H., &amp; Kagami, H. (2022). Indoor self-localization using multipath arrival time of sound. Japanese Journal of Applied Physics, 61(SG), SG1005. https://doi.org/10.35848/1347-4065/ac506c</w:t>
        <w:br/>
        <w:br/>
        <w:t>Valin, J.-M., Michaud, F., &amp; Rouat, J. (2017). Localization of sound sources in robotics: A review. Robotics and Autonomous Systems, 96, 184–210. https://doi.org/10.1016/j.robot.2017.07.011</w:t>
        <w:br/>
        <w:br/>
        <w:t>Xu, X., Lu, Y., Vogel-Heuser, B., &amp; Wang, L. (2024). Collaborative robotics, digital twins, human–machine interfaces and AI in smart manufacturing: A review. Robotics and Computer-Integrated Manufacturing, 89, 102769. https://doi.org/10.1016/j.rcim.2024.102769</w:t>
        <w:br/>
        <w:br/>
        <w:t>Zhmud, V., Yadykin, A., &amp; Reznikov, B. (2018). Application of ultrasonic sensor for measuring distances in robotics. Journal of Physics: Conference Series, 1015(3), 032189. https://doi.org/10.1088/1742-6596/1015/3/032189</w:t>
        <w:br/>
        <w:br/>
        <w:t>Zhou, Z., Chen, X., Li, Y., &amp; Wang, Y. (2024). Towards building AI-CPS with NVIDIA Isaac Sim for industrial manipulation. In Proceedings of the 2024 ACM/IEEE International Conference on Model-Driven Engineering Software and Systems (MSEC) (pp. 1–8). https://doi.org/10.1145/3639477.3639740</w:t>
        <w:br/>
        <w:br/>
        <w:t>NVIDIA. (2026d). Isaac Lab documentation (v3.0.0-beta2). https://isaac-sim.github.io/IsaacLab/</w:t>
        <w:br/>
        <w:br/>
        <w:t>Rudin, N., Hoeller, D., Reist, P., &amp; Hutter, M. (2022). Learning to walk in minutes using massively parallel deep reinforcement learning. In Proceedings of the 6th Conference on Robot Learning (pp. 604–623).</w:t>
        <w:br/>
        <w:br/>
        <w:t>Schulman, J., Wolski, F., Dhariwal, P., Radford, A., &amp; Klimov, O. (2017). Proximal policy optimization algorithms. arXiv:1707.06347. https://doi.org/10.48550/arXiv.1707.06347</w:t>
      </w:r>
    </w:p>
    <w:sectPr w:rsidR="00E25432">
      <w:pgSz w:w="11906" w:h="16838"/>
      <w:pgMar w:top="1814" w:right="1440" w:bottom="1814" w:left="181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681" w:rsidRDefault="003B3681">
      <w:r>
        <w:separator/>
      </w:r>
    </w:p>
  </w:endnote>
  <w:endnote w:type="continuationSeparator" w:id="0">
    <w:p w:rsidR="003B3681" w:rsidRDefault="003B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086C2B" w:rsidP="00135FA6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086C2B" w:rsidRDefault="00086C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Pr="00290267" w:rsidRDefault="00086C2B" w:rsidP="00135FA6">
    <w:pPr>
      <w:pStyle w:val="a9"/>
      <w:framePr w:w="538" w:wrap="around" w:vAnchor="text" w:hAnchor="page" w:x="5578" w:y="4"/>
      <w:jc w:val="center"/>
      <w:rPr>
        <w:rStyle w:val="aa"/>
      </w:rPr>
    </w:pPr>
    <w:r w:rsidRPr="00290267">
      <w:rPr>
        <w:rStyle w:val="aa"/>
      </w:rPr>
      <w:fldChar w:fldCharType="begin"/>
    </w:r>
    <w:r w:rsidRPr="00290267">
      <w:rPr>
        <w:rStyle w:val="aa"/>
      </w:rPr>
      <w:instrText xml:space="preserve">PAGE  </w:instrText>
    </w:r>
    <w:r w:rsidRPr="00290267">
      <w:rPr>
        <w:rStyle w:val="aa"/>
      </w:rPr>
      <w:fldChar w:fldCharType="separate"/>
    </w:r>
    <w:r>
      <w:rPr>
        <w:rStyle w:val="aa"/>
        <w:noProof/>
      </w:rPr>
      <w:t>iii</w:t>
    </w:r>
    <w:r w:rsidRPr="00290267">
      <w:rPr>
        <w:rStyle w:val="aa"/>
      </w:rPr>
      <w:fldChar w:fldCharType="end"/>
    </w:r>
  </w:p>
  <w:p w:rsidR="00086C2B" w:rsidRPr="009E3A35" w:rsidRDefault="00086C2B" w:rsidP="00135FA6">
    <w:pPr>
      <w:pStyle w:val="a9"/>
      <w:wordWrap w:val="0"/>
      <w:jc w:val="right"/>
      <w:rPr>
        <w:rFonts w:eastAsia="標楷體"/>
        <w:sz w:val="18"/>
        <w:szCs w:val="18"/>
      </w:rPr>
    </w:pPr>
    <w:r w:rsidRPr="009E3A35">
      <w:rPr>
        <w:rFonts w:eastAsia="標楷體" w:hint="eastAsia"/>
        <w:sz w:val="18"/>
        <w:szCs w:val="18"/>
      </w:rPr>
      <w:t>逢甲大學</w:t>
    </w:r>
    <w:r w:rsidRPr="009E3A35">
      <w:rPr>
        <w:rFonts w:eastAsia="標楷體"/>
        <w:sz w:val="18"/>
        <w:szCs w:val="18"/>
      </w:rPr>
      <w:t>e-</w:t>
    </w:r>
    <w:r w:rsidRPr="009E3A35">
      <w:rPr>
        <w:rStyle w:val="af1"/>
        <w:b w:val="0"/>
        <w:color w:val="000000"/>
        <w:sz w:val="18"/>
        <w:szCs w:val="18"/>
      </w:rPr>
      <w:t>Theses &amp; Dissertations</w:t>
    </w:r>
    <w:r w:rsidRPr="009E3A35">
      <w:rPr>
        <w:rFonts w:eastAsia="標楷體" w:hint="eastAsia"/>
        <w:sz w:val="18"/>
        <w:szCs w:val="18"/>
      </w:rPr>
      <w:t>（</w:t>
    </w:r>
    <w:r w:rsidRPr="00A335A1">
      <w:rPr>
        <w:rFonts w:eastAsia="標楷體" w:hint="eastAsia"/>
        <w:color w:val="0000FF"/>
        <w:sz w:val="18"/>
        <w:szCs w:val="18"/>
      </w:rPr>
      <w:t>○○○</w:t>
    </w:r>
    <w:r w:rsidRPr="009E3A35">
      <w:rPr>
        <w:rFonts w:eastAsia="標楷體" w:hint="eastAsia"/>
        <w:sz w:val="18"/>
        <w:szCs w:val="18"/>
      </w:rPr>
      <w:t>學年度）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490437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Default="003E592D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3E592D" w:rsidRDefault="003E592D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Default="003E592D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0C08DE">
      <w:rPr>
        <w:rStyle w:val="aa"/>
        <w:noProof/>
      </w:rPr>
      <w:t>i</w:t>
    </w:r>
    <w:r>
      <w:rPr>
        <w:rStyle w:val="aa"/>
      </w:rPr>
      <w:fldChar w:fldCharType="end"/>
    </w:r>
  </w:p>
  <w:p w:rsidR="001C02AE" w:rsidRDefault="001C02AE" w:rsidP="001C02AE">
    <w:pPr>
      <w:pStyle w:val="a9"/>
      <w:tabs>
        <w:tab w:val="clear" w:pos="8306"/>
        <w:tab w:val="right" w:pos="4153"/>
        <w:tab w:val="right" w:pos="11280"/>
      </w:tabs>
      <w:wordWrap w:val="0"/>
      <w:jc w:val="right"/>
      <w:rPr>
        <w:rFonts w:eastAsia="標楷體"/>
        <w:sz w:val="18"/>
        <w:szCs w:val="18"/>
      </w:rPr>
    </w:pPr>
    <w:r>
      <w:rPr>
        <w:rFonts w:eastAsia="標楷體" w:hint="eastAsia"/>
        <w:sz w:val="18"/>
        <w:szCs w:val="18"/>
      </w:rPr>
      <w:t xml:space="preserve">                                              </w:t>
    </w:r>
  </w:p>
  <w:p w:rsidR="000C08DE" w:rsidRPr="009E3A35" w:rsidRDefault="001C02AE" w:rsidP="001C02AE">
    <w:pPr>
      <w:pStyle w:val="a9"/>
      <w:tabs>
        <w:tab w:val="clear" w:pos="8306"/>
        <w:tab w:val="right" w:pos="4153"/>
        <w:tab w:val="right" w:pos="11280"/>
      </w:tabs>
      <w:wordWrap w:val="0"/>
      <w:jc w:val="right"/>
      <w:rPr>
        <w:rFonts w:eastAsia="標楷體"/>
        <w:sz w:val="18"/>
        <w:szCs w:val="18"/>
      </w:rPr>
    </w:pPr>
    <w:r>
      <w:rPr>
        <w:rFonts w:eastAsia="標楷體" w:hint="eastAsia"/>
        <w:sz w:val="18"/>
        <w:szCs w:val="18"/>
      </w:rPr>
      <w:t xml:space="preserve">                                               </w:t>
    </w:r>
    <w:r w:rsidR="000C08DE" w:rsidRPr="009E3A35">
      <w:rPr>
        <w:rFonts w:eastAsia="標楷體" w:hint="eastAsia"/>
        <w:sz w:val="18"/>
        <w:szCs w:val="18"/>
      </w:rPr>
      <w:t>逢甲大學</w:t>
    </w:r>
    <w:r w:rsidR="000C08DE" w:rsidRPr="009E3A35">
      <w:rPr>
        <w:rFonts w:eastAsia="標楷體"/>
        <w:sz w:val="18"/>
        <w:szCs w:val="18"/>
      </w:rPr>
      <w:t>e-</w:t>
    </w:r>
    <w:r w:rsidR="000C08DE" w:rsidRPr="009E3A35">
      <w:rPr>
        <w:rStyle w:val="af1"/>
        <w:b w:val="0"/>
        <w:color w:val="000000"/>
        <w:sz w:val="18"/>
        <w:szCs w:val="18"/>
      </w:rPr>
      <w:t>Theses &amp; Dissertations</w:t>
    </w:r>
    <w:r w:rsidR="000C08DE" w:rsidRPr="009E3A35">
      <w:rPr>
        <w:rFonts w:eastAsia="標楷體" w:hint="eastAsia"/>
        <w:sz w:val="18"/>
        <w:szCs w:val="18"/>
      </w:rPr>
      <w:t>（</w:t>
    </w:r>
    <w:r w:rsidR="000C08DE" w:rsidRPr="00A335A1">
      <w:rPr>
        <w:rFonts w:eastAsia="標楷體" w:hint="eastAsia"/>
        <w:color w:val="0000FF"/>
        <w:sz w:val="18"/>
        <w:szCs w:val="18"/>
      </w:rPr>
      <w:t>○○○</w:t>
    </w:r>
    <w:r w:rsidR="000C08DE" w:rsidRPr="009E3A35">
      <w:rPr>
        <w:rFonts w:eastAsia="標楷體" w:hint="eastAsia"/>
        <w:sz w:val="18"/>
        <w:szCs w:val="18"/>
      </w:rPr>
      <w:t>學年度）</w:t>
    </w:r>
  </w:p>
  <w:p w:rsidR="003E592D" w:rsidRPr="002C1ACB" w:rsidRDefault="003E592D" w:rsidP="000C08DE">
    <w:pPr>
      <w:pStyle w:val="a9"/>
      <w:jc w:val="right"/>
      <w:rPr>
        <w:rFonts w:eastAsia="標楷體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086C2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681" w:rsidRDefault="003B3681">
      <w:r>
        <w:separator/>
      </w:r>
    </w:p>
  </w:footnote>
  <w:footnote w:type="continuationSeparator" w:id="0">
    <w:p w:rsidR="003B3681" w:rsidRDefault="003B3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6" o:spid="_x0000_s2062" type="#_x0000_t75" style="position:absolute;margin-left:0;margin-top:0;width:118.8pt;height:118.8pt;z-index:-251656192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Pr="001D073D" w:rsidRDefault="003B3681" w:rsidP="00135FA6">
    <w:pPr>
      <w:spacing w:line="360" w:lineRule="auto"/>
      <w:rPr>
        <w:rFonts w:eastAsia="標楷體"/>
        <w:color w:val="3333FF"/>
        <w:sz w:val="18"/>
        <w:szCs w:val="18"/>
      </w:rPr>
    </w:pPr>
    <w:r>
      <w:rPr>
        <w:rFonts w:eastAsia="標楷體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7" o:spid="_x0000_s2063" type="#_x0000_t75" style="position:absolute;margin-left:0;margin-top:0;width:118.8pt;height:118.8pt;z-index:-251655168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  <w:r w:rsidR="00B853C5">
      <w:rPr>
        <w:rFonts w:eastAsia="標楷體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1780540</wp:posOffset>
          </wp:positionH>
          <wp:positionV relativeFrom="page">
            <wp:posOffset>4622165</wp:posOffset>
          </wp:positionV>
          <wp:extent cx="1943100" cy="1943100"/>
          <wp:effectExtent l="0" t="0" r="0" b="0"/>
          <wp:wrapNone/>
          <wp:docPr id="8" name="圖片 11" descr="浮水印_fcu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1" descr="浮水印_fcu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194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C2B">
      <w:rPr>
        <w:rFonts w:eastAsia="標楷體" w:hint="eastAsia"/>
        <w:color w:val="3333FF"/>
        <w:sz w:val="18"/>
        <w:szCs w:val="18"/>
      </w:rPr>
      <w:t>學位論文題目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437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5" o:spid="_x0000_s2061" type="#_x0000_t75" style="position:absolute;margin-left:0;margin-top:0;width:118.8pt;height:118.8pt;z-index:-25165721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6C2B" w:rsidRDefault="003B3681">
    <w:pPr>
      <w:pStyle w:val="ac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9" o:spid="_x0000_s2065" type="#_x0000_t75" style="position:absolute;margin-left:0;margin-top:0;width:118.8pt;height:118.8pt;z-index:-251653120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Pr="000C08DE" w:rsidRDefault="003B3681" w:rsidP="000C08DE">
    <w:pPr>
      <w:spacing w:line="360" w:lineRule="auto"/>
    </w:pPr>
    <w:r>
      <w:rPr>
        <w:rFonts w:eastAsia="標楷體"/>
        <w:noProof/>
        <w:color w:val="3333FF"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30" o:spid="_x0000_s2066" type="#_x0000_t75" style="position:absolute;margin-left:0;margin-top:0;width:118.8pt;height:118.8pt;z-index:-251652096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  <w:r w:rsidR="000C08DE">
      <w:rPr>
        <w:rFonts w:eastAsia="標楷體" w:hint="eastAsia"/>
        <w:color w:val="3333FF"/>
        <w:sz w:val="18"/>
        <w:szCs w:val="18"/>
      </w:rPr>
      <w:t>學位論文題目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92D" w:rsidRPr="00C83FC5" w:rsidRDefault="003B3681" w:rsidP="00C83FC5">
    <w:pPr>
      <w:pStyle w:val="a4"/>
      <w:spacing w:line="240" w:lineRule="auto"/>
      <w:ind w:right="0" w:firstLine="0"/>
      <w:jc w:val="left"/>
      <w:rPr>
        <w:sz w:val="20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82628" o:spid="_x0000_s2064" type="#_x0000_t75" style="position:absolute;margin-left:0;margin-top:0;width:118.8pt;height:118.8pt;z-index:-251654144;mso-position-horizontal:center;mso-position-horizontal-relative:margin;mso-position-vertical:center;mso-position-vertical-relative:margin" o:allowincell="f">
          <v:imagedata r:id="rId1" o:title="fcu_watermark_rev103121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2F5D"/>
    <w:multiLevelType w:val="hybridMultilevel"/>
    <w:tmpl w:val="7CBEEAF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153B2"/>
    <w:multiLevelType w:val="hybridMultilevel"/>
    <w:tmpl w:val="4418B144"/>
    <w:lvl w:ilvl="0" w:tplc="1660D466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B27477"/>
    <w:multiLevelType w:val="hybridMultilevel"/>
    <w:tmpl w:val="0248D172"/>
    <w:lvl w:ilvl="0" w:tplc="1456695A">
      <w:start w:val="1"/>
      <w:numFmt w:val="decimal"/>
      <w:suff w:val="space"/>
      <w:lvlText w:val="%1."/>
      <w:lvlJc w:val="left"/>
      <w:pPr>
        <w:ind w:left="523" w:hanging="2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16487D81"/>
    <w:multiLevelType w:val="hybridMultilevel"/>
    <w:tmpl w:val="0BC4C92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DD4C18"/>
    <w:multiLevelType w:val="hybridMultilevel"/>
    <w:tmpl w:val="EA22CD28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F076A52"/>
    <w:multiLevelType w:val="hybridMultilevel"/>
    <w:tmpl w:val="187E070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935713"/>
    <w:multiLevelType w:val="hybridMultilevel"/>
    <w:tmpl w:val="7CF2C99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1CA305A"/>
    <w:multiLevelType w:val="multilevel"/>
    <w:tmpl w:val="54D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aiwaneseCountingThousand"/>
      <w:lvlText w:val="%2、"/>
      <w:lvlJc w:val="left"/>
      <w:pPr>
        <w:ind w:left="1530" w:hanging="450"/>
      </w:pPr>
      <w:rPr>
        <w:rFonts w:ascii="Arial" w:eastAsia="新細明體" w:hAnsi="Arial" w:hint="default"/>
        <w:b/>
      </w:rPr>
    </w:lvl>
    <w:lvl w:ilvl="2">
      <w:start w:val="1"/>
      <w:numFmt w:val="taiwaneseCountingThousand"/>
      <w:lvlText w:val="第%3節"/>
      <w:lvlJc w:val="left"/>
      <w:pPr>
        <w:ind w:left="3420" w:hanging="1620"/>
      </w:pPr>
      <w:rPr>
        <w:rFonts w:hint="default"/>
      </w:rPr>
    </w:lvl>
    <w:lvl w:ilvl="3">
      <w:start w:val="1"/>
      <w:numFmt w:val="taiwaneseCountingThousand"/>
      <w:lvlText w:val="(%4)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【%5】"/>
      <w:lvlJc w:val="left"/>
      <w:pPr>
        <w:ind w:left="3960" w:hanging="720"/>
      </w:pPr>
      <w:rPr>
        <w:rFonts w:hint="default"/>
        <w:color w:val="00000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0ECE"/>
    <w:multiLevelType w:val="hybridMultilevel"/>
    <w:tmpl w:val="395AA5CC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C580B47"/>
    <w:multiLevelType w:val="multilevel"/>
    <w:tmpl w:val="C0A636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abstractNum w:abstractNumId="10" w15:restartNumberingAfterBreak="0">
    <w:nsid w:val="54FE600C"/>
    <w:multiLevelType w:val="hybridMultilevel"/>
    <w:tmpl w:val="02E8F0BE"/>
    <w:lvl w:ilvl="0" w:tplc="141A791C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1" w15:restartNumberingAfterBreak="0">
    <w:nsid w:val="6BC813BF"/>
    <w:multiLevelType w:val="hybridMultilevel"/>
    <w:tmpl w:val="879CCFA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32C234C"/>
    <w:multiLevelType w:val="hybridMultilevel"/>
    <w:tmpl w:val="A250684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A67105"/>
    <w:multiLevelType w:val="multilevel"/>
    <w:tmpl w:val="C0A63624"/>
    <w:lvl w:ilvl="0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748"/>
        </w:tabs>
        <w:ind w:left="748" w:hanging="51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86"/>
        </w:tabs>
        <w:ind w:left="986" w:hanging="51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51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62"/>
        </w:tabs>
        <w:ind w:left="1462" w:hanging="51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700"/>
        </w:tabs>
        <w:ind w:left="1700" w:hanging="51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38"/>
        </w:tabs>
        <w:ind w:left="1938" w:hanging="51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76"/>
        </w:tabs>
        <w:ind w:left="2176" w:hanging="51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14"/>
        </w:tabs>
        <w:ind w:left="2414" w:hanging="51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4"/>
    <w:rsid w:val="00036D2E"/>
    <w:rsid w:val="00086C2B"/>
    <w:rsid w:val="000C08DE"/>
    <w:rsid w:val="000C3D37"/>
    <w:rsid w:val="000F2BB0"/>
    <w:rsid w:val="00135FA6"/>
    <w:rsid w:val="00156AA4"/>
    <w:rsid w:val="001839C2"/>
    <w:rsid w:val="001C02AE"/>
    <w:rsid w:val="001E77EB"/>
    <w:rsid w:val="00215F28"/>
    <w:rsid w:val="00255684"/>
    <w:rsid w:val="002866A1"/>
    <w:rsid w:val="002C1ACB"/>
    <w:rsid w:val="002C1DF4"/>
    <w:rsid w:val="002E4442"/>
    <w:rsid w:val="002F2AC2"/>
    <w:rsid w:val="002F50F8"/>
    <w:rsid w:val="003938F0"/>
    <w:rsid w:val="003B3681"/>
    <w:rsid w:val="003C11EF"/>
    <w:rsid w:val="003E592D"/>
    <w:rsid w:val="00407872"/>
    <w:rsid w:val="00480239"/>
    <w:rsid w:val="00490437"/>
    <w:rsid w:val="004B245A"/>
    <w:rsid w:val="004D5D8A"/>
    <w:rsid w:val="00504B85"/>
    <w:rsid w:val="00556391"/>
    <w:rsid w:val="0058017A"/>
    <w:rsid w:val="0060725E"/>
    <w:rsid w:val="00696303"/>
    <w:rsid w:val="006A63BF"/>
    <w:rsid w:val="006C3EF0"/>
    <w:rsid w:val="007031E8"/>
    <w:rsid w:val="00707F35"/>
    <w:rsid w:val="00733FEB"/>
    <w:rsid w:val="00743B17"/>
    <w:rsid w:val="00751BA8"/>
    <w:rsid w:val="007626F8"/>
    <w:rsid w:val="0077308D"/>
    <w:rsid w:val="00857D41"/>
    <w:rsid w:val="00867C10"/>
    <w:rsid w:val="008F30F6"/>
    <w:rsid w:val="0094150B"/>
    <w:rsid w:val="009A5463"/>
    <w:rsid w:val="009F50D7"/>
    <w:rsid w:val="00A23EDE"/>
    <w:rsid w:val="00A33B98"/>
    <w:rsid w:val="00A40700"/>
    <w:rsid w:val="00A74023"/>
    <w:rsid w:val="00AA6C66"/>
    <w:rsid w:val="00B22F4F"/>
    <w:rsid w:val="00B709CF"/>
    <w:rsid w:val="00B853C5"/>
    <w:rsid w:val="00B863DE"/>
    <w:rsid w:val="00B94124"/>
    <w:rsid w:val="00C56F7C"/>
    <w:rsid w:val="00C8013F"/>
    <w:rsid w:val="00C83FC5"/>
    <w:rsid w:val="00CF0C0C"/>
    <w:rsid w:val="00D56E7B"/>
    <w:rsid w:val="00D81502"/>
    <w:rsid w:val="00D837FF"/>
    <w:rsid w:val="00D92538"/>
    <w:rsid w:val="00D94E12"/>
    <w:rsid w:val="00E25432"/>
    <w:rsid w:val="00E77A08"/>
    <w:rsid w:val="00E85BB0"/>
    <w:rsid w:val="00EB7952"/>
    <w:rsid w:val="00F5149E"/>
    <w:rsid w:val="00FE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."/>
  <w:listSeparator w:val=","/>
  <w14:docId w14:val="7FF8AE14"/>
  <w15:chartTrackingRefBased/>
  <w15:docId w15:val="{03B6D55F-DE69-477F-A11F-23B9758B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標楷體"/>
      <w:b/>
      <w:iCs/>
      <w:sz w:val="36"/>
      <w:szCs w:val="24"/>
    </w:rPr>
  </w:style>
  <w:style w:type="paragraph" w:styleId="2">
    <w:name w:val="heading 2"/>
    <w:basedOn w:val="a"/>
    <w:next w:val="a0"/>
    <w:qFormat/>
    <w:pPr>
      <w:keepNext/>
      <w:widowControl/>
      <w:autoSpaceDE w:val="0"/>
      <w:autoSpaceDN w:val="0"/>
      <w:adjustRightInd w:val="0"/>
      <w:spacing w:line="720" w:lineRule="atLeast"/>
      <w:ind w:left="238"/>
      <w:jc w:val="center"/>
      <w:textAlignment w:val="bottom"/>
      <w:outlineLvl w:val="1"/>
    </w:pPr>
    <w:rPr>
      <w:rFonts w:eastAsia="細明體"/>
      <w:kern w:val="0"/>
      <w:sz w:val="48"/>
    </w:rPr>
  </w:style>
  <w:style w:type="paragraph" w:styleId="5">
    <w:name w:val="heading 5"/>
    <w:basedOn w:val="a"/>
    <w:next w:val="a"/>
    <w:qFormat/>
    <w:pPr>
      <w:keepNext/>
      <w:spacing w:line="720" w:lineRule="auto"/>
      <w:ind w:leftChars="200" w:left="200"/>
      <w:outlineLvl w:val="4"/>
    </w:pPr>
    <w:rPr>
      <w:rFonts w:eastAsia="標楷體"/>
      <w:bCs/>
      <w:szCs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Body Text Indent"/>
    <w:basedOn w:val="a"/>
    <w:pPr>
      <w:widowControl/>
      <w:autoSpaceDE w:val="0"/>
      <w:autoSpaceDN w:val="0"/>
      <w:adjustRightInd w:val="0"/>
      <w:spacing w:line="480" w:lineRule="atLeast"/>
      <w:ind w:right="-135" w:firstLine="180"/>
      <w:jc w:val="center"/>
      <w:textAlignment w:val="bottom"/>
    </w:pPr>
    <w:rPr>
      <w:rFonts w:ascii="標楷體" w:eastAsia="標楷體"/>
      <w:kern w:val="0"/>
      <w:sz w:val="48"/>
    </w:rPr>
  </w:style>
  <w:style w:type="paragraph" w:styleId="a5">
    <w:name w:val="Note Heading"/>
    <w:basedOn w:val="a"/>
    <w:next w:val="a"/>
    <w:pPr>
      <w:jc w:val="center"/>
    </w:pPr>
    <w:rPr>
      <w:rFonts w:eastAsia="標楷體"/>
      <w:color w:val="000000"/>
      <w:sz w:val="28"/>
    </w:rPr>
  </w:style>
  <w:style w:type="paragraph" w:customStyle="1" w:styleId="Header1">
    <w:name w:val="Header1"/>
    <w:basedOn w:val="a"/>
    <w:pPr>
      <w:spacing w:line="360" w:lineRule="auto"/>
      <w:ind w:firstLineChars="200" w:firstLine="560"/>
      <w:jc w:val="center"/>
    </w:pPr>
    <w:rPr>
      <w:rFonts w:eastAsia="標楷體"/>
      <w:b/>
      <w:sz w:val="40"/>
    </w:rPr>
  </w:style>
  <w:style w:type="paragraph" w:customStyle="1" w:styleId="Content">
    <w:name w:val="Content"/>
    <w:basedOn w:val="a"/>
    <w:pPr>
      <w:spacing w:line="360" w:lineRule="auto"/>
      <w:ind w:firstLineChars="200" w:firstLine="560"/>
      <w:jc w:val="both"/>
    </w:pPr>
    <w:rPr>
      <w:rFonts w:eastAsia="標楷體"/>
      <w:color w:val="000000"/>
      <w:sz w:val="28"/>
    </w:rPr>
  </w:style>
  <w:style w:type="paragraph" w:customStyle="1" w:styleId="Header2">
    <w:name w:val="Header2"/>
    <w:basedOn w:val="Content"/>
    <w:pPr>
      <w:ind w:firstLineChars="0" w:firstLine="0"/>
    </w:pPr>
    <w:rPr>
      <w:b/>
      <w:sz w:val="36"/>
    </w:rPr>
  </w:style>
  <w:style w:type="paragraph" w:customStyle="1" w:styleId="Header3">
    <w:name w:val="Header3"/>
    <w:basedOn w:val="2"/>
    <w:pPr>
      <w:jc w:val="both"/>
    </w:pPr>
    <w:rPr>
      <w:rFonts w:eastAsia="標楷體"/>
      <w:b/>
      <w:bCs/>
      <w:sz w:val="32"/>
    </w:rPr>
  </w:style>
  <w:style w:type="paragraph" w:customStyle="1" w:styleId="Figure">
    <w:name w:val="Figure"/>
    <w:basedOn w:val="a"/>
    <w:pPr>
      <w:spacing w:line="360" w:lineRule="auto"/>
      <w:ind w:firstLineChars="200" w:firstLine="560"/>
      <w:jc w:val="center"/>
    </w:pPr>
    <w:rPr>
      <w:rFonts w:eastAsia="標楷體"/>
      <w:sz w:val="28"/>
    </w:rPr>
  </w:style>
  <w:style w:type="paragraph" w:customStyle="1" w:styleId="Table">
    <w:name w:val="Table"/>
    <w:basedOn w:val="Content"/>
  </w:style>
  <w:style w:type="paragraph" w:styleId="a6">
    <w:name w:val="Closing"/>
    <w:basedOn w:val="a"/>
    <w:pPr>
      <w:ind w:leftChars="1800" w:left="100"/>
    </w:pPr>
    <w:rPr>
      <w:rFonts w:eastAsia="標楷體"/>
      <w:color w:val="000000"/>
      <w:sz w:val="28"/>
    </w:rPr>
  </w:style>
  <w:style w:type="character" w:customStyle="1" w:styleId="author1">
    <w:name w:val="author1"/>
    <w:rPr>
      <w:rFonts w:ascii="Arial" w:hAnsi="Arial" w:cs="Arial" w:hint="default"/>
      <w:b w:val="0"/>
      <w:bCs w:val="0"/>
      <w:i/>
      <w:iCs/>
      <w:sz w:val="18"/>
      <w:szCs w:val="18"/>
    </w:rPr>
  </w:style>
  <w:style w:type="paragraph" w:styleId="10">
    <w:name w:val="toc 1"/>
    <w:basedOn w:val="a"/>
    <w:next w:val="a"/>
    <w:autoRedefine/>
    <w:semiHidden/>
    <w:rsid w:val="00FE10F7"/>
    <w:pPr>
      <w:tabs>
        <w:tab w:val="right" w:leader="dot" w:pos="8642"/>
      </w:tabs>
    </w:pPr>
    <w:rPr>
      <w:rFonts w:eastAsia="標楷體"/>
      <w:noProof/>
      <w:color w:val="000000"/>
      <w:sz w:val="28"/>
      <w:szCs w:val="40"/>
    </w:rPr>
  </w:style>
  <w:style w:type="paragraph" w:styleId="3">
    <w:name w:val="toc 3"/>
    <w:basedOn w:val="a"/>
    <w:next w:val="a"/>
    <w:autoRedefine/>
    <w:semiHidden/>
    <w:pPr>
      <w:ind w:leftChars="400" w:left="960"/>
    </w:pPr>
  </w:style>
  <w:style w:type="paragraph" w:styleId="20">
    <w:name w:val="toc 2"/>
    <w:basedOn w:val="a"/>
    <w:next w:val="a"/>
    <w:autoRedefine/>
    <w:semiHidden/>
    <w:pPr>
      <w:ind w:leftChars="200" w:left="480"/>
    </w:pPr>
  </w:style>
  <w:style w:type="paragraph" w:styleId="4">
    <w:name w:val="toc 4"/>
    <w:basedOn w:val="a"/>
    <w:next w:val="a"/>
    <w:autoRedefine/>
    <w:semiHidden/>
    <w:pPr>
      <w:ind w:leftChars="600" w:left="1440"/>
    </w:pPr>
  </w:style>
  <w:style w:type="paragraph" w:styleId="50">
    <w:name w:val="toc 5"/>
    <w:basedOn w:val="a"/>
    <w:next w:val="a"/>
    <w:autoRedefine/>
    <w:semiHidden/>
    <w:pPr>
      <w:ind w:leftChars="800" w:left="1920"/>
    </w:pPr>
  </w:style>
  <w:style w:type="paragraph" w:styleId="60">
    <w:name w:val="toc 6"/>
    <w:basedOn w:val="a"/>
    <w:next w:val="a"/>
    <w:autoRedefine/>
    <w:semiHidden/>
    <w:pPr>
      <w:ind w:leftChars="1000" w:left="2400"/>
    </w:pPr>
  </w:style>
  <w:style w:type="paragraph" w:styleId="7">
    <w:name w:val="toc 7"/>
    <w:basedOn w:val="a"/>
    <w:next w:val="a"/>
    <w:autoRedefine/>
    <w:semiHidden/>
    <w:pPr>
      <w:ind w:leftChars="1200" w:left="2880"/>
    </w:pPr>
  </w:style>
  <w:style w:type="paragraph" w:styleId="8">
    <w:name w:val="toc 8"/>
    <w:basedOn w:val="a"/>
    <w:next w:val="a"/>
    <w:autoRedefine/>
    <w:semiHidden/>
    <w:pPr>
      <w:ind w:leftChars="1400" w:left="3360"/>
    </w:pPr>
  </w:style>
  <w:style w:type="paragraph" w:styleId="9">
    <w:name w:val="toc 9"/>
    <w:basedOn w:val="a"/>
    <w:next w:val="a"/>
    <w:autoRedefine/>
    <w:semiHidden/>
    <w:pPr>
      <w:ind w:leftChars="1600" w:left="3840"/>
    </w:pPr>
  </w:style>
  <w:style w:type="character" w:styleId="a7">
    <w:name w:val="Hyperlink"/>
    <w:rPr>
      <w:color w:val="0000FF"/>
      <w:u w:val="single"/>
    </w:rPr>
  </w:style>
  <w:style w:type="paragraph" w:styleId="a8">
    <w:name w:val="table of figures"/>
    <w:basedOn w:val="a"/>
    <w:next w:val="a"/>
    <w:semiHidden/>
    <w:pPr>
      <w:ind w:leftChars="400" w:left="960" w:hangingChars="200" w:hanging="480"/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page number"/>
    <w:basedOn w:val="a1"/>
  </w:style>
  <w:style w:type="paragraph" w:styleId="ab">
    <w:name w:val="Date"/>
    <w:basedOn w:val="a"/>
    <w:next w:val="a"/>
    <w:pPr>
      <w:jc w:val="right"/>
    </w:pPr>
    <w:rPr>
      <w:rFonts w:eastAsia="標楷體"/>
      <w:spacing w:val="100"/>
      <w:sz w:val="44"/>
    </w:rPr>
  </w:style>
  <w:style w:type="paragraph" w:styleId="ac">
    <w:name w:val="header"/>
    <w:basedOn w:val="a"/>
    <w:rsid w:val="00C83FC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d">
    <w:name w:val="No Spacing"/>
    <w:link w:val="ae"/>
    <w:uiPriority w:val="1"/>
    <w:qFormat/>
    <w:rsid w:val="003938F0"/>
    <w:rPr>
      <w:rFonts w:ascii="Calibri" w:hAnsi="Calibri"/>
      <w:sz w:val="22"/>
      <w:szCs w:val="22"/>
    </w:rPr>
  </w:style>
  <w:style w:type="character" w:customStyle="1" w:styleId="ae">
    <w:name w:val="無間距 字元"/>
    <w:link w:val="ad"/>
    <w:uiPriority w:val="1"/>
    <w:rsid w:val="003938F0"/>
    <w:rPr>
      <w:rFonts w:ascii="Calibri" w:hAnsi="Calibri"/>
      <w:sz w:val="22"/>
      <w:szCs w:val="22"/>
      <w:lang w:val="en-US" w:eastAsia="zh-TW" w:bidi="ar-SA"/>
    </w:rPr>
  </w:style>
  <w:style w:type="paragraph" w:styleId="af">
    <w:name w:val="Balloon Text"/>
    <w:basedOn w:val="a"/>
    <w:link w:val="af0"/>
    <w:rsid w:val="003938F0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rsid w:val="003938F0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Strong"/>
    <w:qFormat/>
    <w:rsid w:val="0077308D"/>
    <w:rPr>
      <w:b/>
      <w:bCs/>
    </w:rPr>
  </w:style>
  <w:style w:type="paragraph" w:styleId="af2">
    <w:name w:val="List Paragraph"/>
    <w:basedOn w:val="a"/>
    <w:uiPriority w:val="34"/>
    <w:qFormat/>
    <w:rsid w:val="00E77A08"/>
    <w:pPr>
      <w:suppressAutoHyphens/>
      <w:autoSpaceDN w:val="0"/>
      <w:ind w:left="480"/>
      <w:textAlignment w:val="baseline"/>
    </w:pPr>
    <w:rPr>
      <w:rFonts w:ascii="Calibri" w:hAnsi="Calibri"/>
      <w:kern w:val="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2C3178-C31D-4F34-8060-4C97FBEA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467</Words>
  <Characters>2665</Characters>
  <Application>Microsoft Office Word</Application>
  <DocSecurity>0</DocSecurity>
  <Lines>22</Lines>
  <Paragraphs>6</Paragraphs>
  <ScaleCrop>false</ScaleCrop>
  <Company>gee</Company>
  <LinksUpToDate>false</LinksUpToDate>
  <CharactersWithSpaces>3126</CharactersWithSpaces>
  <SharedDoc>false</SharedDoc>
  <HLinks>
    <vt:vector size="144" baseType="variant">
      <vt:variant>
        <vt:i4>1966133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_Toc169542988</vt:lpwstr>
      </vt:variant>
      <vt:variant>
        <vt:i4>1376309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_Toc169542932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_Toc169544844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_Toc169544843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_Toc169544842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_Toc169544840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_Toc169544839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_Toc169544838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_Toc169544837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_Toc169544836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_Toc169544835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_Toc169544834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逢   甲   大   學</dc:title>
  <dc:subject/>
  <dc:creator>sc</dc:creator>
  <cp:keywords/>
  <dc:description/>
  <cp:lastModifiedBy>鄭翰陽</cp:lastModifiedBy>
  <cp:revision>4</cp:revision>
  <dcterms:created xsi:type="dcterms:W3CDTF">2022-05-23T07:25:00Z</dcterms:created>
  <dcterms:modified xsi:type="dcterms:W3CDTF">2022-10-05T01:51:00Z</dcterms:modified>
</cp:coreProperties>
</file>