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C2B" w:rsidRDefault="00086C2B" w:rsidP="00086C2B">
      <w:pPr>
        <w:widowControl/>
        <w:autoSpaceDE w:val="0"/>
        <w:autoSpaceDN w:val="0"/>
        <w:spacing w:line="480" w:lineRule="atLeast"/>
        <w:ind w:left="851" w:right="585"/>
        <w:jc w:val="center"/>
        <w:textAlignment w:val="bottom"/>
        <w:rPr>
          <w:rFonts w:eastAsia="標楷體"/>
          <w:sz w:val="64"/>
        </w:rPr>
      </w:pPr>
      <w:bookmarkStart w:id="0" w:name="_GoBack"/>
      <w:bookmarkEnd w:id="0"/>
      <w:r>
        <w:rPr>
          <w:rFonts w:eastAsia="標楷體" w:hint="eastAsia"/>
          <w:sz w:val="64"/>
        </w:rPr>
        <w:t>逢</w:t>
      </w:r>
      <w:r>
        <w:rPr>
          <w:rFonts w:eastAsia="標楷體"/>
          <w:sz w:val="64"/>
        </w:rPr>
        <w:t xml:space="preserve"> </w:t>
      </w:r>
      <w:r>
        <w:rPr>
          <w:rFonts w:eastAsia="標楷體" w:hint="eastAsia"/>
          <w:sz w:val="64"/>
        </w:rPr>
        <w:t xml:space="preserve">  </w:t>
      </w:r>
      <w:r>
        <w:rPr>
          <w:rFonts w:eastAsia="標楷體" w:hint="eastAsia"/>
          <w:sz w:val="64"/>
        </w:rPr>
        <w:t>甲</w:t>
      </w:r>
      <w:r>
        <w:rPr>
          <w:rFonts w:eastAsia="標楷體" w:hint="eastAsia"/>
          <w:sz w:val="64"/>
        </w:rPr>
        <w:t xml:space="preserve">   </w:t>
      </w:r>
      <w:r>
        <w:rPr>
          <w:rFonts w:eastAsia="標楷體" w:hint="eastAsia"/>
          <w:sz w:val="64"/>
        </w:rPr>
        <w:t>大</w:t>
      </w:r>
      <w:r>
        <w:rPr>
          <w:rFonts w:eastAsia="標楷體" w:hint="eastAsia"/>
          <w:sz w:val="64"/>
        </w:rPr>
        <w:t xml:space="preserve">   </w:t>
      </w:r>
      <w:r>
        <w:rPr>
          <w:rFonts w:eastAsia="標楷體" w:hint="eastAsia"/>
          <w:sz w:val="64"/>
        </w:rPr>
        <w:t>學</w:t>
      </w:r>
    </w:p>
    <w:p w:rsidR="00086C2B" w:rsidRPr="006A63BF" w:rsidRDefault="006A63BF" w:rsidP="00086C2B">
      <w:pPr>
        <w:widowControl/>
        <w:autoSpaceDE w:val="0"/>
        <w:autoSpaceDN w:val="0"/>
        <w:spacing w:line="480" w:lineRule="atLeast"/>
        <w:ind w:right="-135"/>
        <w:jc w:val="center"/>
        <w:textAlignment w:val="bottom"/>
        <w:rPr>
          <w:rFonts w:eastAsia="標楷體"/>
          <w:spacing w:val="-30"/>
          <w:sz w:val="54"/>
          <w:szCs w:val="54"/>
        </w:rPr>
      </w:pPr>
      <w:bookmarkStart w:id="1" w:name="_Hlk57123279"/>
      <w:r>
        <w:t>電聲碩士學位學程</w:t>
      </w:r>
    </w:p>
    <w:bookmarkEnd w:id="1"/>
    <w:p w:rsidR="00086C2B" w:rsidRPr="00A33B98" w:rsidRDefault="00086C2B" w:rsidP="00086C2B">
      <w:pPr>
        <w:widowControl/>
        <w:autoSpaceDE w:val="0"/>
        <w:autoSpaceDN w:val="0"/>
        <w:spacing w:line="480" w:lineRule="atLeast"/>
        <w:ind w:right="-135"/>
        <w:jc w:val="center"/>
        <w:textAlignment w:val="bottom"/>
        <w:rPr>
          <w:rFonts w:eastAsia="標楷體"/>
          <w:color w:val="FF0000"/>
          <w:szCs w:val="24"/>
        </w:rPr>
      </w:pPr>
      <w:r>
        <w:rPr>
          <w:rFonts w:eastAsia="標楷體" w:hint="eastAsia"/>
          <w:sz w:val="64"/>
        </w:rPr>
        <w:t>碩</w:t>
      </w:r>
      <w:r>
        <w:rPr>
          <w:rFonts w:eastAsia="標楷體" w:hint="eastAsia"/>
          <w:sz w:val="64"/>
        </w:rPr>
        <w:t xml:space="preserve">  </w:t>
      </w:r>
      <w:r>
        <w:rPr>
          <w:rFonts w:eastAsia="標楷體" w:hint="eastAsia"/>
          <w:sz w:val="64"/>
        </w:rPr>
        <w:t>士</w:t>
      </w:r>
      <w:r>
        <w:rPr>
          <w:rFonts w:eastAsia="標楷體" w:hint="eastAsia"/>
          <w:sz w:val="64"/>
        </w:rPr>
        <w:t xml:space="preserve">  </w:t>
      </w:r>
      <w:r>
        <w:rPr>
          <w:rFonts w:eastAsia="標楷體" w:hint="eastAsia"/>
          <w:sz w:val="64"/>
        </w:rPr>
        <w:t>論</w:t>
      </w:r>
      <w:r>
        <w:rPr>
          <w:rFonts w:eastAsia="標楷體" w:hint="eastAsia"/>
          <w:sz w:val="64"/>
        </w:rPr>
        <w:t xml:space="preserve">  </w:t>
      </w:r>
      <w:r>
        <w:rPr>
          <w:rFonts w:eastAsia="標楷體" w:hint="eastAsia"/>
          <w:sz w:val="64"/>
        </w:rPr>
        <w:t>文</w:t>
      </w:r>
      <w:bookmarkStart w:id="2" w:name="_Hlk57123996"/>
      <w:bookmarkEnd w:id="2"/>
    </w:p>
    <w:p w:rsidR="00086C2B" w:rsidRDefault="00086C2B" w:rsidP="00086C2B">
      <w:pPr>
        <w:widowControl/>
        <w:autoSpaceDE w:val="0"/>
        <w:autoSpaceDN w:val="0"/>
        <w:spacing w:line="280" w:lineRule="atLeast"/>
        <w:ind w:right="-136"/>
        <w:jc w:val="center"/>
        <w:textAlignment w:val="bottom"/>
        <w:rPr>
          <w:rFonts w:eastAsia="標楷體"/>
          <w:sz w:val="64"/>
        </w:rPr>
      </w:pPr>
    </w:p>
    <w:p w:rsidR="00086C2B" w:rsidRPr="00A33B98" w:rsidRDefault="00086C2B" w:rsidP="00086C2B">
      <w:pPr>
        <w:widowControl/>
        <w:autoSpaceDE w:val="0"/>
        <w:autoSpaceDN w:val="0"/>
        <w:spacing w:line="720" w:lineRule="atLeast"/>
        <w:jc w:val="center"/>
        <w:textAlignment w:val="bottom"/>
        <w:rPr>
          <w:rFonts w:eastAsia="標楷體"/>
          <w:sz w:val="44"/>
        </w:rPr>
      </w:pPr>
      <w:r>
        <w:t>Isaac Sim 機械手臂超音波感測回授接近之模擬驗證</w:t>
      </w:r>
    </w:p>
    <w:p w:rsidR="00086C2B" w:rsidRDefault="00086C2B" w:rsidP="00086C2B">
      <w:pPr>
        <w:widowControl/>
        <w:autoSpaceDE w:val="0"/>
        <w:autoSpaceDN w:val="0"/>
        <w:spacing w:before="600" w:line="660" w:lineRule="atLeast"/>
        <w:ind w:right="-136"/>
        <w:jc w:val="center"/>
        <w:textAlignment w:val="bottom"/>
        <w:rPr>
          <w:rFonts w:eastAsia="標楷體"/>
          <w:spacing w:val="100"/>
          <w:sz w:val="44"/>
        </w:rPr>
      </w:pPr>
    </w:p>
    <w:p w:rsidR="006A63BF" w:rsidRDefault="006A63BF" w:rsidP="00086C2B">
      <w:pPr>
        <w:widowControl/>
        <w:autoSpaceDE w:val="0"/>
        <w:autoSpaceDN w:val="0"/>
        <w:spacing w:before="600" w:line="660" w:lineRule="atLeast"/>
        <w:ind w:right="-136"/>
        <w:jc w:val="center"/>
        <w:textAlignment w:val="bottom"/>
        <w:rPr>
          <w:rFonts w:eastAsia="標楷體"/>
          <w:spacing w:val="100"/>
          <w:sz w:val="44"/>
        </w:rPr>
      </w:pPr>
    </w:p>
    <w:p w:rsidR="006A63BF" w:rsidRDefault="006A63BF" w:rsidP="00086C2B">
      <w:pPr>
        <w:widowControl/>
        <w:autoSpaceDE w:val="0"/>
        <w:autoSpaceDN w:val="0"/>
        <w:spacing w:before="600" w:line="660" w:lineRule="atLeast"/>
        <w:ind w:right="-136"/>
        <w:jc w:val="center"/>
        <w:textAlignment w:val="bottom"/>
        <w:rPr>
          <w:rFonts w:eastAsia="標楷體"/>
          <w:spacing w:val="100"/>
          <w:sz w:val="44"/>
        </w:rPr>
      </w:pPr>
    </w:p>
    <w:p w:rsidR="00086C2B" w:rsidRPr="0077308D" w:rsidRDefault="00086C2B" w:rsidP="00086C2B">
      <w:pPr>
        <w:ind w:left="360" w:right="464"/>
        <w:jc w:val="distribute"/>
        <w:rPr>
          <w:rFonts w:ascii="標楷體" w:eastAsia="標楷體" w:hAnsi="標楷體"/>
          <w:spacing w:val="100"/>
          <w:sz w:val="44"/>
        </w:rPr>
      </w:pPr>
      <w:r>
        <w:t>中華民國</w:t>
      </w:r>
      <w:r>
        <w:t xml:space="preserve"> 115 </w:t>
      </w:r>
      <w:r>
        <w:t>年</w:t>
      </w:r>
      <w:r>
        <w:t xml:space="preserve"> 7 </w:t>
      </w:r>
      <w:r>
        <w:t>月</w:t>
      </w:r>
    </w:p>
    <w:p w:rsidR="00B525F4" w:rsidRDefault="005D1104">
      <w:r>
        <w:t>指導教授：蔡鈺鼎</w:t>
      </w:r>
      <w:r>
        <w:t xml:space="preserve"> </w:t>
      </w:r>
      <w:r>
        <w:t>教授</w:t>
      </w:r>
    </w:p>
    <w:p w:rsidR="00B525F4" w:rsidRDefault="005D1104">
      <w:r>
        <w:t>研究生：宋思遠</w:t>
      </w:r>
    </w:p>
    <w:p w:rsidR="00086C2B" w:rsidRPr="00D17952" w:rsidRDefault="00086C2B" w:rsidP="00086C2B">
      <w:pPr>
        <w:ind w:left="360" w:right="464"/>
        <w:jc w:val="distribute"/>
        <w:rPr>
          <w:rFonts w:eastAsia="標楷體"/>
          <w:color w:val="000000"/>
          <w:sz w:val="44"/>
          <w:szCs w:val="44"/>
        </w:rPr>
        <w:sectPr w:rsidR="00086C2B" w:rsidRPr="00D17952" w:rsidSect="00135FA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440" w:left="1797" w:header="851" w:footer="992" w:gutter="0"/>
          <w:pgNumType w:fmt="lowerRoman" w:start="1"/>
          <w:cols w:space="425"/>
          <w:titlePg/>
          <w:docGrid w:linePitch="360"/>
        </w:sectPr>
      </w:pPr>
    </w:p>
    <w:p w:rsidR="00086C2B" w:rsidRDefault="00086C2B" w:rsidP="00086C2B">
      <w:pPr>
        <w:pStyle w:val="Header1"/>
        <w:ind w:firstLineChars="0" w:firstLine="0"/>
      </w:pPr>
      <w:bookmarkStart w:id="3" w:name="_Toc233856718"/>
      <w:r>
        <w:rPr>
          <w:rFonts w:hint="eastAsia"/>
        </w:rPr>
        <w:lastRenderedPageBreak/>
        <w:t>誌</w:t>
      </w:r>
      <w:r>
        <w:t xml:space="preserve">  </w:t>
      </w:r>
      <w:r>
        <w:rPr>
          <w:rFonts w:hint="eastAsia"/>
        </w:rPr>
        <w:t>謝</w:t>
      </w:r>
      <w:bookmarkEnd w:id="3"/>
    </w:p>
    <w:p w:rsidR="00086C2B" w:rsidRPr="0058017A" w:rsidRDefault="00086C2B" w:rsidP="00086C2B">
      <w:pPr>
        <w:spacing w:after="180" w:line="360" w:lineRule="auto"/>
        <w:ind w:firstLineChars="200" w:firstLine="560"/>
        <w:jc w:val="both"/>
        <w:rPr>
          <w:rFonts w:ascii="標楷體" w:eastAsia="標楷體" w:hAnsi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58017A" w:rsidRDefault="0058017A" w:rsidP="0058017A">
      <w:pPr>
        <w:autoSpaceDE w:val="0"/>
        <w:ind w:right="5" w:firstLine="482"/>
        <w:jc w:val="right"/>
        <w:rPr>
          <w:rFonts w:eastAsia="標楷體"/>
          <w:color w:val="000000"/>
          <w:sz w:val="28"/>
          <w:szCs w:val="28"/>
        </w:rPr>
      </w:pPr>
      <w:r>
        <w:rPr>
          <w:rFonts w:eastAsia="標楷體"/>
          <w:color w:val="3333FF"/>
          <w:spacing w:val="20"/>
          <w:sz w:val="28"/>
          <w:szCs w:val="28"/>
        </w:rPr>
        <w:t>宋思遠</w:t>
      </w:r>
      <w:r>
        <w:rPr>
          <w:rFonts w:eastAsia="標楷體"/>
          <w:color w:val="3333FF"/>
          <w:spacing w:val="20"/>
          <w:sz w:val="28"/>
          <w:szCs w:val="28"/>
        </w:rPr>
        <w:t xml:space="preserve"> </w:t>
      </w:r>
      <w:r>
        <w:rPr>
          <w:rFonts w:eastAsia="標楷體"/>
          <w:color w:val="3333FF"/>
          <w:spacing w:val="20"/>
          <w:sz w:val="28"/>
          <w:szCs w:val="28"/>
        </w:rPr>
        <w:t>謹誌於</w:t>
      </w:r>
    </w:p>
    <w:p w:rsidR="0058017A" w:rsidRPr="0014020D" w:rsidRDefault="0058017A" w:rsidP="0058017A">
      <w:pPr>
        <w:suppressAutoHyphens/>
        <w:autoSpaceDE w:val="0"/>
        <w:autoSpaceDN w:val="0"/>
        <w:spacing w:line="360" w:lineRule="auto"/>
        <w:ind w:firstLine="482"/>
        <w:jc w:val="right"/>
        <w:textAlignment w:val="baseline"/>
        <w:rPr>
          <w:rFonts w:eastAsia="標楷體"/>
        </w:rPr>
      </w:pPr>
      <w:r w:rsidRPr="0014020D">
        <w:rPr>
          <w:rFonts w:eastAsia="標楷體"/>
          <w:color w:val="000000"/>
          <w:sz w:val="28"/>
          <w:szCs w:val="28"/>
        </w:rPr>
        <w:t>逢甲大學</w:t>
      </w:r>
      <w:bookmarkStart w:id="4" w:name="_Hlk57124262"/>
      <w:r>
        <w:rPr>
          <w:rFonts w:eastAsia="標楷體" w:hint="eastAsia"/>
          <w:color w:val="000000"/>
          <w:sz w:val="28"/>
          <w:szCs w:val="28"/>
        </w:rPr>
        <w:t>工程與科學</w:t>
      </w:r>
      <w:r w:rsidRPr="0014020D">
        <w:rPr>
          <w:rFonts w:eastAsia="標楷體"/>
          <w:color w:val="000000"/>
          <w:sz w:val="28"/>
          <w:szCs w:val="28"/>
        </w:rPr>
        <w:t>學院</w:t>
      </w:r>
      <w:bookmarkEnd w:id="4"/>
    </w:p>
    <w:p w:rsidR="00086C2B" w:rsidRPr="00120CCC" w:rsidRDefault="006C3EF0" w:rsidP="0058017A">
      <w:pPr>
        <w:spacing w:after="180"/>
        <w:ind w:firstLineChars="200" w:firstLine="480"/>
        <w:jc w:val="center"/>
        <w:rPr>
          <w:rFonts w:eastAsia="標楷體"/>
          <w:b/>
          <w:color w:val="000000"/>
          <w:sz w:val="40"/>
          <w:szCs w:val="40"/>
        </w:rPr>
      </w:pPr>
      <w:r>
        <w:t>中華民國</w:t>
      </w:r>
      <w:r>
        <w:t xml:space="preserve"> 115 </w:t>
      </w:r>
      <w:r>
        <w:t>年</w:t>
      </w:r>
      <w:r>
        <w:t xml:space="preserve"> 7 </w:t>
      </w:r>
      <w:r>
        <w:t>月</w:t>
      </w:r>
    </w:p>
    <w:p w:rsidR="007866A1" w:rsidRDefault="007866A1">
      <w:pPr>
        <w:widowControl/>
        <w:rPr>
          <w:rFonts w:eastAsia="標楷體"/>
          <w:b/>
          <w:sz w:val="40"/>
        </w:rPr>
      </w:pPr>
      <w:r>
        <w:br w:type="page"/>
      </w:r>
    </w:p>
    <w:p w:rsidR="00B525F4" w:rsidRDefault="005D1104">
      <w:pPr>
        <w:pStyle w:val="Header1"/>
        <w:ind w:firstLine="801"/>
      </w:pPr>
      <w:bookmarkStart w:id="5" w:name="_Toc233856719"/>
      <w:r>
        <w:lastRenderedPageBreak/>
        <w:t>摘</w:t>
      </w:r>
      <w:r>
        <w:t xml:space="preserve">  </w:t>
      </w:r>
      <w:r>
        <w:t>要</w:t>
      </w:r>
      <w:bookmarkEnd w:id="5"/>
    </w:p>
    <w:p w:rsidR="0058017A" w:rsidRPr="0014020D" w:rsidRDefault="0058017A" w:rsidP="0058017A">
      <w:pPr>
        <w:spacing w:after="180" w:line="360" w:lineRule="auto"/>
        <w:ind w:firstLine="560"/>
        <w:jc w:val="both"/>
        <w:rPr>
          <w:rFonts w:eastAsia="標楷體"/>
        </w:rPr>
      </w:pPr>
      <w:r>
        <w:t>本研究於 NVIDIA Isaac Sim 6.0 之 RTX Acoustic 超音波模組中，建立並驗證「包絡優先」之感測回授接近流程：先以選定幾何格點之配對移除掃描（同姿態有目標／移除目標）界定可偵測包絡，再將 UR10e 任務置於包絡內。五十二格中三十六格可偵測，指向角度為主宰因子；距離由多影格平均回波峰值經當輪線性自校換算（視軸編碼 r＝0.9994；桌高目標 RMSE 5.3 mm）。閉環採三臂資訊消融：聲學臂依估距停止、盲走臂保留量測但拿掉估距、開環臂固定行程；同種子、同目標組，控制器不讀目標真實座標。主結果（腕載 UR10e）：停止位置與目標 r＝0.9856、RMSE 2.8 cm，盲走同管線失能，顯示接近行為可歸因於聲學資訊而非場景寬度巧合。夾取段以聲學估距對位並採接觸觸發附著升舉。正式主結果為走廊遠端修正後之獨立複驗：對位率 80% 對盲走 33%，對位 r＝0.978、均方根誤差約 1.6 cm，90 回合姿態與 IK 零違規；首輪完整走廊曾因遠端升舉 IK 未過預註冊姿態項（對位 60% 對 23%），已如實保留並於 5.3 節交代失效—歸因—修正。推論範圍為模擬內聲學對位，不含物理摩擦夾持。單次輸出之左右線索經四項檢驗未成立後，以五視點距離多點定位恢復二維位置（側向 r＝0.950、二維停止 RMSE 1.9 cm，盲走失能）。全文推論限於單一隨機種子與確定性模擬引擎；實機驗證列未來工作。</w:t>
      </w: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color w:val="3333FF"/>
          <w:sz w:val="28"/>
          <w:szCs w:val="28"/>
        </w:rPr>
      </w:pPr>
      <w:r>
        <w:t>關鍵詞：RTX Acoustic；感測包絡；聲學閉環接近；資訊消融對照；實驗效度設計；Isaac Sim</w:t>
      </w:r>
    </w:p>
    <w:p w:rsidR="00086C2B" w:rsidRPr="00120CCC" w:rsidRDefault="00086C2B" w:rsidP="00086C2B">
      <w:pPr>
        <w:pStyle w:val="Header1"/>
        <w:autoSpaceDE w:val="0"/>
        <w:autoSpaceDN w:val="0"/>
        <w:adjustRightInd w:val="0"/>
        <w:spacing w:beforeLines="50" w:before="180" w:afterLines="50" w:after="180"/>
        <w:ind w:firstLine="801"/>
        <w:rPr>
          <w:color w:val="000000"/>
          <w:szCs w:val="40"/>
        </w:rPr>
      </w:pPr>
      <w:r w:rsidRPr="00120CCC">
        <w:rPr>
          <w:color w:val="000000"/>
        </w:rPr>
        <w:br w:type="page"/>
      </w:r>
      <w:bookmarkStart w:id="6" w:name="_Toc233856720"/>
      <w:r w:rsidRPr="00120CCC">
        <w:rPr>
          <w:color w:val="000000"/>
          <w:szCs w:val="40"/>
        </w:rPr>
        <w:lastRenderedPageBreak/>
        <w:t>Abstract</w:t>
      </w:r>
      <w:bookmarkEnd w:id="6"/>
    </w:p>
    <w:p w:rsidR="00086C2B" w:rsidRPr="00120CCC" w:rsidRDefault="00086C2B" w:rsidP="00086C2B">
      <w:pPr>
        <w:spacing w:after="180" w:line="360" w:lineRule="auto"/>
        <w:ind w:firstLineChars="200" w:firstLine="480"/>
        <w:jc w:val="both"/>
        <w:rPr>
          <w:rFonts w:eastAsia="標楷體"/>
          <w:color w:val="3333FF"/>
          <w:kern w:val="0"/>
          <w:sz w:val="28"/>
          <w:szCs w:val="28"/>
        </w:rPr>
      </w:pPr>
      <w:r>
        <w:t>This thesis builds and validates an envelope-first ultrasonic sensor-feedback approach pipeline in NVIDIA Isaac Sim 6.0 with RTX Acoustic: a paired-removal scan over selected geometries first maps detectability, then places a UR10e task inside that envelope. Thirty-six of fifty-two cells are detectable and pointing angle dominates; range comes from multi-frame peak indices after per-batch linear self-calibration (boresight r=0.9994; tabletop-height RMSE 5.3 mm). Closed-loop tests use a three-arm information ablation (acoustic / blind / open) with shared seeds and targets, never reading target world coordinates. On the wrist-mounted UR10e, stop position tracks the target at r=0.9856 (RMSE 2.8 cm) while the blind arm fails on the same pipeline, attributing approach to acoustic information rather than corridor geometry. Grasp-stage placement uses acoustic range with contact-triggered attachment lift. The canonical grasp result is an independent re-run after far-edge corridor correction: alignment 80% vs blind 33%, r=0.978, RMSE about 1.6 cm, and zero posture/IK violations over ninety episodes. The first full-corridor formal run failed a pre-registered posture criterion due to far-edge lift IK (alignment 60% vs 23%) and is retained as a failure–fix–reverify case in §5.3. Scope is in-sim acoustic alignment, not friction grasping. After four tests found no usable single-shot left–right cue, five-view multilateration recovers 2-D pose (lateral r=0.950; 2-D stop RMSE 1.9 cm; blind fails). Claims are limited to a single random seed and a deterministic engine; hardware validation remains future work.</w:t>
      </w:r>
    </w:p>
    <w:p w:rsidR="003C11EF" w:rsidRDefault="003C11EF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  <w:r>
        <w:t>Keywords: RTX Acoustic; sensing envelope; acoustic closed-loop approach; ablation control; experimental validity design; Isaac Sim</w:t>
      </w:r>
    </w:p>
    <w:p w:rsidR="00E25432" w:rsidRPr="00B709CF" w:rsidRDefault="00086C2B" w:rsidP="00B709CF">
      <w:pPr>
        <w:widowControl/>
        <w:autoSpaceDE w:val="0"/>
        <w:autoSpaceDN w:val="0"/>
        <w:spacing w:line="480" w:lineRule="atLeast"/>
        <w:ind w:left="851" w:right="585"/>
        <w:jc w:val="center"/>
        <w:textAlignment w:val="bottom"/>
        <w:rPr>
          <w:rFonts w:ascii="標楷體" w:eastAsia="標楷體" w:hAnsi="標楷體"/>
          <w:sz w:val="40"/>
          <w:szCs w:val="40"/>
        </w:rPr>
      </w:pPr>
      <w:r>
        <w:rPr>
          <w:rFonts w:eastAsia="標楷體"/>
          <w:sz w:val="64"/>
        </w:rPr>
        <w:br w:type="page"/>
      </w:r>
      <w:bookmarkStart w:id="7" w:name="_Toc169544836"/>
      <w:r w:rsidR="00E25432" w:rsidRPr="00B709CF">
        <w:rPr>
          <w:rFonts w:ascii="標楷體" w:eastAsia="標楷體" w:hAnsi="標楷體" w:hint="eastAsia"/>
          <w:sz w:val="40"/>
          <w:szCs w:val="40"/>
        </w:rPr>
        <w:lastRenderedPageBreak/>
        <w:t>目</w:t>
      </w:r>
      <w:r w:rsidR="00A33B98" w:rsidRPr="00B709CF">
        <w:rPr>
          <w:rFonts w:ascii="標楷體" w:eastAsia="標楷體" w:hAnsi="標楷體"/>
          <w:sz w:val="40"/>
          <w:szCs w:val="40"/>
        </w:rPr>
        <w:t xml:space="preserve"> </w:t>
      </w:r>
      <w:r w:rsidR="00E25432" w:rsidRPr="00B709CF">
        <w:rPr>
          <w:rFonts w:ascii="標楷體" w:eastAsia="標楷體" w:hAnsi="標楷體" w:hint="eastAsia"/>
          <w:sz w:val="40"/>
          <w:szCs w:val="40"/>
        </w:rPr>
        <w:t>錄</w:t>
      </w:r>
      <w:bookmarkEnd w:id="7"/>
    </w:p>
    <w:p w:rsidR="000D1061" w:rsidRDefault="000D1061">
      <w:pPr>
        <w:ind w:firstLine="801"/>
      </w:pPr>
    </w:p>
    <w:p w:rsidR="00372554" w:rsidRDefault="000D1061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r>
        <w:t>誌  謝</w:t>
        <w:tab/>
        <w:t>1</w:t>
      </w:r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r>
        <w:t>摘  要</w:t>
        <w:tab/>
        <w:t>2</w:t>
      </w:r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r>
        <w:t>Abstract</w:t>
        <w:tab/>
        <w:t>3</w:t>
      </w:r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r>
        <w:t>第一章、緒論</w:t>
        <w:tab/>
        <w:t>6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1.1 研究背景與問題意識</w:t>
        <w:tab/>
        <w:t>6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1.2 研究目的與問題陳述</w:t>
        <w:tab/>
        <w:t>8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1.3 研究範圍與限制</w:t>
        <w:tab/>
        <w:t>9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1.4 名詞解釋與研究貢獻</w:t>
        <w:tab/>
        <w:t>11</w:t>
      </w:r>
    </w:p>
    <w:p w:rsidR="00372554" w:rsidRDefault="00372554">
      <w:pPr>
        <w:pStyle w:val="2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r>
        <w:t>1.5 實驗平台與軟硬體環境</w:t>
        <w:tab/>
        <w:t>13</w:t>
      </w:r>
    </w:p>
    <w:p w:rsidR="00372554" w:rsidRDefault="00372554">
      <w:pPr>
        <w:pStyle w:val="1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第二章、文獻探討</w:t>
        <w:tab/>
        <w:t>16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2.1 機器人非視覺感測與超音波測距</w:t>
        <w:tab/>
        <w:t>16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2.2 模擬與虛實整合（Sim-to-Real）</w:t>
        <w:tab/>
        <w:t>18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2.3 室內環境與距離特徵</w:t>
        <w:tab/>
        <w:t>20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2.4 RTX Acoustic 與感測輸出（GMO）</w:t>
        <w:tab/>
        <w:t>22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2.5 感測回授式接近與視覺語義操作對照</w:t>
        <w:tab/>
        <w:t>24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2.6 模擬驗證邊界與消融式因果檢驗</w:t>
        <w:tab/>
        <w:t>25</w:t>
      </w:r>
    </w:p>
    <w:p w:rsidR="00372554" w:rsidRDefault="00372554">
      <w:pPr>
        <w:pStyle w:val="2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r>
        <w:t>2.7 聲學陣列、多點定位與合成孔徑</w:t>
        <w:tab/>
        <w:t>26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2.8 文獻缺口與本研究定位</w:t>
        <w:tab/>
        <w:t>27</w:t>
      </w:r>
    </w:p>
    <w:p w:rsidR="00372554" w:rsidRDefault="00372554">
      <w:pPr>
        <w:pStyle w:val="1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第三章、研究方法</w:t>
        <w:tab/>
        <w:t>29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3.1 WPM 感測模型與 GMO 資料結構</w:t>
        <w:tab/>
        <w:t>29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3.2 樣本週期自校</w:t>
        <w:tab/>
        <w:t>31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3.3 實驗方法學：四支柱</w:t>
        <w:tab/>
        <w:t>33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3.4 場景建構與物件操作</w:t>
        <w:tab/>
        <w:t>35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3.5 聲學特徵定義與閉環控制律</w:t>
        <w:tab/>
        <w:t>37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3.6 章節間資料鏈</w:t>
        <w:tab/>
        <w:t>39</w:t>
      </w:r>
    </w:p>
    <w:p w:rsidR="00372554" w:rsidRDefault="00372554">
      <w:pPr>
        <w:pStyle w:val="1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r>
        <w:t>第四章、感測特性化與包絡</w:t>
        <w:tab/>
        <w:t>40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4.1 S1 感測包絡地圖</w:t>
        <w:tab/>
        <w:t>40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4.2 S2 感測器量化特性表</w:t>
        <w:tab/>
        <w:t>44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4.3 負結果與失效機制</w:t>
        <w:tab/>
        <w:t>47</w:t>
      </w:r>
    </w:p>
    <w:p w:rsidR="00372554" w:rsidRDefault="00372554">
      <w:pPr>
        <w:pStyle w:val="1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第五章、聲學閉環接近</w:t>
        <w:tab/>
        <w:t>49</w:t>
      </w:r>
    </w:p>
    <w:p w:rsidR="00372554" w:rsidRDefault="00372554">
      <w:pPr>
        <w:pStyle w:val="2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r>
        <w:t>5.1 D1：未掛臂感測器三臂對照（感測＋控制隔離驗證）</w:t>
        <w:tab/>
        <w:t>49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5.2 D1.5：手臂載具三臂對照（主結果）</w:t>
        <w:tab/>
        <w:t>51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5.3 D3：端到端夾取整合</w:t>
        <w:tab/>
        <w:t>54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5.4 D2：二維多點定位與閉環接近</w:t>
        <w:tab/>
        <w:t>59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5.5 盲走臂與開環臂的角色</w:t>
        <w:tab/>
        <w:t>62</w:t>
      </w:r>
    </w:p>
    <w:p w:rsidR="00372554" w:rsidRDefault="00372554">
      <w:pPr>
        <w:pStyle w:val="1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第六章、討論、限制與結論</w:t>
        <w:tab/>
        <w:t>62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6.1 實驗效度設計之討論</w:t>
        <w:tab/>
        <w:t>62</w:t>
      </w:r>
    </w:p>
    <w:p w:rsidR="00372554" w:rsidRDefault="00372554">
      <w:pPr>
        <w:pStyle w:val="20"/>
        <w:rPr>
          <w:rFonts w:asciiTheme="minorHAnsi" w:eastAsiaTheme="minorEastAsia" w:hAnsiTheme="minorHAnsi" w:cstheme="minorBidi"/>
          <w:color w:val="auto"/>
          <w:sz w:val="24"/>
          <w:szCs w:val="22"/>
        </w:rPr>
      </w:pPr>
      <w:r>
        <w:t>6.2 推論範圍（可支持與不支持的結論）</w:t>
        <w:tab/>
        <w:t>64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6.3 未來工作</w:t>
        <w:tab/>
        <w:t>65</w:t>
      </w:r>
    </w:p>
    <w:p w:rsidR="00372554" w:rsidRDefault="00372554">
      <w:pPr>
        <w:pStyle w:val="2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6.4 研究結論</w:t>
        <w:tab/>
        <w:t>67</w:t>
      </w:r>
    </w:p>
    <w:p w:rsidR="00372554" w:rsidRDefault="00372554">
      <w:pPr>
        <w:pStyle w:val="10"/>
        <w:tabs>
          <w:tab w:val="right" w:leader="dot" w:pos="8642"/>
        </w:tabs>
        <w:rPr>
          <w:rFonts w:asciiTheme="minorHAnsi" w:eastAsiaTheme="minorEastAsia" w:hAnsiTheme="minorHAnsi" w:cstheme="minorBidi"/>
          <w:noProof/>
          <w:szCs w:val="22"/>
        </w:rPr>
      </w:pPr>
      <w:r>
        <w:t>參考文獻</w:t>
        <w:tab/>
        <w:t>69</w:t>
      </w:r>
    </w:p>
    <w:p w:rsidR="000D1061" w:rsidRDefault="000D1061">
      <w:pPr>
        <w:ind w:firstLine="801"/>
      </w:pPr>
      <w:r>
        <w:fldChar w:fldCharType="end"/>
      </w:r>
    </w:p>
    <w:p w:rsidR="000D1061" w:rsidRDefault="000D1061">
      <w:pPr>
        <w:widowControl/>
        <w:rPr>
          <w:rFonts w:eastAsia="標楷體"/>
          <w:b/>
          <w:sz w:val="40"/>
        </w:rPr>
      </w:pPr>
      <w:r>
        <w:br w:type="page"/>
      </w:r>
    </w:p>
    <w:p>
      <w:pPr>
        <w:pStyle w:val="Header1"/>
      </w:pPr>
      <w:r>
        <w:t>第一章、緒論</w:t>
      </w:r>
    </w:p>
    <w:p>
      <w:pPr>
        <w:pStyle w:val="Header2"/>
      </w:pPr>
      <w:r>
        <w:t>1.1 研究背景與問題意識</w:t>
      </w:r>
    </w:p>
    <w:p>
      <w:pPr>
        <w:pStyle w:val="Content"/>
      </w:pPr>
      <w:r>
        <w:t>協作機器人與工業手臂之應用，日益要求人機能安全共處、設備能快速改線佈署。Xu 等 [22]之綜述指出，數位孿生、人機介面與人工智慧之整合已成智慧製造共同趨勢；其中末端（手臂最前端）感測是否穩健——尤其在遮蔽、反光或動態變化的近距工作空間——仍是限制彈性佈署的關鍵瓶頸。室內主動聲學系統中，多徑傳播（multipath：聲波經牆面等表面多次反彈後才抵達接收器）與殘響（較晚到達的回波在時間上拖尾疊加）使接收信號同時混有幾何、材質與距離訊息。此一特性既是超音波測距的挑戰，也是它相對相機與雷射的互補優勢：超音波不受光學反光、低照度或煙塵遮蔽影響，且感測硬體成本相對低廉。</w:t>
      </w:r>
    </w:p>
    <w:p>
      <w:pPr>
        <w:pStyle w:val="Content"/>
      </w:pPr>
      <w:r>
        <w:t>在機器人末端之非視覺「最後一公尺」（last-meter）接近中——亦即目標大致已進入工作區後、仍須靠距離回授完成的精細靠近——如何從可控的模擬條件取得可重現的聲學觀測，並用來驅動閉環運動，是應用電聲與機器人感知的交叉問題。NVIDIA Isaac Sim 6.0 提供 RTX Acoustic 實驗性超音波模組，可輸出名為 Generic Model Output（GMO）的原始感測資料；資料以「信號路徑」（signal way：單一發射器—接收器組合的回波時間序列）為單位記錄振幅。平台與模組的白話說明見 1.5 節。相較於實體超音波晶片（如 TDK CH201）須搭配實體場地與硬體，模擬可精確控制幾何、材質與感測器擺位，使因果關係較易被隔離與驗證——此即本研究以模擬為主要驗證場域的理由。</w:t>
      </w:r>
    </w:p>
    <w:p>
      <w:pPr>
        <w:pStyle w:val="Content"/>
      </w:pPr>
      <w:r>
        <w:t>與「相機加視覺語言模型（Vision-Language Model, VLM）」的端到端操作相比，本研究聚焦非視覺超聲閉環接近，定位為互補而非取代。VLM 擅長理解場景語義與粗定位；超聲則擅長在已知工作帶（本文稱搜尋走廊：目標被允許隨機出現的縱向／側向範圍）內，依距離趨勢做精細接近。兩者可組成階層：上層負責場景理解與大範圍導航，下層負責最後一段非視覺精細接近。本文定位為該階層中可驗證的非視覺感測回授元件，而非視覺端到端操作的替代方案。</w:t>
      </w:r>
    </w:p>
    <w:p>
      <w:pPr>
        <w:pStyle w:val="Header2"/>
      </w:pPr>
      <w:r>
        <w:t>1.2 研究目的與問題陳述</w:t>
      </w:r>
    </w:p>
    <w:p>
      <w:pPr>
        <w:pStyle w:val="Content"/>
      </w:pPr>
      <w:r>
        <w:t>本研究以下列四項研究問題（Research Question, RQ）組織實驗設計與驗證邏輯。每一問題對應獨立實驗，並在執行前寫定通過判準（預註冊），避免事後依結果改標準。表 1.1 總覽問題、實驗、主指標與對照；細節見第三至五章，此處不重列結果數字。</w:t>
      </w:r>
    </w:p>
    <w:p>
      <w:pPr>
        <w:pStyle w:val="Content"/>
        <w:jc w:val="center"/>
      </w:pPr>
      <w:r>
        <w:t>表 1.1 研究問題、實驗、主指標與主要對照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</w:tcPr>
          <w:p>
            <w:r>
              <w:t>研究問題</w:t>
            </w:r>
          </w:p>
        </w:tc>
        <w:tc>
          <w:tcPr>
            <w:tcW w:type="dxa" w:w="2163"/>
          </w:tcPr>
          <w:p>
            <w:r>
              <w:t>對應實驗</w:t>
            </w:r>
          </w:p>
        </w:tc>
        <w:tc>
          <w:tcPr>
            <w:tcW w:type="dxa" w:w="2163"/>
          </w:tcPr>
          <w:p>
            <w:r>
              <w:t>主要看什麼數字</w:t>
            </w:r>
          </w:p>
        </w:tc>
        <w:tc>
          <w:tcPr>
            <w:tcW w:type="dxa" w:w="2163"/>
          </w:tcPr>
          <w:p>
            <w:r>
              <w:t>主要對照</w:t>
            </w:r>
          </w:p>
        </w:tc>
      </w:tr>
      <w:tr>
        <w:tc>
          <w:tcPr>
            <w:tcW w:type="dxa" w:w="2163"/>
          </w:tcPr>
          <w:p>
            <w:r>
              <w:t>RQ1 感測包絡</w:t>
            </w:r>
          </w:p>
        </w:tc>
        <w:tc>
          <w:tcPr>
            <w:tcW w:type="dxa" w:w="2163"/>
          </w:tcPr>
          <w:p>
            <w:r>
              <w:t>包絡掃描／距離特性</w:t>
            </w:r>
          </w:p>
        </w:tc>
        <w:tc>
          <w:tcPr>
            <w:tcW w:type="dxa" w:w="2163"/>
          </w:tcPr>
          <w:p>
            <w:r>
              <w:t>可不可偵測；距離相關係數與誤差</w:t>
            </w:r>
          </w:p>
        </w:tc>
        <w:tc>
          <w:tcPr>
            <w:tcW w:type="dxa" w:w="2163"/>
          </w:tcPr>
          <w:p>
            <w:r>
              <w:t>有目標／移除目標</w:t>
            </w:r>
          </w:p>
        </w:tc>
      </w:tr>
      <w:tr>
        <w:tc>
          <w:tcPr>
            <w:tcW w:type="dxa" w:w="2163"/>
          </w:tcPr>
          <w:p>
            <w:r>
              <w:t>RQ2 聲學閉環</w:t>
            </w:r>
          </w:p>
        </w:tc>
        <w:tc>
          <w:tcPr>
            <w:tcW w:type="dxa" w:w="2163"/>
          </w:tcPr>
          <w:p>
            <w:r>
              <w:t>未掛臂閉環／手臂主結果</w:t>
            </w:r>
          </w:p>
        </w:tc>
        <w:tc>
          <w:tcPr>
            <w:tcW w:type="dxa" w:w="2163"/>
          </w:tcPr>
          <w:p>
            <w:r>
              <w:t>停止位置與目標的相關與誤差</w:t>
            </w:r>
          </w:p>
        </w:tc>
        <w:tc>
          <w:tcPr>
            <w:tcW w:type="dxa" w:w="2163"/>
          </w:tcPr>
          <w:p>
            <w:r>
              <w:t>聲學／盲走／開環三組</w:t>
            </w:r>
          </w:p>
        </w:tc>
      </w:tr>
      <w:tr>
        <w:tc>
          <w:tcPr>
            <w:tcW w:type="dxa" w:w="2163"/>
          </w:tcPr>
          <w:p>
            <w:r>
              <w:t>RQ3 實驗效度</w:t>
            </w:r>
          </w:p>
        </w:tc>
        <w:tc>
          <w:tcPr>
            <w:tcW w:type="dxa" w:w="2163"/>
          </w:tcPr>
          <w:p>
            <w:r>
              <w:t>全實驗鏈</w:t>
            </w:r>
          </w:p>
        </w:tc>
        <w:tc>
          <w:tcPr>
            <w:tcW w:type="dxa" w:w="2163"/>
          </w:tcPr>
          <w:p>
            <w:r>
              <w:t>拿掉聲學後是否失敗；姿態是否合格</w:t>
            </w:r>
          </w:p>
        </w:tc>
        <w:tc>
          <w:tcPr>
            <w:tcW w:type="dxa" w:w="2163"/>
          </w:tcPr>
          <w:p>
            <w:r>
              <w:t>盲走、開環、預先鎖定判準</w:t>
            </w:r>
          </w:p>
        </w:tc>
      </w:tr>
      <w:tr>
        <w:tc>
          <w:tcPr>
            <w:tcW w:type="dxa" w:w="2163"/>
          </w:tcPr>
          <w:p>
            <w:r>
              <w:t>RQ4 範圍邊界</w:t>
            </w:r>
          </w:p>
        </w:tc>
        <w:tc>
          <w:tcPr>
            <w:tcW w:type="dxa" w:w="2163"/>
          </w:tcPr>
          <w:p>
            <w:r>
              <w:t>夾取對位／二維定位</w:t>
            </w:r>
          </w:p>
        </w:tc>
        <w:tc>
          <w:tcPr>
            <w:tcW w:type="dxa" w:w="2163"/>
          </w:tcPr>
          <w:p>
            <w:r>
              <w:t>對位成功率與誤差；左右定位誤差</w:t>
            </w:r>
          </w:p>
        </w:tc>
        <w:tc>
          <w:tcPr>
            <w:tcW w:type="dxa" w:w="2163"/>
          </w:tcPr>
          <w:p>
            <w:r>
              <w:t>三組對照；側向四項檢驗</w:t>
            </w:r>
          </w:p>
        </w:tc>
      </w:tr>
    </w:tbl>
    <w:p/>
    <w:p>
      <w:pPr>
        <w:pStyle w:val="Content"/>
      </w:pPr>
      <w:r>
        <w:t>RQ1：在何種感測器—目標幾何下可穩定偵測？若不先回答，後續失敗難分「控制問題」與「根本讀不到」。RQ2：不讀目標真值的純聲學迴路能否驅動接近，且盲走失能能否把因果鎖在聲學資訊上？RQ3：如何排除「成功來自場景寬度或隱含真值」？需對照組與稽核組合（第三章四支柱）。RQ4：夾取整合與側向定位的可行邊界到哪？對位／附著與摩擦界線見 5.3、6.2；側向單次輸出證偽與多點恢復見 4.3、5.4。</w:t>
      </w:r>
    </w:p>
    <w:p>
      <w:pPr>
        <w:pStyle w:val="Header2"/>
      </w:pPr>
      <w:r>
        <w:t>1.3 研究範圍與限制</w:t>
      </w:r>
    </w:p>
    <w:p>
      <w:pPr>
        <w:pStyle w:val="Content"/>
      </w:pPr>
      <w:r>
        <w:t>本研究實驗分層遞進、互相引用前層結論。納入項目如下（括號中的 S1、D1 等為全文統一實驗代號，便於對照章節與數據目錄）：（一）Isaac Sim 6.0 本機獨立執行環境與 UR10e 官方機械手臂資產；（二）感測包絡地圖（S1：五十二格配對移除掃描）；（三）感測器量化特性表（S2：距離、桌面高度、側向、重複性）；（四）聲學閉環接近三臂對照——D1 為未掛臂、可自由移動之感測器隔離驗證，D1.5 為感測器掛於手臂之主結果；（五）端到端夾取三臂對照（D3：對位與附著升舉）；（六）側向資訊之系統性檢驗，以及二維多點定位之正式三臂對照（D2，見 5.4 節）；（七）貫穿各實驗的三臂對照與姿態／量測稽核。</w:t>
      </w:r>
    </w:p>
    <w:p>
      <w:pPr>
        <w:pStyle w:val="Content"/>
      </w:pPr>
      <w:r>
        <w:t>排除項目包括：商用超音波測距晶片（如 TDK CH201）之實機量測；夾爪物理摩擦夾持之部署級宣稱（詳見 5.3、6.2 節）；以及跨多組隨機種子的統計穩健性完整驗證。二維場景下「定位之後再夾取」仍屬未來工作（D2 已完成定位與二維閉環，見 5.4、6.3 節）。</w:t>
      </w:r>
    </w:p>
    <w:p>
      <w:pPr>
        <w:pStyle w:val="Content"/>
      </w:pPr>
      <w:r>
        <w:t>限制方面：採單一隨機種子與確定性物理引擎，尚未完成跨種子補跑；控制決策以單自由度前向接近為主（沿接近軸前進或停止），D2 雖含側向掃描定位，接近段仍由估距驅動前向運動；預定停止距離固定為 0.35 m；桌面高度目標在約 0.32 m 以內距離編碼失效，故該近距內不做閉環量測宣稱。控制器全程不讀取目標真實世界座標；全部結論僅在模擬中成立，不含實機部署評估。每臂三十回合涵蓋走廊內不同目標位置，但在單一隨機種子與確定性引擎下，不等同於三十組獨立模擬環境實現（跨種子列未來工作）。</w:t>
      </w:r>
    </w:p>
    <w:p>
      <w:pPr>
        <w:pStyle w:val="Header2"/>
      </w:pPr>
      <w:r>
        <w:t>1.4 名詞解釋與研究貢獻</w:t>
      </w:r>
    </w:p>
    <w:p>
      <w:pPr>
        <w:pStyle w:val="Content"/>
      </w:pPr>
      <w:r>
        <w:t>英文術語與程式名稱於首次出現時附中文；其後以中文為主。常用縮寫：GMO（原始輸出結構）、WPM（波傳播模型）、SNR（配對移除定義之偵測訊噪比，見 3.3）、RMSE、r／ρ、IK、seed、episode、standoff（0.35 m）、對位、多點定位。感測包絡：可穩定偵測的感測器—目標幾何範圍。指標失效：表面到達率可被走廊寬度撐高；主指標改為停止—目標相關性與盲走消融。盲走臂：量測管線同聲學臂，僅估距改無資訊值（Meyes 等 [11]）。操作定義細節見第三章。</w:t>
      </w:r>
    </w:p>
    <w:p>
      <w:pPr>
        <w:pStyle w:val="Content"/>
      </w:pPr>
      <w:r>
        <w:t>貢獻定位（全文一句）：在 Isaac Sim 6.0 RTX Acoustic／WPM 配置下，建立包絡優先的超音波感測回授驗證流程；以配對移除、三臂資訊消融與姿態稽核，驗證 UR10e 在不使用目標真值時可完成模擬內閉環接近，並在原生輸出缺乏可用側向資訊時，以手臂多視點測距恢復二維定位。下列五項為同一流程的分層表述；數值細節與表格見第四、五章，此處不重列。</w:t>
      </w:r>
    </w:p>
    <w:p>
      <w:pPr>
        <w:pStyle w:val="Content"/>
      </w:pPr>
      <w:r>
        <w:t>（一）感測包絡：以選定格點之配對移除與 SNR 地圖界定可偵測幾何，供任務擺位（第四章）。（二）聲學閉環主結果：包絡內三臂消融，腕載 UR10e 純聲學接近，盲走失能（第五章 5.1–5.2）。（三）夾取整合：接近後以聲學估距對位，升舉為接觸觸發附著（5.3；摩擦夾持不在推論範圍）。（四）側向：四重證偽後以多點定位恢復二維並完成三臂（4.3、5.4）。（五）效度骨架：三臂（Meyes 等 [11]）、預註冊（Nosek 等 [5]）與稽核之組合，可推廣至其他模擬感測回授。</w:t>
      </w:r>
    </w:p>
    <w:p>
      <w:pPr>
        <w:pStyle w:val="Header2"/>
      </w:pPr>
      <w:r>
        <w:t>1.5 實驗平台與軟硬體環境</w:t>
      </w:r>
    </w:p>
    <w:p>
      <w:pPr>
        <w:pStyle w:val="Content"/>
      </w:pPr>
      <w:r>
        <w:t>為讓跨領域讀者先建立共同語境，本節以白話說明模擬平台、聲學模組與手臂／夾爪，並標註官方文件。聲學資料結構與場景尺寸見第三章；平台在文獻中的位置見第二章。本節只當「環境地圖」，不重複後續實驗結果。</w:t>
      </w:r>
    </w:p>
    <w:p>
      <w:pPr>
        <w:pStyle w:val="Content"/>
      </w:pPr>
      <w:r>
        <w:t>NVIDIA Isaac Sim 6.0 是本研究所用的機器人模擬平台官方發行版[32]。它建立在 Omniverse（NVIDIA 的三維協作與模擬基礎平台）之上，整合 GPU 加速物理、光線追蹤渲染，以及 USD（Universal Scene Description，場景描述格式），並可載入工業機械手臂等官方資產，使運動與感測能在可重複、可程式化的虛擬場景中同時進行（平台綜述見 Gao 等 [27]）。本研究採本機獨立執行，目的是在可控幾何與材質下驗證超聲感測回授接近；推論不及於任一真實工廠現場之等價部署。Isaac Lab 是同一生態系、偏強化學習訓練的延伸框架[31]；本文控制器為規則式、未做強化學習，Isaac Lab 僅列未來路徑（6.3 節）。</w:t>
      </w:r>
    </w:p>
    <w:p>
      <w:pPr>
        <w:pStyle w:val="Content"/>
      </w:pPr>
      <w:r>
        <w:t>RTX Acoustic 是 Isaac Sim 內建的實驗性超音波感測模組[28]：在虛擬場景中以 GPU 產生回波波形，供距離與偵測等特徵使用；輸出不是點雲，也不是深度圖。波傳播模型 WPM 屬幾何光線追蹤式路徑模擬[30]，會與目標、桌面、手臂連桿等幾何交互，因此「什麼擺位讀得到目標」才有量測意義。原始輸出結構 GMO 以信號路徑序列記錄振幅[29]；欄位限制與重建細節見 3.1 節。重要邊界：不保證與商用晶片（如 TDK CH201）實機波形一致；結論皆為模擬內任務級、趨勢級表述（2.2、2.4、6.2 節）。</w:t>
      </w:r>
    </w:p>
    <w:p>
      <w:pPr>
        <w:pStyle w:val="Content"/>
      </w:pPr>
      <w:r>
        <w:t>機械手臂為 Universal Robots 的 UR10e 六軸協作臂官方資產。依原廠規格，約為六個旋轉關節、工作半徑 1,300 mm、額定負載 12.5 kg 的 e-Series 機型[21]，常見於桌面尺度工業與研究任務。本研究在模擬中載入資產並以逆向運動學驅動，不涵蓋實體控制器或實機安全認證。末端夾爪為 Robotiq 2F-85 二指自適應夾爪，最大開口約 85 mm[12]；與 UR10e 一併載入，但僅在夾取實驗（第五章 D3）啟用閉合與升舉。夾持相關限制見 5.3 與 6.2 節。</w:t>
      </w:r>
    </w:p>
    <w:p>
      <w:pPr>
        <w:pStyle w:val="Content"/>
      </w:pPr>
      <w:r>
        <w:t>可記成一條鏈：Isaac Sim 提供場景與物理 → RTX Acoustic（WPM／GMO）提供虛擬超聲觀測 → UR10e 提供六軸運動 → Robotiq 2F-85 在夾取段提供二指執行器。後續各章的包絡、閉環與消融都建在此鏈上。官方文件最新版以網址為準：Isaac Sim[32]；RTX Acoustic[28]；GMO[29]；RTX 感測總覽[30]；UR10e[21]；2F-85[12]。</w:t>
      </w:r>
    </w:p>
    <w:p>
      <w:pPr>
        <w:pStyle w:val="Header1"/>
      </w:pPr>
      <w:r>
        <w:t>第二章、文獻探討</w:t>
      </w:r>
    </w:p>
    <w:p>
      <w:pPr>
        <w:pStyle w:val="Header2"/>
      </w:pPr>
      <w:r>
        <w:t>2.1 機器人非視覺感測與超音波測距</w:t>
      </w:r>
    </w:p>
    <w:p>
      <w:pPr>
        <w:pStyle w:val="Content"/>
      </w:pPr>
      <w:r>
        <w:t>工業手臂近距工作中，非視覺距離感測仍有其位置。協作機器人與工業手臂常進入狹窄、遮蔽或人機共處的空間；此時只靠相機，往往難以穩定取得「還有多遠」這類近距幾何資訊。Alatise 等 [13]指出，多模態感測融合——其中包含超音波與其他非視覺距離量測——可補足視覺在反光、低照度與遮擋下的不足。對本研究而言，UR10e 腕部附近的主動聲學感測並非要取代相機，而是在固定的工具中心點（Tool Center Point, TCP：手臂末端工具的參考點）幾何下，提供可重複的距離相關觀測。</w:t>
      </w:r>
    </w:p>
    <w:p>
      <w:pPr>
        <w:pStyle w:val="Content"/>
      </w:pPr>
      <w:r>
        <w:t>時間飛行（Time-of-Flight, ToF）相機以主動打光量測深度，He 等 [9]綜述其進展，也提醒多徑反射與動態範圍限制，常需搭配其他近距（proximity）感測。Zhmud 等 [7]以機器人（含手臂）掛載超音波為例，強調近距量測必須校正感測器姿態、反射面法向與安裝幾何。本研究沿此脈絡，把感測器安裝姿態與「感測器—目標」相對幾何列為可稽核變量（實驗記錄稱 Geometry Passport，即「幾何護照」：掛載與場景幾何寫清楚、可核對）。</w:t>
      </w:r>
    </w:p>
    <w:p>
      <w:pPr>
        <w:pStyle w:val="Content"/>
      </w:pPr>
      <w:r>
        <w:t>主動聲學回波亦見於小型機器人：Dümbgen 等 [17]展示在無視覺條件下，可聽域（人耳可聽頻率範圍附近）主動回波仍能估計障礙距離；這與 Isaac Sim 中 RTX Acoustic 的主動聲學模擬屬同一技術族。文獻共識可概括為兩點：末端非視覺測距具工業互補價值；但量測品質高度依賴幾何與環境。因此本研究的推論範圍限於可控變量下的可行性與因果歸屬，而非部署級測距精度。</w:t>
      </w:r>
    </w:p>
    <w:p>
      <w:pPr>
        <w:pStyle w:val="Content"/>
      </w:pPr>
      <w:r>
        <w:t>更廣的聲源與距離定位文獻，進一步支持本研究的量測設計。Valin 等 [4]回顧機器人聲源定位，指出陣列幾何、多路徑與殘響是距離與方位估計的共同挑戰；Tsuchiya 等 [19]則以室內多路徑到達時間做無地圖自我定位，顯示即使在強反射室內，時間域到達資訊仍可能帶有空間訊息。這兩條線共同支持以「配對移除」分離目標回波與背景多路徑（程序見 3.3 節），而不是把整條波形直接當成距離真理。</w:t>
      </w:r>
    </w:p>
    <w:p>
      <w:pPr>
        <w:pStyle w:val="Header2"/>
      </w:pPr>
      <w:r>
        <w:t>2.2 模擬與虛實整合（Sim-to-Real）</w:t>
      </w:r>
    </w:p>
    <w:p>
      <w:pPr>
        <w:pStyle w:val="Content"/>
      </w:pPr>
      <w:r>
        <w:t>本節討論：為何在模擬裡做，以及模擬結論能講到哪裡。Gao 等 [27]為 NVIDIA Isaac Sim 的專題綜述，指出模擬已成機器人研究的基礎設施。平台建立在 Omniverse（三維協作與模擬基礎環境）上，整合 GPU 加速 PhysX 物理引擎、RTX 光線追蹤渲染與 USD 場景描述，並內建彩色影像／深度、光達（LiDAR）、慣性量測單元（IMU）等感測模擬。該綜述亦指出 Isaac Lab 可支援大規模並行強化學習；Mittal 等 [20]的 Orbit 是其系譜前身，後續併入 Isaac Lab 生態。本研究以 Isaac Sim 6.0 為主實驗平台；Isaac Lab 僅保留為未來延伸路徑（見 1.5、6.3 節）。</w:t>
      </w:r>
    </w:p>
    <w:p>
      <w:pPr>
        <w:pStyle w:val="Content"/>
      </w:pPr>
      <w:r>
        <w:t>近年 Isaac Sim 被用於動態場景建置[24]、Sim-to-Real 策略遷移[25]與工業操作驗證[23]。但 Gao 等 [27]並未專論 RTX Acoustic；模擬器輸出也不是物理真值。Höfer 等 [16]強調應以任務級指標談遷移，不宜假設「模擬波形＝實機波形」。本研究採同一邊界：RTX Acoustic 特徵只當趨勢級距離推理的可行性證據，不是 TDK CH201 等實機波形的對照標準。</w:t>
      </w:r>
    </w:p>
    <w:p>
      <w:pPr>
        <w:pStyle w:val="Content"/>
      </w:pPr>
      <w:r>
        <w:t>模擬的另一價值是大規模強化學習。Rudin 等 [18]展示以 GPU 並行數千環境，可在短時間內訓練四足行走策略；Schulman 等 [3]的近端策略最佳化（Proximal Policy Optimization, PPO）則是常見的策略優化演算法。本文現行控制器是規則式比例步進，並未使用 PPO 或任何學習型策略；上述文獻只說明：若未來要以強化學習取代規則控制器，Isaac Sim／Isaac Lab 已提供可行的訓練基礎設施，且仍須沿用本文的三臂效度框架以防「學到場景捷徑」（詳見第六章）。</w:t>
      </w:r>
    </w:p>
    <w:p>
      <w:pPr>
        <w:pStyle w:val="Header2"/>
      </w:pPr>
      <w:r>
        <w:t>2.3 室內環境與距離特徵</w:t>
      </w:r>
    </w:p>
    <w:p>
      <w:pPr>
        <w:pStyle w:val="Content"/>
      </w:pPr>
      <w:r>
        <w:t>室內超聲不能「看一個峰就當距離」；本節說明原因與本文的保守立場。封閉工業環境中，回波會受牆面與工件反射影響，距離很少是單一路徑量測。Liu 等 [14]指出，早期反射能量可作距離的弱趨勢指標，但仍受房間幾何與材質制約。因此本文不以厘米級絕對測距為宣稱目標，而以摘要特徵檢驗「距離趨勢是否足以支撐感測回授」；特徵定義見第三章。</w:t>
      </w:r>
    </w:p>
    <w:p>
      <w:pPr>
        <w:pStyle w:val="Content"/>
      </w:pPr>
      <w:r>
        <w:t>所謂多路徑（multipath），指聲波除了「打到目標再回來」的最短路徑外，還會經牆面、桌面等多次反彈才到達接收器；殘響（reverberation）則是較晚到的回波在時間上拖尾疊加。兩者使波形同時混有多種幾何來源，單看一個峰值不足以斷定物理路徑。本文因此採取保守量測：模擬與實體絕對精度不在推論範圍；而以配對移除隔離目標貢獻（程序見 3.3 節），並以峰值位置隨距離的線性趨勢建立距離編碼。</w:t>
      </w:r>
    </w:p>
    <w:p>
      <w:pPr>
        <w:pStyle w:val="Content"/>
      </w:pPr>
      <w:r>
        <w:t>室內聲學模擬的保真評估已有方法學傳統。Brinkmann 等 [8]的跨實驗室輪測（round-robin：同一題目多實驗室各自跑再比較）顯示不同引擎對早期反射與殘響時間的預測常有系統差，故「模擬—實機」不宜直接等價。Scheibler 等 [6]的 PyRoomAcoustics 提供影像來源法（image-source：以鏡像聲源近似房間反射）的開放實作；dEchorate 等 [15]則提供已校正的房間脈衝響應資料集，供演算法基準測試。這些工作多聚焦固定陣列與房間聲學；機械手臂載具下、幾何隨時間改變的動態場景可偵測度，仍是較少被系統量測的切入點——此即第四章包絡實驗的文獻位置。</w:t>
      </w:r>
    </w:p>
    <w:p>
      <w:pPr>
        <w:pStyle w:val="Header2"/>
      </w:pPr>
      <w:r>
        <w:t>2.4 RTX Acoustic 與感測輸出（GMO）</w:t>
      </w:r>
    </w:p>
    <w:p>
      <w:pPr>
        <w:pStyle w:val="Content"/>
      </w:pPr>
      <w:r>
        <w:t>以下說明 RTX Acoustic 是什麼、為何選它，以及它不能被當成什麼。Isaac Sim 6.0 提供 RTX Acoustic 超音波感測模組[28]，屬實驗性功能：在虛擬場景中以 GPU 產生回波資料（以信號路徑 signal way 組織），不輸出點雲。本研究把它視為「可控幾何下的合成超音波觀測」，用來檢驗感測回授接近是否可行，以及訊號裡到底有沒有側向等資訊（後者見第四章；閉環與消融見第五章）。</w:t>
      </w:r>
    </w:p>
    <w:p>
      <w:pPr>
        <w:pStyle w:val="Content"/>
      </w:pPr>
      <w:r>
        <w:t>可用白話區分兩類模擬。參數化模型用公式直接產生「看起來合理」的回波（例如依距離套固定衰減），算得快，但對場景裡真實擺放的物體可能不敏感——目標移了，輸出卻幾乎不變。光線追蹤式模型則追蹤聲波與場景幾何（目標、桌面、手臂連桿）的反射路徑，輸出會隨位置、大小、角度改變。只有後者，「量測感測器在什麼幾何下讀得到目標」才有意義——此為選用 RTX Acoustic／WPM 的主要理由，也是第四章包絡量測的技術前提。</w:t>
      </w:r>
    </w:p>
    <w:p>
      <w:pPr>
        <w:pStyle w:val="Content"/>
      </w:pPr>
      <w:r>
        <w:t>官方說明輸出包含發射端、接收端、通道與振幅取樣[28]；本研究由此整理峰值位置與早期能量等特徵，定義與流程見第三章。Gao 等 [27]平台綜述未涵蓋此模組；學術上相近的延伸案例包括 Song 等 [26]的 OceanSim，顯示 Isaac Sim 可做成專用光線追蹤式感測管線。再次強調邊界：RTX Acoustic 不保證與實機 CH201 波形一致；全文結論以任務級、趨勢級指標表述，推論不及部署級測距精度。</w:t>
      </w:r>
    </w:p>
    <w:p>
      <w:pPr>
        <w:pStyle w:val="Header2"/>
      </w:pPr>
      <w:r>
        <w:t>2.5 感測回授式接近與視覺語義操作對照</w:t>
      </w:r>
    </w:p>
    <w:p>
      <w:pPr>
        <w:pStyle w:val="Content"/>
      </w:pPr>
      <w:r>
        <w:t>本文與視覺—語言操作路線是分工，而不是互相取代。視覺語言模型（Vision-Language Model, VLM）同時理解影像與自然語言，強項是「場景裡有什麼、大概在哪」的語義層次；但空間精度受影像與訓練資料限制，且在低照度、反光或遮蔽下容易失效。非視覺接近文獻則常結合主動聲學、ToF 或觸覺，做最後一公尺（last-meter）精細靠近。</w:t>
      </w:r>
    </w:p>
    <w:p>
      <w:pPr>
        <w:pStyle w:val="Content"/>
      </w:pPr>
      <w:r>
        <w:t>本研究聚焦已知搜尋走廊（目標被允許出現的工作帶）內、以超聲距離趨勢驅動接近，而非端到端語義操作。這與「VLM 粗定位＋非視覺精接近」的混合式（hybrid）階層互補：上層管場景理解與大範圍導航，下層管最後一段非視覺距離回授。超聲的互補點很具體：不依賴光學條件，並對已知方向上的距離提供公分級連續回授。</w:t>
      </w:r>
    </w:p>
    <w:p>
      <w:pPr>
        <w:pStyle w:val="Content"/>
      </w:pPr>
      <w:r>
        <w:t>機器人操作有時還會把連續感測映射成離散任務狀態（例如「目標在不在」「是否已進入可夾取範圍」），再驅動行為。本文立場是：先證明訊號裡「有什麼、沒有什麼」，再談學習式狀態估計。因此第四章先做包絡與側向證偽，第五章以消融對照確立距離趨勢能否驅動閉環；學習式狀態估計留待因果地基之後（第六章），避免在資訊是否存在都未查清時就訓練模型、結果難以歸因。</w:t>
      </w:r>
    </w:p>
    <w:p>
      <w:pPr>
        <w:pStyle w:val="Header2"/>
      </w:pPr>
      <w:r>
        <w:t>2.6 模擬驗證邊界與消融式因果檢驗</w:t>
      </w:r>
    </w:p>
    <w:p>
      <w:pPr>
        <w:pStyle w:val="Content"/>
      </w:pPr>
      <w:r>
        <w:t>模擬特別適合回答某些因果問題，但也有明確效力邊界。模擬的長處是變因可控、量測可重現：可以只移動一個物體、只改一個角度，並取得可逐位重複的量測。因此「拿掉某一項資訊，看系統是否失能」的消融式檢驗可以做得很乾淨；在實體環境裡，雜訊與不可重現性往往使同等嚴格的對照難以成立。</w:t>
      </w:r>
    </w:p>
    <w:p>
      <w:pPr>
        <w:pStyle w:val="Content"/>
      </w:pPr>
      <w:r>
        <w:t>模擬的短處也必須先講清楚。本研究所用確定性引擎不含實體感測器的熱雜訊與元件變異，也不完整建模頻率相關的聲學物理（見第四章負結果）。故所有正負結果都標註為「模擬環境內的因果驗證」；能否轉移到實體系統，須另以實機任務級實驗確認（第六章）。第六章 6.2 節的推論範圍清單，即是把本節立場寫成全文邊界。</w:t>
      </w:r>
    </w:p>
    <w:p>
      <w:pPr>
        <w:pStyle w:val="Header2"/>
      </w:pPr>
      <w:r>
        <w:t>2.7 聲學陣列、多點定位與合成孔徑</w:t>
      </w:r>
    </w:p>
    <w:p>
      <w:pPr>
        <w:pStyle w:val="Content"/>
      </w:pPr>
      <w:r>
        <w:t>單次超聲測距沒有左右資訊時，文獻上有兩大類解法；本文選其中一條。單一收發器大致只能量「指向方向上的距離」，無法分辨目標在左或在右。第一類解法是多元件陣列：多個接收器同時收音，用到達時間差或波束成形（beamforming：依幾何延遲把多路訊號對齊相加，形成指向性）解方位。Kerstens 等 [10]的嵌入式即時三維成像聲納是此路線代表。前提是各接收器訊號能被獨立取得——第四章顯示現行模擬輸出不區分接收器身分，故陣列路線在本模擬環境中不可行。</w:t>
      </w:r>
    </w:p>
    <w:p>
      <w:pPr>
        <w:pStyle w:val="Content"/>
      </w:pPr>
      <w:r>
        <w:t>第二類解法不增加接收器，而增加量測位置。多點定位（multilateration）在多個已知位置各量一次距離，以幾何交會解座標；Kapoor 等 [2]的分散式超音波信標室內定位是典型例子。合成孔徑（synthetic aperture）則讓單一感測器在移動中連續量測，等效成更大孔徑；Hayes 等 [1]回顧其在聲納領域的發展。本研究第五章的側向方案屬此一族：手臂本身當移動平台，在五個橫向錯開位置各取距離，再以最小平方交會解二維座標。相較信標方案須在環境預佈發射器，本方案只使用手臂既有運動自由度，不新增硬體。</w:t>
      </w:r>
    </w:p>
    <w:p>
      <w:pPr>
        <w:pStyle w:val="Header2"/>
      </w:pPr>
      <w:r>
        <w:t>2.8 文獻缺口與本研究定位</w:t>
      </w:r>
    </w:p>
    <w:p>
      <w:pPr>
        <w:pStyle w:val="Content"/>
      </w:pPr>
      <w:r>
        <w:t>綜合前述，各技術元件（超音波近接、手臂閉環、多點定位、Isaac Sim 操作）在文獻中各自成熟；少見的是把下列交集放在同一條可重跑鏈上：Isaac Sim 6.0 RTX Acoustic／WPM、UR10e 腕載、配對移除包絡、不讀目標真值的閉環接近、聲學／盲走／開環資訊消融，以及原生側向證偽後以手臂多視點恢復二維位置。表 2.1 以工作類型對照「常見有／本研究有」，用於回答「與既有工作差在哪」，而非主張任一元件為首次發明。</w:t>
      </w:r>
    </w:p>
    <w:p>
      <w:pPr>
        <w:pStyle w:val="Content"/>
        <w:jc w:val="center"/>
      </w:pPr>
      <w:r>
        <w:t>表 2.1 最接近工作類型與本研究之對照（✓＝該類型文獻中常見；✗＝少見或未見於該組合；「部分」＝有但不完整）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</w:tblGrid>
      <w:tr>
        <w:trPr>
          <w:tblHeader/>
        </w:trPr>
        <w:tc>
          <w:tcPr>
            <w:tcW w:type="dxa" w:w="1442"/>
          </w:tcPr>
          <w:p>
            <w:r>
              <w:t>工作類型</w:t>
            </w:r>
          </w:p>
        </w:tc>
        <w:tc>
          <w:tcPr>
            <w:tcW w:type="dxa" w:w="1442"/>
          </w:tcPr>
          <w:p>
            <w:r>
              <w:t>超音波</w:t>
            </w:r>
          </w:p>
        </w:tc>
        <w:tc>
          <w:tcPr>
            <w:tcW w:type="dxa" w:w="1442"/>
          </w:tcPr>
          <w:p>
            <w:r>
              <w:t>機械手臂</w:t>
            </w:r>
          </w:p>
        </w:tc>
        <w:tc>
          <w:tcPr>
            <w:tcW w:type="dxa" w:w="1442"/>
          </w:tcPr>
          <w:p>
            <w:r>
              <w:t>閉環接近</w:t>
            </w:r>
          </w:p>
        </w:tc>
        <w:tc>
          <w:tcPr>
            <w:tcW w:type="dxa" w:w="1442"/>
          </w:tcPr>
          <w:p>
            <w:r>
              <w:t>Isaac 超音波模組</w:t>
            </w:r>
          </w:p>
        </w:tc>
        <w:tc>
          <w:tcPr>
            <w:tcW w:type="dxa" w:w="1442"/>
          </w:tcPr>
          <w:p>
            <w:r>
              <w:t>資訊消融對照</w:t>
            </w:r>
          </w:p>
        </w:tc>
      </w:tr>
      <w:tr>
        <w:tc>
          <w:tcPr>
            <w:tcW w:type="dxa" w:w="1442"/>
          </w:tcPr>
          <w:p>
            <w:r>
              <w:t>超音波近接感測（抓取前）</w:t>
            </w:r>
          </w:p>
        </w:tc>
        <w:tc>
          <w:tcPr>
            <w:tcW w:type="dxa" w:w="1442"/>
          </w:tcPr>
          <w:p>
            <w:r>
              <w:t>✓</w:t>
            </w:r>
          </w:p>
        </w:tc>
        <w:tc>
          <w:tcPr>
            <w:tcW w:type="dxa" w:w="1442"/>
          </w:tcPr>
          <w:p>
            <w:r>
              <w:t>部分</w:t>
            </w:r>
          </w:p>
        </w:tc>
        <w:tc>
          <w:tcPr>
            <w:tcW w:type="dxa" w:w="1442"/>
          </w:tcPr>
          <w:p>
            <w:r>
              <w:t>部分</w:t>
            </w:r>
          </w:p>
        </w:tc>
        <w:tc>
          <w:tcPr>
            <w:tcW w:type="dxa" w:w="1442"/>
          </w:tcPr>
          <w:p>
            <w:r>
              <w:t>✗</w:t>
            </w:r>
          </w:p>
        </w:tc>
        <w:tc>
          <w:tcPr>
            <w:tcW w:type="dxa" w:w="1442"/>
          </w:tcPr>
          <w:p>
            <w:r>
              <w:t>少見</w:t>
            </w:r>
          </w:p>
        </w:tc>
      </w:tr>
      <w:tr>
        <w:tc>
          <w:tcPr>
            <w:tcW w:type="dxa" w:w="1442"/>
          </w:tcPr>
          <w:p>
            <w:r>
              <w:t>Isaac Sim 手臂操作評估</w:t>
            </w:r>
          </w:p>
        </w:tc>
        <w:tc>
          <w:tcPr>
            <w:tcW w:type="dxa" w:w="1442"/>
          </w:tcPr>
          <w:p>
            <w:r>
              <w:t>✗／其他感測</w:t>
            </w:r>
          </w:p>
        </w:tc>
        <w:tc>
          <w:tcPr>
            <w:tcW w:type="dxa" w:w="1442"/>
          </w:tcPr>
          <w:p>
            <w:r>
              <w:t>✓</w:t>
            </w:r>
          </w:p>
        </w:tc>
        <w:tc>
          <w:tcPr>
            <w:tcW w:type="dxa" w:w="1442"/>
          </w:tcPr>
          <w:p>
            <w:r>
              <w:t>✓</w:t>
            </w:r>
          </w:p>
        </w:tc>
        <w:tc>
          <w:tcPr>
            <w:tcW w:type="dxa" w:w="1442"/>
          </w:tcPr>
          <w:p>
            <w:r>
              <w:t>✗</w:t>
            </w:r>
          </w:p>
        </w:tc>
        <w:tc>
          <w:tcPr>
            <w:tcW w:type="dxa" w:w="1442"/>
          </w:tcPr>
          <w:p>
            <w:r>
              <w:t>不一定</w:t>
            </w:r>
          </w:p>
        </w:tc>
      </w:tr>
      <w:tr>
        <w:tc>
          <w:tcPr>
            <w:tcW w:type="dxa" w:w="1442"/>
          </w:tcPr>
          <w:p>
            <w:r>
              <w:t>超音波定位／多點測距</w:t>
            </w:r>
          </w:p>
        </w:tc>
        <w:tc>
          <w:tcPr>
            <w:tcW w:type="dxa" w:w="1442"/>
          </w:tcPr>
          <w:p>
            <w:r>
              <w:t>✓</w:t>
            </w:r>
          </w:p>
        </w:tc>
        <w:tc>
          <w:tcPr>
            <w:tcW w:type="dxa" w:w="1442"/>
          </w:tcPr>
          <w:p>
            <w:r>
              <w:t>移動平台為主</w:t>
            </w:r>
          </w:p>
        </w:tc>
        <w:tc>
          <w:tcPr>
            <w:tcW w:type="dxa" w:w="1442"/>
          </w:tcPr>
          <w:p>
            <w:r>
              <w:t>部分</w:t>
            </w:r>
          </w:p>
        </w:tc>
        <w:tc>
          <w:tcPr>
            <w:tcW w:type="dxa" w:w="1442"/>
          </w:tcPr>
          <w:p>
            <w:r>
              <w:t>✗</w:t>
            </w:r>
          </w:p>
        </w:tc>
        <w:tc>
          <w:tcPr>
            <w:tcW w:type="dxa" w:w="1442"/>
          </w:tcPr>
          <w:p>
            <w:r>
              <w:t>✗</w:t>
            </w:r>
          </w:p>
        </w:tc>
      </w:tr>
      <w:tr>
        <w:tc>
          <w:tcPr>
            <w:tcW w:type="dxa" w:w="1442"/>
          </w:tcPr>
          <w:p>
            <w:r>
              <w:t>本研究實驗全鏈</w:t>
            </w:r>
          </w:p>
        </w:tc>
        <w:tc>
          <w:tcPr>
            <w:tcW w:type="dxa" w:w="1442"/>
          </w:tcPr>
          <w:p>
            <w:r>
              <w:t>✓</w:t>
            </w:r>
          </w:p>
        </w:tc>
        <w:tc>
          <w:tcPr>
            <w:tcW w:type="dxa" w:w="1442"/>
          </w:tcPr>
          <w:p>
            <w:r>
              <w:t>UR10e 六軸臂</w:t>
            </w:r>
          </w:p>
        </w:tc>
        <w:tc>
          <w:tcPr>
            <w:tcW w:type="dxa" w:w="1442"/>
          </w:tcPr>
          <w:p>
            <w:r>
              <w:t>✓</w:t>
            </w:r>
          </w:p>
        </w:tc>
        <w:tc>
          <w:tcPr>
            <w:tcW w:type="dxa" w:w="1442"/>
          </w:tcPr>
          <w:p>
            <w:r>
              <w:t>✓</w:t>
            </w:r>
          </w:p>
        </w:tc>
        <w:tc>
          <w:tcPr>
            <w:tcW w:type="dxa" w:w="1442"/>
          </w:tcPr>
          <w:p>
            <w:r>
              <w:t>✓（三組對照臂）</w:t>
            </w:r>
          </w:p>
        </w:tc>
      </w:tr>
    </w:tbl>
    <w:p/>
    <w:p>
      <w:pPr>
        <w:pStyle w:val="Content"/>
      </w:pPr>
      <w:r>
        <w:t>因此，貢獻不在新物理模型或新交會公式，而在模擬可行性研究（simulation-based feasibility study）的方法組合：先檢查感測特徵是否穩定可重複，再以三臂消融檢查特徵能否驅動行為，夾取作為任務鏈下游與限制分析；學習式估計留待因果地基之後（第六章）。第三章方法與場景；第四章包絡與負結果；第五章閉環、夾取與二維定位；第六章收回推論範圍。</w:t>
      </w:r>
    </w:p>
    <w:p>
      <w:pPr>
        <w:pStyle w:val="Header1"/>
      </w:pPr>
      <w:r>
        <w:t>第三章、研究方法</w:t>
      </w:r>
    </w:p>
    <w:p>
      <w:pPr>
        <w:pStyle w:val="Header2"/>
      </w:pPr>
      <w:r>
        <w:t>3.1 WPM 感測模型與 GMO 資料結構</w:t>
      </w:r>
    </w:p>
    <w:p>
      <w:pPr>
        <w:pStyle w:val="Content"/>
      </w:pPr>
      <w:r>
        <w:t>本章先交代模擬裡的超聲訊號從哪來、長什麼樣子，以及距離怎麼從波形算出來。RTX Acoustic 的波傳播模型（Wave Propagation Model, WPM）屬幾何光線追蹤式聲波模擬[30]，不是只靠公式套衰減的參數化近場模型。WPM 會追蹤聲波與場景幾何（立方體目標、桌面、手臂連桿等）的反射交互，因此感測器—目標相對幾何一變，輸出就可能變——這也是第四章能用配對移除系統性畫「感測包絡」的技術前提。</w:t>
      </w:r>
    </w:p>
    <w:p>
      <w:pPr>
        <w:pStyle w:val="Content"/>
      </w:pPr>
      <w:r>
        <w:t>WPM 的原始輸出稱為 Generic Model Output（GMO）。依官方格式[29]，GMO 以信號路徑（signal way）為單位，記錄各發射器（TX）／接收器（RX）／通道組合下的振幅樣本序列。本研究所用組態為兩個聲學掛載點（相距 0.10 m）、單一接收群組，中心頻率 40 kHz。</w:t>
      </w:r>
    </w:p>
    <w:p>
      <w:pPr>
        <w:pStyle w:val="Content"/>
      </w:pPr>
      <w:r>
        <w:t>把緩衝區還原成時間波形時，必須依「每條路徑的樣本數」把資料切開再接成一條時間軸；不能把通道編號欄位誤當成時間索引——否則峰值位置會壞掉（例如恆為零）。這是管線正確性的硬條件，細節屬實作層，正文只保留上述原則。</w:t>
      </w:r>
    </w:p>
    <w:p>
      <w:pPr>
        <w:pStyle w:val="Content"/>
      </w:pPr>
      <w:r>
        <w:t>GMO 的時間偏移欄位（timeOffsetNs）在 Isaac Sim 6.0 恆為 0，不能拿來算飛行時間。距離改由：峰值樣本索引（多幀平均波形中，振幅絕對值最大的取樣點）× 樣本週期 × 聲速 ÷ 2，此即超音波時間飛行（Time-of-Flight, ToF）測距的標準形式（Zhmud 等 [7]；主動深度脈絡見 He 等 [9]）。此外，發射／接收／通道身分在本組態下亦不區分接收器（每幀恆為 (0, 0, 0)）；第四章側向實驗以實測資料記錄此限制，而非只憑文件。場景建立後還有確定性啟動暫態，且逐幀能量常有小幅跳動，故量測一律多幀平均，並配合 3.3 節稽核剔除不穩定量測。</w:t>
      </w:r>
    </w:p>
    <w:p>
      <w:pPr>
        <w:pStyle w:val="Header2"/>
      </w:pPr>
      <w:r>
        <w:t>3.2 樣本週期自校</w:t>
      </w:r>
    </w:p>
    <w:p>
      <w:pPr>
        <w:pStyle w:val="Content"/>
      </w:pPr>
      <w:r>
        <w:t>距離公式裡的「樣本週期」必須每批實驗當場自校，理由如下。樣本週期若用錯，全部距離估計會一起偏掉。本研究不沿用外部或舊批次常數，而在每一批新實驗中當場自校：感測器固定，目標沿視軸放到 20 個已知距離（約 0.15–1.20 m）；每點先等 40 個模擬影格穩定，再取 24 影格平均波形讀峰值位置；以峰值位置對已知距離做最小平方法（OLS）迴歸，由斜率反推樣本週期（樣本週期 = 2 ÷（斜率 × 聲速））。斜率與截距即為該批實驗的距離預測模型：之後任一段峰值位置，都以（峰值位置 − 截距）÷ 斜率換成距離。此「已知距離掃描自校」與機器人超聲應用中的校正脈絡一致（Zhmud 等 [7]）。</w:t>
      </w:r>
    </w:p>
    <w:p>
      <w:pPr>
        <w:pStyle w:val="Content"/>
      </w:pPr>
      <w:r>
        <w:t>自校以兩種幾何交叉檢查：一是視軸（boresight，感測器指向軸）高度掃描；二是目標放在桌面高度的掃描（須另計垂直高度差）。兩者獨立得到的樣本週期分別約 103.09 µs 與 100.77 µs，接近引擎預設約 102.4 µs，顯示跨幾何大致一致。但後續換算仍一律採用當輪自校值，不假設固定常數可跨場景沿用。重要邊界：自校階段使用已知距離；進入控制回合後，目標真值只寫進記錄欄、不進控制分支（見 3.5 節與第五章）。</w:t>
      </w:r>
    </w:p>
    <w:p>
      <w:pPr>
        <w:pStyle w:val="Header2"/>
      </w:pPr>
      <w:r>
        <w:t>3.3 實驗方法學：四支柱</w:t>
      </w:r>
    </w:p>
    <w:p>
      <w:pPr>
        <w:pStyle w:val="Content"/>
      </w:pPr>
      <w:r>
        <w:t>後續實驗共同遵守四條方法紀律，用以保證「成功」能歸因到聲學資訊。</w:t>
      </w:r>
    </w:p>
    <w:p>
      <w:pPr>
        <w:pStyle w:val="Content"/>
      </w:pPr>
      <w:r>
        <w:t>支柱一：包絡優先（envelope-first）。先用配對移除與偵測訊噪比（SNR）地圖回答「在什麼幾何下讀得到目標」，再把手臂任務放進已驗證包絡——先驗證感測，再建控制。配對移除程序：同場景、同姿態，先量有目標波形，再物理移除目標量背景，並與緊接的重複量測（雜訊底）比較。動機是分離目標回波與背景多路徑（Valin 等 [4]；Tsuchiya 等 [19]；Liu 等 [14]）。本文 SNR 定義為 max|W有目標 − W無目標| ÷ max|W有目標 − W雜訊參考|，其中 W 為多幀平均波形；SNR 大於 10 判為可偵測。此 SNR 是操作型偵測指標，不是通訊工程的功率譜 SNR。</w:t>
      </w:r>
    </w:p>
    <w:p>
      <w:pPr>
        <w:pStyle w:val="Content"/>
      </w:pPr>
      <w:r>
        <w:t>支柱二：三臂對照。每一組閉環實驗都配三條臂，且共用同一組隨機種子與同一批目標位置：聲學臂用估距做接近與停止；盲走臂量測管線完全相同，只把控制器可用的估距換成無資訊值（正無窮），使停止條件永不成立；開環臂完全不量測，只走固定行程。盲走屬資訊消融（ablation）：拿掉單一資訊通道、保留其餘管線，以檢驗該通道是否必要（Meyes 等 [11]）。任何閉環宣稱都必須通過「盲走失能」：若盲走也差不多成功，就表示成功可能來自走廊幾何，而非聲學。</w:t>
      </w:r>
    </w:p>
    <w:p>
      <w:pPr>
        <w:pStyle w:val="Content"/>
      </w:pPr>
      <w:r>
        <w:t>支柱三：預註冊判準（preregistration）。通過／失敗標準寫在執行規格中，執行前鎖定，避免看完結果再改門檻（資料窺探）；此對應開放科學中「先鎖分析計畫、再看結果」的原則（Nosek 等 [5]）。主指標固定為停止位置與目標位置的相關 r 與誤差 RMSE，刻意不用單純到達率——在窄目標帶上，固定行程也可能「看起來常到達」（第六章以實測說明）。</w:t>
      </w:r>
    </w:p>
    <w:p>
      <w:pPr>
        <w:pStyle w:val="Content"/>
      </w:pPr>
      <w:r>
        <w:t>支柱四：量測與姿態稽核。不合格量測標成無效並排除，不做事後插補。三類稽核：（一）平穩性——場景啟動暫態與慢震盪，以穩定等待影格與事後漂移檢查剔除；（二）手臂姿態——逐步檢查連桿是否穿桌、穿地等非物理姿態；（三）感測器位姿——確認水平視軸與掛載高度等校正前提仍成立。第三類是所有距離校正結果有效的前提。</w:t>
      </w:r>
    </w:p>
    <w:p>
      <w:pPr>
        <w:pStyle w:val="Header2"/>
      </w:pPr>
      <w:r>
        <w:t>3.4 場景建構與物件操作</w:t>
      </w:r>
    </w:p>
    <w:p>
      <w:pPr>
        <w:pStyle w:val="Content"/>
      </w:pPr>
      <w:r>
        <w:t>實驗場景與物件／手臂的移動方式如下，目的是維持聲學可比性。全部實驗共用同一基準場景，每次模擬器啟動以程式重建：工作桌約 1.2 m × 0.8 m × 0.40 m，置於手臂基座前方（桌面中心距基座約 1.05 m）；UR10e 固定於原點，並載入 Robotiq 2F-85 夾爪（僅第五章 D3 真正啟用夾取動作）。超音波感測器有兩種掛法：第四章與 D1 可為獨立放置、未掛臂的感測器物件；D1.5 與 D3 則掛於腕部連桿並前伸 0.25 m，以離開夾爪機構的聲學陰影。兩種情形下感測器均離地約 0.65 m、視軸水平朝前，並由位姿稽核逐步確認。目標為桌面上的長方體（尺寸見各實驗）；隨機位置由固定種子在預劃範圍內均勻抽取，三臂共用同一批目標。</w:t>
      </w:r>
    </w:p>
    <w:p>
      <w:pPr>
        <w:pStyle w:val="Content"/>
      </w:pPr>
      <w:r>
        <w:t>在模擬中移動物件的方式是直接改寫空間位置，使下一影格出現在指定處，而非以物理力推動。此操作對聲學是否有效，已由前置探針驗證：移動目標後，波形變化遠大於背景雜訊；「刪除目標」與「移到遠處」效果一致。配對移除中的「移除目標」即自場景刪除該物件。每次位置變動後的標準量測時序為：先等 40 影格消化暫態，再取 24 影格並拆成前後兩段各 12 影格平均；若兩段早期能量相差超過 5%，判定不平稳、該點無效。手臂移動則直接寫入關節角（運動學寫入），每步後同樣等待與量測；感測器隨臂移動的聲學有效性，另由第五章各實驗的啟動閘門探針確認。</w:t>
      </w:r>
    </w:p>
    <w:p>
      <w:pPr>
        <w:pStyle w:val="Header2"/>
      </w:pPr>
      <w:r>
        <w:t>3.5 聲學特徵定義與閉環控制律</w:t>
      </w:r>
    </w:p>
    <w:p>
      <w:pPr>
        <w:pStyle w:val="Content"/>
      </w:pPr>
      <w:r>
        <w:t>從波形取出的特徵，以及如何變成手臂動作，定義如下。特徵一：峰值樣本索引——多幀平均波形中振幅絕對值最大的取樣點位置。物理意義是最強回波的到達時間，與往返距離成正比，故隨距離線性後移（ToF 標準解釋見 Zhmud 等 [7]；He 等 [9]）。這是全部距離估計的依據；第四章亦顯示它對能量慢震盪相對免疫。特徵二：早期能量——平均波形前 20 個取樣點的振幅平方和，代表近程回波總強度。它只用於配對移除的 SNR（4.1 節）與平穩性稽核（3.4 節），不用來推距離：能量同時受距離、尺寸、材質與場景耦合，複雜場景不可靠。</w:t>
      </w:r>
    </w:p>
    <w:p>
      <w:pPr>
        <w:pStyle w:val="Content"/>
      </w:pPr>
      <w:r>
        <w:t>閉環控制律以 D1.5（感測器掛於手臂）為例，因果鏈分五步：（一）量測——依 3.4 節取得平均波形，讀峰值位置；（二）預測——用 3.2 節自校模型換成感測器至目標的三維距離，再以已知垂直高度差（約 0.19–0.20 m）換成水平距離估計；（三）決策——若水平估距 ≤ 預定停止距離 0.35 m 則停止，否則沿接近軸前進 0.05 m；（四）執行——以逆向運動學把末端目標解成六軸關節角並寫入，以上一步解為初值（暖啟動）並限制單步關節變化，避免多解之間亂跳；（五）稽核——檢查手臂姿態與感測器位姿後，回到（一）。另有兩道與聲學無關的安全護欄：最多 40 步，以及走廊端點強制停止；觸發時在記錄中與「聲學觸發停止」分開標示。目標真實世界座標只進記錄欄，不進任何控制判斷。</w:t>
      </w:r>
    </w:p>
    <w:p>
      <w:pPr>
        <w:pStyle w:val="Content"/>
      </w:pPr>
      <w:r>
        <w:t>三臂差異只在步驟（二）（三），定義見 3.3 節支柱二：聲學臂跑滿五步；盲走臂仍量測但估距作廢；開環臂完全不量測、固定行程。控制器保持最簡：固定步長前進、無濾波、無多步預測，使每一次停止都能追溯到單次量測的單一特徵。這是「可歸因」優先於「控制效能」的取捨；更強控制器列第六章未來工作。</w:t>
      </w:r>
    </w:p>
    <w:p>
      <w:pPr>
        <w:pStyle w:val="Header2"/>
      </w:pPr>
      <w:r>
        <w:t>3.6 章節間資料鏈</w:t>
      </w:r>
    </w:p>
    <w:p>
      <w:pPr>
        <w:pStyle w:val="Content"/>
      </w:pPr>
      <w:r>
        <w:t>後續實驗一層接一層，而不是各自假設；資料鏈如下。資料鏈為：S1 感測包絡界定可偵測幾何 →S2 在包絡內建立距離編碼量化關係 →D1 以未掛臂、可自由移動的感測器隔離驗證「感測＋控制」因果 →D1.5 把感測器掛上 UR10e，加入真實手臂運動學 →D3 延伸到夾取對位與附著升舉；另有 D2 在側向證偽後，以多點定位恢復二維並做三臂閉環（見 5.4 節）。每一層都有預先寫定判準；閉環層皆有消融對照。D1／D1.5 場景直接沿用 S1 包絡與 S2 校正；D3 更換目標物前，另以三道前置閘門重測可偵測性、測距與夾取動作力學，避免「換了物體就偷用舊結論」。</w:t>
      </w:r>
    </w:p>
    <w:p>
      <w:pPr>
        <w:pStyle w:val="Content"/>
      </w:pPr>
      <w:r>
        <w:t>校正斜率的可信度另做歸因。不同批次斜率表面上可差約一成，但統計上落在小樣本迴歸不確定度內（點數有限，且峰值索引為整數造成量化）。直接對照實驗亦顯示：同一場景「移目標、感測器固定」與「手臂載感測器移動、目標固定」所得斜率無系統差。結論：斜率主要反映傳播與取樣機制，目標外形主要影響截距；同幾何下理論上可跨目標沿用，但本研究更換目標物時仍一律重做自校以保守。</w:t>
      </w:r>
    </w:p>
    <w:p>
      <w:pPr>
        <w:pStyle w:val="Header1"/>
      </w:pPr>
      <w:r>
        <w:t>第四章、感測特性化與包絡</w:t>
      </w:r>
    </w:p>
    <w:p>
      <w:pPr>
        <w:pStyle w:val="Header2"/>
      </w:pPr>
      <w:r>
        <w:t>4.1 S1 感測包絡地圖</w:t>
      </w:r>
    </w:p>
    <w:p>
      <w:pPr>
        <w:pStyle w:val="Content"/>
      </w:pPr>
      <w:r>
        <w:t>S1 對應第一章 RQ1：感測器在哪些幾何下讀得到目標，包絡邊界在哪。實驗代號 S1。設計為四因子配對移除掃描：距離五個水準（0.15、0.3、0.5、0.8、1.2 m）、目標邊長三個水準（0.04、0.10、0.20 m）、俯仰角三個水準（0°、30°、60°，俯視為正）、干擾物三個水準（無干擾、僅桌面、桌面加手臂）。因子組合裁成 52 個量測格點，分 A–D 四區執行；全數完成，最終 0 格無效（少數格因平穩性未過而重測後通過）。</w:t>
      </w:r>
    </w:p>
    <w:p>
      <w:pPr>
        <w:pStyle w:val="Content"/>
      </w:pPr>
      <w:r>
        <w:t>每一格獨立啟動一次模擬器，避免格點間狀態殘留。感測器固定離地 0.65 m，俯仰依格點設定；立方體目標放在視軸延伸線上指定距離（俯仰非零時目標隨視軸放低），使目標中心始終在指向正前方。「桌面」水準把 1.2×0.8 m 實心桌放在目標下方；「桌面加手臂」再把手臂以固定姿態立在感測器正後方約 0.1 m，模擬腕載時背後就是手臂本體的幾何。量測分三段，皆依 3.4 節標準程序（等 40 影格、取 24 影格平均）：先量有目標；再於同條件緊接量一次作雜訊參考（兩者差＝該次工作階段的量測雜訊底）；最後刪除目標量無目標背景。訊噪比依 3.3 節公式由三段波形計算。</w:t>
      </w:r>
    </w:p>
    <w:p>
      <w:pPr>
        <w:pStyle w:val="Content"/>
      </w:pPr>
      <w:r>
        <w:t>四區結果摘要如下。A 區（無干擾、水平指向，距離×尺寸）14/15 可偵測；唯一失格是 0.04 m 目標在 1.2 m，SNR 僅 3.9。B 區（俯仰 30°／60°）6/10 可偵測：30° 各距離皆可偵測，60° 僅最近 0.15 m 可偵測。C 區（含桌面，距離×俯仰）9/15 可偵測：水平指向全過（SNR 約 67–148）；30° 僅到約 0.5 m；60° 僅最近距離。D 區（桌面加手臂，距離×尺寸×俯仰）7/12 可偵測：水平指向全過（SNR 約 67–293）；60° 僅 0.3 m、0.20 m 目標可偵測。合計 36/52 格可偵測：已否定「包絡完全不可行」的最壞情境，也未觸發預先寫定的中止條件「有手臂干擾就全數失敗」。圖 4.1 以俯仰 0° 的 SNR 地圖與全格點可偵測率，視覺化上述選定格點包絡（非連續空間全因子場）。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21187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s1_envelop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18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 4.1  感測包絡：選定格點下是否讀得到目標（左：水平朝前的偵測訊噪比；右：不同俯仰角的可偵測比例）</w:t>
      </w:r>
    </w:p>
    <w:p>
      <w:pPr>
        <w:pStyle w:val="Content"/>
      </w:pPr>
      <w:r>
        <w:t>關鍵發現一：主宰因子是「指向」，不是「干擾物」。水平指向（0°）時，即使桌面與手臂都在，0.10 m 目標在 0.3–0.8 m 仍全可偵測（SNR ≥ 67）。反之俯仰到 60°，即使無干擾物，可偵測格也幾乎全滅。較合理的解釋是立方體近似鏡面反射：大俯角時回波偏離接收方向，而不是被桌、臂「擋住或吸掉」。</w:t>
      </w:r>
    </w:p>
    <w:p>
      <w:pPr>
        <w:pStyle w:val="Content"/>
      </w:pPr>
      <w:r>
        <w:t>關鍵發現二：感測器後方物體對前向路徑的貢獻，在此確定性模擬下為零。C 區（僅桌）與 D 區（桌加臂）在相同距離與俯仰下，SNR 數值逐位相同（例如 148.36、94.58、67.67 兩區一致）。因此後方手臂對前向聲學路徑沒有可量測干擾。工程含義：抓取場景若偵測失敗，根因未必是桌臂本身，更常是擺位與指向不對——此點直接指導第五章場景設計。</w:t>
      </w:r>
    </w:p>
    <w:p>
      <w:pPr>
        <w:pStyle w:val="Content"/>
      </w:pPr>
      <w:r>
        <w:t>關鍵發現三：目標尺寸有明確下限。0.04 m 目標超過約 1.2 m 即失效（SNR 掉到個位數）；0.10 m 在 0.15–1.2 m 皆可偵測；0.20 m 訊噪比最高（約 216–311）。後續量化特性與閉環實驗因此採用 0.10 m：兼顧可偵測性與接近實際工件尺度。</w:t>
      </w:r>
    </w:p>
    <w:p>
      <w:pPr>
        <w:pStyle w:val="Header2"/>
      </w:pPr>
      <w:r>
        <w:t>4.2 S2 感測器量化特性表</w:t>
      </w:r>
    </w:p>
    <w:p>
      <w:pPr>
        <w:pStyle w:val="Content"/>
      </w:pPr>
      <w:r>
        <w:t>S2 在已確認可偵測的包絡內，量化距離編碼精度、近距邊界與可重複性。實驗代號 S2。量測刻意採用 S1 的 D 區實戰幾何（桌面加手臂、水平指向、0.10 m 目標），讓後續控制器用的校正來自任務場景，而不是無干擾理想場景。內容含：視軸高度與桌面高度的距離掃描、垂直於視軸的側向掃描（13 點），以及關閉再開模擬器十次的重複性測試。</w:t>
      </w:r>
    </w:p>
    <w:p>
      <w:pPr>
        <w:pStyle w:val="Content"/>
      </w:pPr>
      <w:r>
        <w:t>距離編碼結果。視軸高度（z＝0.65 m）三遍獨立掃描：峰值位置與已知距離的皮爾森 r＝0.9994，RMSE 1.21 cm，自校樣本週期 103.09 µs。目標在桌面高度（z＝0.45 m，垂直差固定 0.20 m）：r＝0.9998，在可用距離約 0.32 m 以上 RMSE 為 5.3 mm，自校週期 100.77 µs。0.15–0.26 m 近距點因俯視角超過約 50°，被平穩性稽核排除，符合幾何預期。三遍掃描結果逐位相同（含被排除點）；十次重啟重複性測試中，峰值位置完全相同，能量特徵變異係數為 0。這表示在固定種子下管線高度確定——它證明的是可重算、可稽核，不是「感測器很抗真實雜訊」。圖 4.2 為視軸三遍合併之 peak–距離自校與殘差（當輪 slope/intercept，非固定 T_US）。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20571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2_s2_distance_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57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 4.2  距離校正：峰值位置對已知距離的直線擬合，以及估距誤差（公分）</w:t>
      </w:r>
    </w:p>
    <w:p>
      <w:pPr>
        <w:pStyle w:val="Content"/>
      </w:pPr>
      <w:r>
        <w:t>校正斜率跨批次表面可差約一成，做了兩層歸因。統計層：小樣本批次的 95% 信賴區間仍涵蓋主校正值，差異落在估計不確定度內。實驗層：同一場景「移目標、感測器固定」與「手臂載感測器移動、目標固定」各量 13 點，斜率差小於合併標準誤的兩倍，量測方式本身無系統偏差。附帶發現：不同外形目標物解得的斜率相差不到百分之一——斜率主要反映傳播與取樣，外形主要影響截距。</w:t>
      </w:r>
    </w:p>
    <w:p>
      <w:pPr>
        <w:pStyle w:val="Header2"/>
      </w:pPr>
      <w:r>
        <w:t>4.3 負結果與失效機制</w:t>
      </w:r>
    </w:p>
    <w:p>
      <w:pPr>
        <w:pStyle w:val="Content"/>
      </w:pPr>
      <w:r>
        <w:t>以下誠實記錄三類「做不成或沒有的東西」：單次輸出的左右資訊、頻率參數、腕載陰影；它們直接決定第五章設計與第六章宣稱邊界。</w:t>
      </w:r>
    </w:p>
    <w:p>
      <w:pPr>
        <w:pStyle w:val="Content"/>
      </w:pPr>
      <w:r>
        <w:t>側向（左右）四重證偽——四項獨立實驗全數未過預設判準。（一）能量：兩接收器能量差與目標橫移（±0.15 m）無單調關係（斯皮爾曼 ρ＝0.357，遠低於預設 0.9）。（二）時間：兩路互相關時差幾乎恆定（與橫移的 r 僅約 0.002），且左右對稱，像是管線固定偏移，不是幾何方位。（三）身分：逐幀路徑標籤恆為 (0,0,0)，資料裡沒有分開的接收器身分。（四）分組：改成兩獨立接收群組後，第一路與原組態相同，第二路變成亂跳峰值，引擎不支援分組分離渲染。結論：缺的是引擎輸出層的側向資訊，不是量測太吵或演算法選錯；任何靠單次量測「左右差」的方法在此模擬器中都不可行。第五章因此改走「手臂移動多點測距」的多點定位路線。</w:t>
      </w:r>
    </w:p>
    <w:p>
      <w:pPr>
        <w:pStyle w:val="Content"/>
      </w:pPr>
      <w:r>
        <w:t>中心頻率參數無效。同一場景用 20、30、40、60、80、100 kHz 做相同距離掃描：峰值位置序列六組逐位相同；能量僅有約千萬分之一的浮點尾差，遠小於真實聲學「頻率加倍應出現的吸收／繞射變化」。故引擎未建模頻率相關物理。本文仍選 40 kHz，是因為它對應常見商用超音波頻段與實務距離尺度（波長約 8.6 mm，小於目標；量測距離約 0.4–1.2 m 在該頻段常見射程內），不是模擬內「掃頻選最優」的結果；真實頻段效應須待硬體驗證。</w:t>
      </w:r>
    </w:p>
    <w:p>
      <w:pPr>
        <w:pStyle w:val="Content"/>
      </w:pPr>
      <w:r>
        <w:t>腕載聲影。同一目標在「含手臂與桌面」場景中，配對移除得到的目標貢獻低於約 2.2×10⁻⁵（相對背景能量約 135，已落入浮點雜訊）；在「無手臂」簡單場景中，同尺寸目標貢獻約 1.24×10⁵ 量級（訊號對背景約 6000:1）。落差主因是感測器貼在腕部、被夾爪網格幾何擋住而形成聲學陰影，並非該場景天生不能做聲學。這與 4.1「指向與擺位優先」互相印證，並直接決定第五章採用腕部前伸掛載，使感測器離開陰影區。</w:t>
      </w:r>
    </w:p>
    <w:p>
      <w:pPr>
        <w:pStyle w:val="Header1"/>
      </w:pPr>
      <w:r>
        <w:t>第五章、聲學閉環接近</w:t>
      </w:r>
    </w:p>
    <w:p>
      <w:pPr>
        <w:pStyle w:val="Header2"/>
      </w:pPr>
      <w:r>
        <w:t>5.1 D1：未掛臂感測器三臂對照（感測＋控制隔離驗證）</w:t>
      </w:r>
    </w:p>
    <w:p>
      <w:pPr>
        <w:pStyle w:val="Content"/>
      </w:pPr>
      <w:r>
        <w:t>D1 對應第一章 RQ2 的前半：不讀目標真實座標的純聲學控制，在排除手臂運動學後是否仍成立。若一開始就把感測器掛上 UR10e，估距誤差會與關節限制、IK 等交雜，難以歸因。因此先做 D1：感測器是可獨立放置、未掛在實體手臂上的物件，只檢驗「感測＋控制」這一環；通過後再於 5.2 節掛上手臂做 D1.5。</w:t>
      </w:r>
    </w:p>
    <w:p>
      <w:pPr>
        <w:pStyle w:val="Content"/>
      </w:pPr>
      <w:r>
        <w:t>場景：0.10 m 方塊目標在桌面 x 介於 0.45–1.10 m 間隨機放置（避開第四章約 0.32 m 以內的桌高失效區，並保留停止距離裕度）。感測器離地 0.65 m、水平朝前，沿 X 軸逐步接近，步長 0.05 m，預定停止距離 0.35 m。每回合：抽目標位置並寫入場景；感測器回到起點 0.60 m；進入 3.5 節「量測—預測—決策—執行—稽核」迴圈——估距大於停止距離則前進，小於等於則停。聲學／盲走／開環三臂各 30 回合，同種子、同目標組；目標真值只進記錄欄，不進控制。正式實驗前先做 D0 閘門：目標固定，感測器沿軸移到 13 個已知位置量估距並迴歸，用來確認「移動感測器」本身聲學有效（此前只驗證過移目標）。D0 得 r＝0.9958，通過預設門檻 r≥0.99。</w:t>
      </w:r>
    </w:p>
    <w:p>
      <w:pPr>
        <w:pStyle w:val="Content"/>
      </w:pPr>
      <w:r>
        <w:t>D1 結果。聲學臂：停止位置與目標 r＝0.9970，誤差平均 2.1 cm、RMSE 2.5 cm，30/30 誤差≤10 cm，且全數聲學觸發停止。盲走臂：估距被換成無資訊值後完全失能，恆停在走廊護欄 1.15 m，與目標無關，RMSE 79.3 cm，0/30 落入 10 cm。開環臂：固定行程停在 0.425 m，RMSE 16.9 cm，14/30 落入 10 cm。解讀：同一量測與控制管線，只要拿掉聲學資訊就完全失能——接近成功來自估距，不是走廊幾何碰巧造成。</w:t>
      </w:r>
    </w:p>
    <w:p>
      <w:pPr>
        <w:pStyle w:val="Header2"/>
      </w:pPr>
      <w:r>
        <w:t>5.2 D1.5：手臂載具三臂對照（主結果）</w:t>
      </w:r>
    </w:p>
    <w:p>
      <w:pPr>
        <w:pStyle w:val="Content"/>
      </w:pPr>
      <w:r>
        <w:t>D1.5 把感測器掛上真實 UR10e，檢驗主結果是否仍成立。D1 通過後進入 D1.5（本文主結果）。感測器掛在腕部第三連桿（軟體名稱 wrist_3_link），並前伸 0.25 m，以離開夾爪機構的聲學陰影（見 4.3 節）。每步以逆向運動學（IK）把末端目標解成六軸角，以上一步解為初值（暖啟動）並限制單步關節變化，減少多解之間亂跳。</w:t>
      </w:r>
    </w:p>
    <w:p>
      <w:pPr>
        <w:pStyle w:val="Content"/>
      </w:pPr>
      <w:r>
        <w:t>因重視非物理姿態（連桿穿桌、穿地），D1.5 每步做兩類稽核：姿態稽核——前臂與腕部高度是否低於安全裕度，違規則整回合無效；感測器位姿稽核——水平視軸與掛載高度是否仍符合校正前提。三臂設計同 D1，各 30 回合、同種子同目標。正式前 D0.5 閘門（手臂沿固定路徑接近已知目標）r＝0.9918，姿態與位姿違規皆 0，通過預設閘門。</w:t>
      </w:r>
    </w:p>
    <w:p>
      <w:pPr>
        <w:pStyle w:val="Content"/>
      </w:pPr>
      <w:r>
        <w:t>D1.5 主結果。聲學臂：r＝0.9856，誤差平均 2.5 cm、RMSE 2.8 cm，30/30 誤差≤10 cm，平均 5.0 步，全數聲學觸發停止。盲走臂：恆停護欄 0.95 m，RMSE 18.9 cm，僅 4/30 落入 10 cm。開環臂：固定行程停 0.80 m，RMSE 7.8 cm，22/30 落入 10 cm——看起來不差，但 r＝0，並未逐回合追蹤目標。聲學對盲走的停止誤差以 Welch t 檢定（不假設兩組變異數相等）得 t＝−10.6、p＜0.001（D1 對應 t＝−25.1、p＜0.001）。三臂共 90 回合全有效，姿態／位姿違規 0，IK 失敗 0。相對 D1：r 由 0.997 略降至 0.9856，RMSE 由 2.5 cm 略增至 2.8 cm——掛上真實手臂運動學後精度幾乎無損。</w:t>
      </w:r>
    </w:p>
    <w:p>
      <w:pPr>
        <w:pStyle w:val="Content"/>
        <w:jc w:val="center"/>
      </w:pPr>
      <w:r>
        <w:t>表 5.1  閉環接近三組對照臂（停止位置與目標位置）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30"/>
        <w:gridCol w:w="1730"/>
        <w:gridCol w:w="1730"/>
        <w:gridCol w:w="1730"/>
        <w:gridCol w:w="1730"/>
      </w:tblGrid>
      <w:tr>
        <w:trPr>
          <w:tblHeader/>
        </w:trPr>
        <w:tc>
          <w:tcPr>
            <w:tcW w:type="dxa" w:w="1730"/>
          </w:tcPr>
          <w:p>
            <w:r>
              <w:t>實驗／對照臂</w:t>
            </w:r>
          </w:p>
        </w:tc>
        <w:tc>
          <w:tcPr>
            <w:tcW w:type="dxa" w:w="1730"/>
          </w:tcPr>
          <w:p>
            <w:r>
              <w:t>停止位置與目標的相關係數</w:t>
            </w:r>
          </w:p>
        </w:tc>
        <w:tc>
          <w:tcPr>
            <w:tcW w:type="dxa" w:w="1730"/>
          </w:tcPr>
          <w:p>
            <w:r>
              <w:t>停止誤差（平均／均方根，公分）</w:t>
            </w:r>
          </w:p>
        </w:tc>
        <w:tc>
          <w:tcPr>
            <w:tcW w:type="dxa" w:w="1730"/>
          </w:tcPr>
          <w:p>
            <w:r>
              <w:t>誤差≤10 公分的回合</w:t>
            </w:r>
          </w:p>
        </w:tc>
        <w:tc>
          <w:tcPr>
            <w:tcW w:type="dxa" w:w="1730"/>
          </w:tcPr>
          <w:p>
            <w:r>
              <w:t>如何停下</w:t>
            </w:r>
          </w:p>
        </w:tc>
      </w:tr>
      <w:tr>
        <w:tc>
          <w:tcPr>
            <w:tcW w:type="dxa" w:w="1730"/>
          </w:tcPr>
          <w:p>
            <w:r>
              <w:t>未掛臂·聲學臂</w:t>
            </w:r>
          </w:p>
        </w:tc>
        <w:tc>
          <w:tcPr>
            <w:tcW w:type="dxa" w:w="1730"/>
          </w:tcPr>
          <w:p>
            <w:r>
              <w:t>0.9970</w:t>
            </w:r>
          </w:p>
        </w:tc>
        <w:tc>
          <w:tcPr>
            <w:tcW w:type="dxa" w:w="1730"/>
          </w:tcPr>
          <w:p>
            <w:r>
              <w:t>2.1 / 2.5</w:t>
            </w:r>
          </w:p>
        </w:tc>
        <w:tc>
          <w:tcPr>
            <w:tcW w:type="dxa" w:w="1730"/>
          </w:tcPr>
          <w:p>
            <w:r>
              <w:t>30/30</w:t>
            </w:r>
          </w:p>
        </w:tc>
        <w:tc>
          <w:tcPr>
            <w:tcW w:type="dxa" w:w="1730"/>
          </w:tcPr>
          <w:p>
            <w:r>
              <w:t>聲學條件觸發</w:t>
            </w:r>
          </w:p>
        </w:tc>
      </w:tr>
      <w:tr>
        <w:tc>
          <w:tcPr>
            <w:tcW w:type="dxa" w:w="1730"/>
          </w:tcPr>
          <w:p>
            <w:r>
              <w:t>未掛臂·盲走臂</w:t>
            </w:r>
          </w:p>
        </w:tc>
        <w:tc>
          <w:tcPr>
            <w:tcW w:type="dxa" w:w="1730"/>
          </w:tcPr>
          <w:p>
            <w:r>
              <w:t>0（恆停 1.15 m）</w:t>
            </w:r>
          </w:p>
        </w:tc>
        <w:tc>
          <w:tcPr>
            <w:tcW w:type="dxa" w:w="1730"/>
          </w:tcPr>
          <w:p>
            <w:r>
              <w:t>77.6 / 79.3</w:t>
            </w:r>
          </w:p>
        </w:tc>
        <w:tc>
          <w:tcPr>
            <w:tcW w:type="dxa" w:w="1730"/>
          </w:tcPr>
          <w:p>
            <w:r>
              <w:t>0/30</w:t>
            </w:r>
          </w:p>
        </w:tc>
        <w:tc>
          <w:tcPr>
            <w:tcW w:type="dxa" w:w="1730"/>
          </w:tcPr>
          <w:p>
            <w:r>
              <w:t>撞走廊護欄</w:t>
            </w:r>
          </w:p>
        </w:tc>
      </w:tr>
      <w:tr>
        <w:tc>
          <w:tcPr>
            <w:tcW w:type="dxa" w:w="1730"/>
          </w:tcPr>
          <w:p>
            <w:r>
              <w:t>未掛臂·開環臂</w:t>
            </w:r>
          </w:p>
        </w:tc>
        <w:tc>
          <w:tcPr>
            <w:tcW w:type="dxa" w:w="1730"/>
          </w:tcPr>
          <w:p>
            <w:r>
              <w:t>0（恆停 0.425 m）</w:t>
            </w:r>
          </w:p>
        </w:tc>
        <w:tc>
          <w:tcPr>
            <w:tcW w:type="dxa" w:w="1730"/>
          </w:tcPr>
          <w:p>
            <w:r>
              <w:t>13.4 / 16.9</w:t>
            </w:r>
          </w:p>
        </w:tc>
        <w:tc>
          <w:tcPr>
            <w:tcW w:type="dxa" w:w="1730"/>
          </w:tcPr>
          <w:p>
            <w:r>
              <w:t>14/30</w:t>
            </w:r>
          </w:p>
        </w:tc>
        <w:tc>
          <w:tcPr>
            <w:tcW w:type="dxa" w:w="1730"/>
          </w:tcPr>
          <w:p>
            <w:r>
              <w:t>固定行程</w:t>
            </w:r>
          </w:p>
        </w:tc>
      </w:tr>
      <w:tr>
        <w:tc>
          <w:tcPr>
            <w:tcW w:type="dxa" w:w="1730"/>
          </w:tcPr>
          <w:p>
            <w:r>
              <w:t>手臂主結果·聲學臂</w:t>
            </w:r>
          </w:p>
        </w:tc>
        <w:tc>
          <w:tcPr>
            <w:tcW w:type="dxa" w:w="1730"/>
          </w:tcPr>
          <w:p>
            <w:r>
              <w:t>0.9856</w:t>
            </w:r>
          </w:p>
        </w:tc>
        <w:tc>
          <w:tcPr>
            <w:tcW w:type="dxa" w:w="1730"/>
          </w:tcPr>
          <w:p>
            <w:r>
              <w:t>2.5 / 2.8</w:t>
            </w:r>
          </w:p>
        </w:tc>
        <w:tc>
          <w:tcPr>
            <w:tcW w:type="dxa" w:w="1730"/>
          </w:tcPr>
          <w:p>
            <w:r>
              <w:t>30/30</w:t>
            </w:r>
          </w:p>
        </w:tc>
        <w:tc>
          <w:tcPr>
            <w:tcW w:type="dxa" w:w="1730"/>
          </w:tcPr>
          <w:p>
            <w:r>
              <w:t>聲學條件觸發</w:t>
            </w:r>
          </w:p>
        </w:tc>
      </w:tr>
      <w:tr>
        <w:tc>
          <w:tcPr>
            <w:tcW w:type="dxa" w:w="1730"/>
          </w:tcPr>
          <w:p>
            <w:r>
              <w:t>手臂主結果·盲走臂</w:t>
            </w:r>
          </w:p>
        </w:tc>
        <w:tc>
          <w:tcPr>
            <w:tcW w:type="dxa" w:w="1730"/>
          </w:tcPr>
          <w:p>
            <w:r>
              <w:t>0（恆停 0.95 m）</w:t>
            </w:r>
          </w:p>
        </w:tc>
        <w:tc>
          <w:tcPr>
            <w:tcW w:type="dxa" w:w="1730"/>
          </w:tcPr>
          <w:p>
            <w:r>
              <w:t>17.4 / 18.9</w:t>
            </w:r>
          </w:p>
        </w:tc>
        <w:tc>
          <w:tcPr>
            <w:tcW w:type="dxa" w:w="1730"/>
          </w:tcPr>
          <w:p>
            <w:r>
              <w:t>4/30</w:t>
            </w:r>
          </w:p>
        </w:tc>
        <w:tc>
          <w:tcPr>
            <w:tcW w:type="dxa" w:w="1730"/>
          </w:tcPr>
          <w:p>
            <w:r>
              <w:t>撞走廊護欄</w:t>
            </w:r>
          </w:p>
        </w:tc>
      </w:tr>
      <w:tr>
        <w:tc>
          <w:tcPr>
            <w:tcW w:type="dxa" w:w="1730"/>
          </w:tcPr>
          <w:p>
            <w:r>
              <w:t>手臂主結果·開環臂</w:t>
            </w:r>
          </w:p>
        </w:tc>
        <w:tc>
          <w:tcPr>
            <w:tcW w:type="dxa" w:w="1730"/>
          </w:tcPr>
          <w:p>
            <w:r>
              <w:t>0（恆停 0.80 m）</w:t>
            </w:r>
          </w:p>
        </w:tc>
        <w:tc>
          <w:tcPr>
            <w:tcW w:type="dxa" w:w="1730"/>
          </w:tcPr>
          <w:p>
            <w:r>
              <w:t>6.2 / 7.8</w:t>
            </w:r>
          </w:p>
        </w:tc>
        <w:tc>
          <w:tcPr>
            <w:tcW w:type="dxa" w:w="1730"/>
          </w:tcPr>
          <w:p>
            <w:r>
              <w:t>22/30</w:t>
            </w:r>
          </w:p>
        </w:tc>
        <w:tc>
          <w:tcPr>
            <w:tcW w:type="dxa" w:w="1730"/>
          </w:tcPr>
          <w:p>
            <w:r>
              <w:t>固定行程</w:t>
            </w:r>
          </w:p>
        </w:tc>
      </w:tr>
    </w:tbl>
    <w:p/>
    <w:p>
      <w:pPr>
        <w:pStyle w:val="Content"/>
      </w:pPr>
      <w:r>
        <w:t>圖 5.1 將三臂停止位置對目標位置畫在同一散點圖：聲學臂沿趨勢追蹤目標；盲走與開環近似水平固定停點（開環表面到達率雖高但 r＝0，見 6.1 節）。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39306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_d15_stop_vs_targe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30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 5.1  主結果：停止位置是否隨目標位置移動（聲學／盲走／開環各 30 回合）</w:t>
      </w:r>
    </w:p>
    <w:p>
      <w:pPr>
        <w:pStyle w:val="Header2"/>
      </w:pPr>
      <w:r>
        <w:t>5.3 D3：端到端夾取整合</w:t>
      </w:r>
    </w:p>
    <w:p>
      <w:pPr>
        <w:pStyle w:val="Content"/>
      </w:pPr>
      <w:r>
        <w:t>D3 檢驗接近之後能否靠聲學估距完成對位夾取，以及夾持機制能宣稱到哪裡。D3 在停止後執行固定夾取序列：（一）用停止當下估距一次推算目標位置（停止位置加估距）——因校正有效距離下限約 0.32 m，更近處不再聲學閉環；（二）抬到安全高度（指尖高於目標頂約 3 cm），以 2 cm 步長移到推算點上方；（三）下降到夾取高度；（四）閉合並偵測接觸；（五）附著後升舉 0.10 m（5 mm 小步），維持 60 影格後看目標升高是否≥0.05 m。全程不讀目標真值；真值只供事後評對位。目標改為截面 0.06 m、高 0.12 m 的直立長方柱。因換目標，正式前三道閘門皆過：可偵測（三距離 SNR 31.9–82.3，皆＞10）、測距重校 r＝0.996、已知位置完整夾取序列十次姿態零違規。</w:t>
      </w:r>
    </w:p>
    <w:p>
      <w:pPr>
        <w:pStyle w:val="Content"/>
      </w:pPr>
      <w:r>
        <w:t>夾持機制如實說明。開發中發現：模擬器指墊摩擦不足以在升舉中持續抓持（二十餘輪排查尺寸、摩擦、質量、閉合速度、高度等皆失敗），故改為接觸觸發之附著：閉合時若手指因物體擋住而未完全閉死（純物理接觸訊號，不含目標座標），則在夾爪與物體間建立剛性附著再升舉。對照區辨力仍在：盲走停錯位時抓空、手指閉死、不觸發附著即失敗。可支持「聲學對位＋接觸觸發附著」；推論不及「物理摩擦夾持」。</w:t>
      </w:r>
    </w:p>
    <w:p>
      <w:pPr>
        <w:pStyle w:val="Content"/>
      </w:pPr>
      <w:r>
        <w:t>正式陳報分兩層。（一）首輪正式跑（目標走廊 1.00–1.20 m，數據目錄 v2_d3_grasp）：聲學臂夾取中心與目標 r＝0.9885，對位均方根誤差 1.9 cm，對位率（±2 cm 預鎖容差）18/30（60%）；盲走與開環對位率皆 7/30（23%）；聲學對盲走費雪精確檢定單尾 p＝0.004；對位成功後升舉 15/18（83%）。四項預註冊判準中三項過、一項不過：90 回合中 3 回合在升舉階段 IK 無解（目標約在 1.19 m 遠端，手臂可達極限），姿態項如實判 False，不放寬。（二）正典主結果為獨立複驗（走廊上限 1.20→1.15 m，新目錄 v2_d3_grasp_r3）：計入夾取進場點為估計值、可能比真目標再遠約 2 cm；對位 r＝0.978，對位率 80%（24/30）對盲走 33%（費雪 p＜0.001），對位均方根誤差約 1.6 cm，對位成功後升舉約 79%，90 回合零違規、無 IK 失敗，四項全過。此為失效—歸因—修正—驗證：不改判準，改被證實錯估的物理邊界後重跑。摘要、表 5.2 正典列與圖 5.2 均以複驗為主結果；首輪保留供對照。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22621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2_d3_alignment_r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62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 5.2  夾取對位正典（走廊修正後複驗）：夾爪中心與目標（左），三組對照臂對位成功率（右）</w:t>
      </w:r>
    </w:p>
    <w:p>
      <w:pPr>
        <w:pStyle w:val="Content"/>
      </w:pPr>
      <w:r>
        <w:t>對位成功但升舉失敗（首輪 3/18、複驗 5/24）逐回合檢視：IK 皆正常；失敗多落在對位誤差靠近容差邊緣（複驗失敗平均 |誤差| 1.4 cm，成功 0.9 cm，且多為停短方向）。機制：統計容差 ±2 cm 略寬於夾爪物理捕捉窗約 ±1.5 cm，縫隙內「判準算對位成功」但咬合不穩、附著不成。屬容差與夾爪幾何議題，與聲學對位能力無關；分開陳報正是為了讓此縫隙可見。對位率與升舉率不相乘成「總成功率」，以免混淆聲學與力學。</w:t>
      </w:r>
    </w:p>
    <w:p>
      <w:pPr>
        <w:pStyle w:val="Content"/>
        <w:jc w:val="center"/>
      </w:pPr>
      <w:r>
        <w:t>表 5.2  夾取對位與升舉：首輪（歷史失效）與正典複驗對照（聲學臂；容差 ±2 公分）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6"/>
        <w:gridCol w:w="1236"/>
        <w:gridCol w:w="1236"/>
        <w:gridCol w:w="1236"/>
        <w:gridCol w:w="1236"/>
        <w:gridCol w:w="1236"/>
        <w:gridCol w:w="1236"/>
      </w:tblGrid>
      <w:tr>
        <w:trPr>
          <w:tblHeader/>
        </w:trPr>
        <w:tc>
          <w:tcPr>
            <w:tcW w:type="dxa" w:w="1236"/>
          </w:tcPr>
          <w:p>
            <w:r>
              <w:t>輪次（走廊）</w:t>
            </w:r>
          </w:p>
        </w:tc>
        <w:tc>
          <w:tcPr>
            <w:tcW w:type="dxa" w:w="1236"/>
          </w:tcPr>
          <w:p>
            <w:r>
              <w:t>角色</w:t>
            </w:r>
          </w:p>
        </w:tc>
        <w:tc>
          <w:tcPr>
            <w:tcW w:type="dxa" w:w="1236"/>
          </w:tcPr>
          <w:p>
            <w:r>
              <w:t>對位相關係數</w:t>
            </w:r>
          </w:p>
        </w:tc>
        <w:tc>
          <w:tcPr>
            <w:tcW w:type="dxa" w:w="1236"/>
          </w:tcPr>
          <w:p>
            <w:r>
              <w:t>對位成功回合</w:t>
            </w:r>
          </w:p>
        </w:tc>
        <w:tc>
          <w:tcPr>
            <w:tcW w:type="dxa" w:w="1236"/>
          </w:tcPr>
          <w:p>
            <w:r>
              <w:t>對位均方根誤差（公分）</w:t>
            </w:r>
          </w:p>
        </w:tc>
        <w:tc>
          <w:tcPr>
            <w:tcW w:type="dxa" w:w="1236"/>
          </w:tcPr>
          <w:p>
            <w:r>
              <w:t>對位成功中升舉成功</w:t>
            </w:r>
          </w:p>
        </w:tc>
        <w:tc>
          <w:tcPr>
            <w:tcW w:type="dxa" w:w="1236"/>
          </w:tcPr>
          <w:p>
            <w:r>
              <w:t>姿態／IK 裁定</w:t>
            </w:r>
          </w:p>
        </w:tc>
      </w:tr>
      <w:tr>
        <w:tc>
          <w:tcPr>
            <w:tcW w:type="dxa" w:w="1236"/>
          </w:tcPr>
          <w:p>
            <w:r>
              <w:t>首輪（1.00–1.20 m）</w:t>
            </w:r>
          </w:p>
        </w:tc>
        <w:tc>
          <w:tcPr>
            <w:tcW w:type="dxa" w:w="1236"/>
          </w:tcPr>
          <w:p>
            <w:r>
              <w:t>歷史失效案例</w:t>
            </w:r>
          </w:p>
        </w:tc>
        <w:tc>
          <w:tcPr>
            <w:tcW w:type="dxa" w:w="1236"/>
          </w:tcPr>
          <w:p>
            <w:r>
              <w:t>0.9885</w:t>
            </w:r>
          </w:p>
        </w:tc>
        <w:tc>
          <w:tcPr>
            <w:tcW w:type="dxa" w:w="1236"/>
          </w:tcPr>
          <w:p>
            <w:r>
              <w:t>18/30（60%）</w:t>
            </w:r>
          </w:p>
        </w:tc>
        <w:tc>
          <w:tcPr>
            <w:tcW w:type="dxa" w:w="1236"/>
          </w:tcPr>
          <w:p>
            <w:r>
              <w:t>1.9</w:t>
            </w:r>
          </w:p>
        </w:tc>
        <w:tc>
          <w:tcPr>
            <w:tcW w:type="dxa" w:w="1236"/>
          </w:tcPr>
          <w:p>
            <w:r>
              <w:t>15/18（83%）</w:t>
            </w:r>
          </w:p>
        </w:tc>
        <w:tc>
          <w:tcPr>
            <w:tcW w:type="dxa" w:w="1236"/>
          </w:tcPr>
          <w:p>
            <w:r>
              <w:t>未過（3 次升舉 IK）</w:t>
            </w:r>
          </w:p>
        </w:tc>
      </w:tr>
      <w:tr>
        <w:tc>
          <w:tcPr>
            <w:tcW w:type="dxa" w:w="1236"/>
          </w:tcPr>
          <w:p>
            <w:r>
              <w:t>首輪盲走</w:t>
            </w:r>
          </w:p>
        </w:tc>
        <w:tc>
          <w:tcPr>
            <w:tcW w:type="dxa" w:w="1236"/>
          </w:tcPr>
          <w:p>
            <w:r>
              <w:t>對照</w:t>
            </w:r>
          </w:p>
        </w:tc>
        <w:tc>
          <w:tcPr>
            <w:tcW w:type="dxa" w:w="1236"/>
          </w:tcPr>
          <w:p>
            <w:r>
              <w:t>0</w:t>
            </w:r>
          </w:p>
        </w:tc>
        <w:tc>
          <w:tcPr>
            <w:tcW w:type="dxa" w:w="1236"/>
          </w:tcPr>
          <w:p>
            <w:r>
              <w:t>7/30（23%）</w:t>
            </w:r>
          </w:p>
        </w:tc>
        <w:tc>
          <w:tcPr>
            <w:tcW w:type="dxa" w:w="1236"/>
          </w:tcPr>
          <w:p>
            <w:r>
              <w:t>5.4</w:t>
            </w:r>
          </w:p>
        </w:tc>
        <w:tc>
          <w:tcPr>
            <w:tcW w:type="dxa" w:w="1236"/>
          </w:tcPr>
          <w:p>
            <w:r>
              <w:t>4/7</w:t>
            </w:r>
          </w:p>
        </w:tc>
        <w:tc>
          <w:tcPr>
            <w:tcW w:type="dxa" w:w="1236"/>
          </w:tcPr>
          <w:p>
            <w:r>
              <w:t>—</w:t>
            </w:r>
          </w:p>
        </w:tc>
      </w:tr>
      <w:tr>
        <w:tc>
          <w:tcPr>
            <w:tcW w:type="dxa" w:w="1236"/>
          </w:tcPr>
          <w:p>
            <w:r>
              <w:t>正典複驗（1.00–1.15 m）</w:t>
            </w:r>
          </w:p>
        </w:tc>
        <w:tc>
          <w:tcPr>
            <w:tcW w:type="dxa" w:w="1236"/>
          </w:tcPr>
          <w:p>
            <w:r>
              <w:t>正式主結果</w:t>
            </w:r>
          </w:p>
        </w:tc>
        <w:tc>
          <w:tcPr>
            <w:tcW w:type="dxa" w:w="1236"/>
          </w:tcPr>
          <w:p>
            <w:r>
              <w:t>0.978</w:t>
            </w:r>
          </w:p>
        </w:tc>
        <w:tc>
          <w:tcPr>
            <w:tcW w:type="dxa" w:w="1236"/>
          </w:tcPr>
          <w:p>
            <w:r>
              <w:t>24/30（80%）</w:t>
            </w:r>
          </w:p>
        </w:tc>
        <w:tc>
          <w:tcPr>
            <w:tcW w:type="dxa" w:w="1236"/>
          </w:tcPr>
          <w:p>
            <w:r>
              <w:t>1.6</w:t>
            </w:r>
          </w:p>
        </w:tc>
        <w:tc>
          <w:tcPr>
            <w:tcW w:type="dxa" w:w="1236"/>
          </w:tcPr>
          <w:p>
            <w:r>
              <w:t>19/24（79%）</w:t>
            </w:r>
          </w:p>
        </w:tc>
        <w:tc>
          <w:tcPr>
            <w:tcW w:type="dxa" w:w="1236"/>
          </w:tcPr>
          <w:p>
            <w:r>
              <w:t>全過（零違規）</w:t>
            </w:r>
          </w:p>
        </w:tc>
      </w:tr>
      <w:tr>
        <w:tc>
          <w:tcPr>
            <w:tcW w:type="dxa" w:w="1236"/>
          </w:tcPr>
          <w:p>
            <w:r>
              <w:t>複驗盲走</w:t>
            </w:r>
          </w:p>
        </w:tc>
        <w:tc>
          <w:tcPr>
            <w:tcW w:type="dxa" w:w="1236"/>
          </w:tcPr>
          <w:p>
            <w:r>
              <w:t>對照</w:t>
            </w:r>
          </w:p>
        </w:tc>
        <w:tc>
          <w:tcPr>
            <w:tcW w:type="dxa" w:w="1236"/>
          </w:tcPr>
          <w:p>
            <w:r>
              <w:t>0</w:t>
            </w:r>
          </w:p>
        </w:tc>
        <w:tc>
          <w:tcPr>
            <w:tcW w:type="dxa" w:w="1236"/>
          </w:tcPr>
          <w:p>
            <w:r>
              <w:t>10/30（33%）</w:t>
            </w:r>
          </w:p>
        </w:tc>
        <w:tc>
          <w:tcPr>
            <w:tcW w:type="dxa" w:w="1236"/>
          </w:tcPr>
          <w:p>
            <w:r>
              <w:t>4.7</w:t>
            </w:r>
          </w:p>
        </w:tc>
        <w:tc>
          <w:tcPr>
            <w:tcW w:type="dxa" w:w="1236"/>
          </w:tcPr>
          <w:p>
            <w:r>
              <w:t>3/10</w:t>
            </w:r>
          </w:p>
        </w:tc>
        <w:tc>
          <w:tcPr>
            <w:tcW w:type="dxa" w:w="1236"/>
          </w:tcPr>
          <w:p>
            <w:r>
              <w:t>—</w:t>
            </w:r>
          </w:p>
        </w:tc>
      </w:tr>
    </w:tbl>
    <w:p/>
    <w:p>
      <w:pPr>
        <w:pStyle w:val="Content"/>
      </w:pPr>
      <w:r>
        <w:t>統計補充（不改預註冊判準）。三臂共用相同隨機種子與相同目標序列，本質為配對設計。正文主檢定仍報告預先鎖定之 Welch t（連續誤差）與費雪精確檢定（對位成敗）；離線分析器另附配對佐證：D1.5／D2 之成對置換檢定、D3 之 McNemar exact，結論與主檢定一致，且不回頭修改通過門檻。每臂 30 回合是在單一種子下對走廊內目標位置抽樣的重複；p 值說明「這批配對位置上組間差異是否極端」，不能單獨解讀成跨種子、跨場景的普遍穩健性（見 1.3、6.2 節）。</w:t>
      </w:r>
    </w:p>
    <w:p>
      <w:pPr>
        <w:pStyle w:val="Header2"/>
      </w:pPr>
      <w:r>
        <w:t>5.4 D2：二維多點定位與閉環接近</w:t>
      </w:r>
    </w:p>
    <w:p>
      <w:pPr>
        <w:pStyle w:val="Content"/>
      </w:pPr>
      <w:r>
        <w:t>D2 接續第四章：單次輸出無左右資訊時，能否用手臂移動把側向找回來並閉環。感測器單次量測沒有左右，但手臂可以動——在多個已知位置各量一次距離，用幾何交會解二維座標（多點定位，見 Kapoor 等 [2]；移動感測器合成觀測基線的譜系見 Hayes 等 [1]；詳 2.7 節）。D2 程序：目標在縱向 1.00–1.18 m、側向 ±0.15 m 隨機；聲學臂先側向掃描五個量測位置（橫向基線 0.30 m），每點量一次距離，五筆距離以最小平方法做圓交會得 (x̂, ŷ)；再沿估計方位接近，估距小於預定停止距離即停。盲走臂掃描與接近流程相同，但估距在進定位前就換成無窮大——定位無解，只能直走護欄；開環臂不量測，走固定名義點。三臂各 30 回合、同種子配對。</w:t>
      </w:r>
    </w:p>
    <w:p>
      <w:pPr>
        <w:pStyle w:val="Content"/>
      </w:pPr>
      <w:r>
        <w:t>D2 結果：四項預設判準全過。聲學臂定位：縱向 r＝0.979（RMSE 1.2 cm），側向 r＝0.950（RMSE 3.3 cm）——側向確由單軸測距經演算法恢復。二維停止誤差（平面距離相對預定停止距離的偏差）RMSE 1.9 cm，30/30 聲學觸發；盲走二維停止 RMSE 15.0 cm（Welch t＝−12.1、p＜0.001），開環 5.5 cm；90 回合（含側向移動步）姿態與位姿零違規。因果鏈因此閉合：第四章證明原生輸出無側向（負結果），本節證明運動合成可恢復並驅動二維閉環（正結果）——負結果界定問題，正結果回答問題，同一硬體限制下互為因果。圖 5.3 顯示聲學臂多點估計與真值之對應，以及三臂二維停止誤差分布。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21625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3_d2_multilatera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62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 5.3  二維定位：估出的平面位置與真實位置（左），三組對照臂的平面停止誤差（右）</w:t>
      </w:r>
    </w:p>
    <w:p>
      <w:pPr>
        <w:pStyle w:val="Content"/>
        <w:jc w:val="center"/>
      </w:pPr>
      <w:r>
        <w:t>表 5.3  二維定位與平面停止誤差（三組對照臂）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30"/>
        <w:gridCol w:w="1730"/>
        <w:gridCol w:w="1730"/>
        <w:gridCol w:w="1730"/>
        <w:gridCol w:w="1730"/>
      </w:tblGrid>
      <w:tr>
        <w:trPr>
          <w:tblHeader/>
        </w:trPr>
        <w:tc>
          <w:tcPr>
            <w:tcW w:type="dxa" w:w="1730"/>
          </w:tcPr>
          <w:p>
            <w:r>
              <w:t>對照臂</w:t>
            </w:r>
          </w:p>
        </w:tc>
        <w:tc>
          <w:tcPr>
            <w:tcW w:type="dxa" w:w="1730"/>
          </w:tcPr>
          <w:p>
            <w:r>
              <w:t>左右位置：估計與真值的相關係數</w:t>
            </w:r>
          </w:p>
        </w:tc>
        <w:tc>
          <w:tcPr>
            <w:tcW w:type="dxa" w:w="1730"/>
          </w:tcPr>
          <w:p>
            <w:r>
              <w:t>平面停止誤差（均方根，公分）</w:t>
            </w:r>
          </w:p>
        </w:tc>
        <w:tc>
          <w:tcPr>
            <w:tcW w:type="dxa" w:w="1730"/>
          </w:tcPr>
          <w:p>
            <w:r>
              <w:t>如何停下</w:t>
            </w:r>
          </w:p>
        </w:tc>
        <w:tc>
          <w:tcPr>
            <w:tcW w:type="dxa" w:w="1730"/>
          </w:tcPr>
          <w:p>
            <w:r>
              <w:t>無效回合</w:t>
            </w:r>
          </w:p>
        </w:tc>
      </w:tr>
      <w:tr>
        <w:tc>
          <w:tcPr>
            <w:tcW w:type="dxa" w:w="1730"/>
          </w:tcPr>
          <w:p>
            <w:r>
              <w:t>聲學臂</w:t>
            </w:r>
          </w:p>
        </w:tc>
        <w:tc>
          <w:tcPr>
            <w:tcW w:type="dxa" w:w="1730"/>
          </w:tcPr>
          <w:p>
            <w:r>
              <w:t>0.950（均方根誤差 3.3 公分）</w:t>
            </w:r>
          </w:p>
        </w:tc>
        <w:tc>
          <w:tcPr>
            <w:tcW w:type="dxa" w:w="1730"/>
          </w:tcPr>
          <w:p>
            <w:r>
              <w:t>1.9</w:t>
            </w:r>
          </w:p>
        </w:tc>
        <w:tc>
          <w:tcPr>
            <w:tcW w:type="dxa" w:w="1730"/>
          </w:tcPr>
          <w:p>
            <w:r>
              <w:t>30/30 聲學條件觸發</w:t>
            </w:r>
          </w:p>
        </w:tc>
        <w:tc>
          <w:tcPr>
            <w:tcW w:type="dxa" w:w="1730"/>
          </w:tcPr>
          <w:p>
            <w:r>
              <w:t>0</w:t>
            </w:r>
          </w:p>
        </w:tc>
      </w:tr>
      <w:tr>
        <w:tc>
          <w:tcPr>
            <w:tcW w:type="dxa" w:w="1730"/>
          </w:tcPr>
          <w:p>
            <w:r>
              <w:t>盲走臂</w:t>
            </w:r>
          </w:p>
        </w:tc>
        <w:tc>
          <w:tcPr>
            <w:tcW w:type="dxa" w:w="1730"/>
          </w:tcPr>
          <w:p>
            <w:r>
              <w:t>—（估距被拿掉，定位無解）</w:t>
            </w:r>
          </w:p>
        </w:tc>
        <w:tc>
          <w:tcPr>
            <w:tcW w:type="dxa" w:w="1730"/>
          </w:tcPr>
          <w:p>
            <w:r>
              <w:t>15.0</w:t>
            </w:r>
          </w:p>
        </w:tc>
        <w:tc>
          <w:tcPr>
            <w:tcW w:type="dxa" w:w="1730"/>
          </w:tcPr>
          <w:p>
            <w:r>
              <w:t>30/30 撞走廊護欄</w:t>
            </w:r>
          </w:p>
        </w:tc>
        <w:tc>
          <w:tcPr>
            <w:tcW w:type="dxa" w:w="1730"/>
          </w:tcPr>
          <w:p>
            <w:r>
              <w:t>0</w:t>
            </w:r>
          </w:p>
        </w:tc>
      </w:tr>
      <w:tr>
        <w:tc>
          <w:tcPr>
            <w:tcW w:type="dxa" w:w="1730"/>
          </w:tcPr>
          <w:p>
            <w:r>
              <w:t>開環臂</w:t>
            </w:r>
          </w:p>
        </w:tc>
        <w:tc>
          <w:tcPr>
            <w:tcW w:type="dxa" w:w="1730"/>
          </w:tcPr>
          <w:p>
            <w:r>
              <w:t>—（不量測）</w:t>
            </w:r>
          </w:p>
        </w:tc>
        <w:tc>
          <w:tcPr>
            <w:tcW w:type="dxa" w:w="1730"/>
          </w:tcPr>
          <w:p>
            <w:r>
              <w:t>5.5</w:t>
            </w:r>
          </w:p>
        </w:tc>
        <w:tc>
          <w:tcPr>
            <w:tcW w:type="dxa" w:w="1730"/>
          </w:tcPr>
          <w:p>
            <w:r>
              <w:t>固定停點</w:t>
            </w:r>
          </w:p>
        </w:tc>
        <w:tc>
          <w:tcPr>
            <w:tcW w:type="dxa" w:w="1730"/>
          </w:tcPr>
          <w:p>
            <w:r>
              <w:t>0</w:t>
            </w:r>
          </w:p>
        </w:tc>
      </w:tr>
    </w:tbl>
    <w:p/>
    <w:p>
      <w:pPr>
        <w:pStyle w:val="Header2"/>
      </w:pPr>
      <w:r>
        <w:t>5.5 盲走臂與開環臂的角色</w:t>
      </w:r>
    </w:p>
    <w:p>
      <w:pPr>
        <w:pStyle w:val="Content"/>
      </w:pPr>
      <w:r>
        <w:t>三臂裡的盲走與開環對照都不能省（定義見 3.3 節）。盲走檢驗的是：拿掉估距後同一管線是否失能（Meyes 等 [11]）。若盲走也成功，聲學臂的成功就可能只是幾何巧合或量測節奏副作用；各閉環實驗中盲走失能，才把因果鎖在聲學資訊上。</w:t>
      </w:r>
    </w:p>
    <w:p>
      <w:pPr>
        <w:pStyle w:val="Content"/>
      </w:pPr>
      <w:r>
        <w:t>開環是完全不量測的固定行程基準線。D1.5 目標帶寬僅約 0.30 m 時，開環 RMSE 7.8 cm、73% 回合誤差≤10 cm，看起來不差；但它只能停在一個固定點，無法逐回合追蹤隨機目標（r＝0）。聲學臂的優勢因此不在「誤差略小」而已，而在相關性與消融結構：只有聲學臂對每個隨機目標做出對應停止（表 5.1；方法含義見 6.1 節）。</w:t>
      </w:r>
    </w:p>
    <w:p>
      <w:pPr>
        <w:pStyle w:val="Header1"/>
      </w:pPr>
      <w:r>
        <w:t>第六章、討論、限制與結論</w:t>
      </w:r>
    </w:p>
    <w:p>
      <w:pPr>
        <w:pStyle w:val="Header2"/>
      </w:pPr>
      <w:r>
        <w:t>6.1 實驗效度設計之討論</w:t>
      </w:r>
    </w:p>
    <w:p>
      <w:pPr>
        <w:pStyle w:val="Content"/>
      </w:pPr>
      <w:r>
        <w:t>閉環評估為何必須用三臂與相關性、而不能只報告到達率，可由 D1.5 開環臂直接說明（完整數字見表 5.1，此處只取方法含義）。開環臂完全不量測、只走固定行程；在窄走廊下仍可得到不低的「誤差≤10 cm」到達率，但停止位置與目標的相關近乎為零——它並未逐回合追蹤目標。若只以到達率當主指標，會把走廊寬度與固定停點撐出的表面分數，誤認成感測回授能力。</w:t>
      </w:r>
    </w:p>
    <w:p>
      <w:pPr>
        <w:pStyle w:val="Content"/>
      </w:pPr>
      <w:r>
        <w:t>要判斷接近是否真由聲學驅動，至少同時看兩件事：停止位置是否隨目標移動（相關性／RMSE），以及盲走消融是否失能（三臂定義見 3.3 節）。以相關性與誤差為主、到達率為輔（預註冊見 Nosek 等 [5]；消融見 Meyes 等 [11]），是閉環宣稱能否成立的方法主幹。同一框架也可推廣到其他模擬感測回授研究，用以區分「真被感測驅動」與「幾何寬度撐出表面分數」。配對統計之處理方式見 5.3 節統計補充：主檢定維持預註冊之 Welch／Fisher，另報成對置換與 McNemar 作為敏感度佐證，不改變原裁定。</w:t>
      </w:r>
    </w:p>
    <w:p>
      <w:pPr>
        <w:pStyle w:val="Header2"/>
      </w:pPr>
      <w:r>
        <w:t>6.2 推論範圍（可支持與不支持的結論）</w:t>
      </w:r>
    </w:p>
    <w:p>
      <w:pPr>
        <w:pStyle w:val="Content"/>
      </w:pPr>
      <w:r>
        <w:t>本節只收回第五章已報結果的解讀邊界；數值細節以第四、五章表格與圖為準。在本文實驗設計下，可支持的結論包括：（一）不讀目標真值的純聲學閉環，可在模擬內驅動 UR10e 接近隨機桌面目標，且盲走失能支持「功勞歸聲學資訊」的歸因（5.1–5.2；主結果 r＝0.9856）。（二）任務鏈可延伸至聲學對位與接觸觸發附著升舉；正典複驗對位 80% 對盲走 33%，但升舉機制不是摩擦夾持（5.3）。（三）選定格點之感測包絡與距離編碼可系統量測，並作為任務設計輸入（第四章）。（四）單次輸出之左右線索在本配置下未成立；手臂多視點測距可恢復二維定位並通過三臂（4.3、5.4）。（五）腕載聲影、頻率參數無效等失效有實證歸因；三臂＋預註冊＋稽核可作方法骨架推廣。</w:t>
      </w:r>
    </w:p>
    <w:p>
      <w:pPr>
        <w:pStyle w:val="Content"/>
      </w:pPr>
      <w:r>
        <w:t>相對地，本研究的推論不及於：（一）實體夾爪的摩擦保真與部署級夾持；（二）單次量測本身含左右方向（5.4 為多次量測合成）；（三）實機或工廠現場效能；（四）約 0.32 m 以內桌高目標上的聲學閉環（該區距離編碼失效，夾取採一次推算）；（五）跨隨機種子與跨場景的統計穩健性（單 seed、確定性引擎）；（六）二維定位後再夾取的完整鏈——側向誤差仍大於夾取物理容差（5.4、6.3）。</w:t>
      </w:r>
    </w:p>
    <w:p>
      <w:pPr>
        <w:pStyle w:val="Header2"/>
      </w:pPr>
      <w:r>
        <w:t>6.3 未來工作</w:t>
      </w:r>
    </w:p>
    <w:p>
      <w:pPr>
        <w:pStyle w:val="Content"/>
      </w:pPr>
      <w:r>
        <w:t>主線完成後的自然延伸如下；皆應在新預註冊或實機協定下進行，而非事後放寬本文判準。</w:t>
      </w:r>
    </w:p>
    <w:p>
      <w:pPr>
        <w:pStyle w:val="Content"/>
      </w:pPr>
      <w:r>
        <w:t>夾持與對位容差。聲學對位已驗證；首輪遠端 IK 可達性問題亦已由縮走廊複驗修正（5.3 節正典）。仍待補完者：其一，在更新版模擬器或實體夾爪上重驗摩擦夾持；其二，對位成功但仍有約二成因誤差落在 ±2 cm 統計容差與約 ±1.5 cm 物理捕捉窗縫隙而未能咬合，可收緊容差或加寬指墊捕捉窗——須在新預註冊下重跑，而非事後改舊判準。</w:t>
      </w:r>
    </w:p>
    <w:p>
      <w:pPr>
        <w:pStyle w:val="Content"/>
      </w:pPr>
      <w:r>
        <w:t>二維夾取與動態目標。D2 已完成二維定位與閉環接近，但側向誤差 3.3 cm 仍大於夾取容差，故「定位後再夾取」需先壓低側向誤差。可能方向：增加視點、加大基線、或融合完整波形的學習模型（任何路線都應重新預註冊閘門，而非放寬舊門檻）。動態目標可把接近路徑本身當連續視點，以滑動窗口對最近數步距離做圓交會、邊走邊更新；此為純演算法升級，對照仍建議沿用三臂框架。</w:t>
      </w:r>
    </w:p>
    <w:p>
      <w:pPr>
        <w:pStyle w:val="Content"/>
      </w:pPr>
      <w:r>
        <w:t>學習型控制與狀態估計。現行控制器是規則式固定步長前進，優點是透明、可歸因；不一定是最有效率或最泛化的策略。Isaac Lab[31]與大規模並行訓練方法（Rudin 等 [18]）及 PPO（Schulman 等 [3]）提供未來換學習控制器的基礎設施；換上之後仍須用本文三臂與稽核框架檢驗，避免策略學到場景捷徑而非使用聲學資訊。此外，各實驗已留存逐步波形與位姿（數百回合），可直接作監督式狀態估計（如回歸位姿、偵測目標是否存在）的訓練資料，無需額外模擬成本即可展開。</w:t>
      </w:r>
    </w:p>
    <w:p>
      <w:pPr>
        <w:pStyle w:val="Content"/>
      </w:pPr>
      <w:r>
        <w:t>實機對應。後續可規劃對應 TDK CH201 等商用超音波測距等級的任務級驗證協定，檢驗包絡地圖與三臂對照結論在真實聲學、真實硬體與真實手臂動力學下能否轉移。重點是任務級指標與效度框架能否成立，而不是先追求波形與模擬逐點相同。</w:t>
      </w:r>
    </w:p>
    <w:p>
      <w:pPr>
        <w:pStyle w:val="Header2"/>
      </w:pPr>
      <w:r>
        <w:t>6.4 研究結論</w:t>
      </w:r>
    </w:p>
    <w:p>
      <w:pPr>
        <w:pStyle w:val="Content"/>
      </w:pPr>
      <w:r>
        <w:t>本章總結第一章四項研究問題的答案，並收束全文貢獻與適用範圍。</w:t>
      </w:r>
    </w:p>
    <w:p>
      <w:pPr>
        <w:pStyle w:val="Content"/>
      </w:pPr>
      <w:r>
        <w:t>RQ1（感測包絡）。在選定的五十二格配對移除掃描中，三十六格可偵測；主宰因子是感測器指向（俯仰），而非後方手臂干擾。包絡結果直接約束後續任務擺位，使閉環建立在「讀得到」的幾何上。</w:t>
      </w:r>
    </w:p>
    <w:p>
      <w:pPr>
        <w:pStyle w:val="Content"/>
      </w:pPr>
      <w:r>
        <w:t>RQ2（聲學閉環）。未掛臂 D1 與腕載 D1.5 均顯示：不讀目標真值時，純聲學控制可驅動接近；主結果停止位置與目標 r＝0.9856、RMSE 2.8 cm，盲走同管線失能。故接近行為可歸因於聲學資訊，而非場景走廊寬度本身。</w:t>
      </w:r>
    </w:p>
    <w:p>
      <w:pPr>
        <w:pStyle w:val="Content"/>
      </w:pPr>
      <w:r>
        <w:t>RQ3（實驗效度）。三臂資訊消融、預註冊判準與姿態／感測器位姿稽核共同排除「幾何假成功」與「隱含真值」：開環可有表面到達率但相關為零；盲走失能鎖住資訊因果；判準失敗則如實記錄並改設計重跑（D3 為範例）。</w:t>
      </w:r>
    </w:p>
    <w:p>
      <w:pPr>
        <w:pStyle w:val="Content"/>
      </w:pPr>
      <w:r>
        <w:t>RQ4（範圍邊界）。D3 證明聲學可支撐夾取對位，且正典複驗四項判準全過；但升舉為接觸觸發附著，推論不及物理摩擦夾持。D2 在單次輸出無左右線索經四項證偽後，以手臂五視點多點定位恢復側向（r≈0.950），並完成二維閉環；惟側向誤差仍大於夾取物理容差，故二維再夾取不在本文宣稱內。</w:t>
      </w:r>
    </w:p>
    <w:p>
      <w:pPr>
        <w:pStyle w:val="Content"/>
      </w:pPr>
      <w:r>
        <w:t>總結。本文的貢獻不在新物理模型或新交會公式，而在 Isaac Sim 6.0 RTX Acoustic／WPM 配置下，建立包絡優先、配對移除、三臂消融與預註冊稽核的可重跑驗證鏈，使 UR10e 模擬內超聲回授接近與對位的因果可被檢查、失敗可被歸因。適用範圍限於單一種子、確定性引擎與任務級模擬結論；跨種子、實機與摩擦夾持屬後續工作。</w:t>
      </w:r>
    </w:p>
    <w:p w:rsidR="00B525F4" w:rsidRDefault="005D1104">
      <w:pPr>
        <w:pStyle w:val="Header1"/>
        <w:ind w:firstLine="801"/>
      </w:pPr>
      <w:bookmarkStart w:id="48" w:name="_Toc233856761"/>
      <w:r>
        <w:lastRenderedPageBreak/>
        <w:t>參考文獻</w:t>
      </w:r>
      <w:bookmarkEnd w:id="48"/>
    </w:p>
    <w:p w:rsidR="00B525F4" w:rsidRDefault="005D1104">
      <w:pPr>
        <w:pStyle w:val="Content"/>
      </w:pPr>
      <w:r>
        <w:t>[1] Hayes, M. P., &amp; Gough, P. T. (2009). Synthetic aperture sonar: A review of current status. IEEE Journal of Oceanic Engineering, 34(3), 207–224.</w:t>
        <w:br/>
        <w:br/>
        <w:t>[2] Kapoor, R., Ramasamy, S., Gardi, A., Bieber, C., Silverberg, L., &amp; Sabatini, R. (2016). A novel 3D multilateration sensor using distributed ultrasonic beacons for indoor navigation. Sensors, 16(10), 1637. https://doi.org/10.3390/s16101637</w:t>
        <w:br/>
        <w:br/>
        <w:t>[3] Schulman, J., Wolski, F., Dhariwal, P., Radford, A., &amp; Klimov, O. (2017). Proximal policy optimization algorithms. arXiv:1707.06347. https://doi.org/10.48550/arXiv.1707.06347</w:t>
        <w:br/>
        <w:br/>
        <w:t>[4] Valin, J.-M., Michaud, F., &amp; Rouat, J. (2017). Localization of sound sources in robotics: A review. Robotics and Autonomous Systems, 96, 184–210. https://doi.org/10.1016/j.robot.2017.07.011</w:t>
        <w:br/>
        <w:br/>
        <w:t>[5] Nosek, B. A., Ebersole, C. R., DeHaven, A. C., &amp; Mellor, D. T. (2018). The preregistration revolution. Proceedings of the National Academy of Sciences, 115(11), 2600–2606. https://doi.org/10.1073/pnas.1708274114</w:t>
        <w:br/>
        <w:br/>
        <w:t>[6] Scheibler, R., Bevilacqua, E., Holighaus, N., &amp; Dokmanić, I. (2018). PyRoomAcoustics: A Python package for audio room simulation and array processing algorithms. In ICASSP 2018 (pp. 351–355). https://doi.org/10.1109/ICASSP.2018.8461829</w:t>
        <w:br/>
        <w:br/>
        <w:t>[7] Zhmud, V., Yadykin, A., &amp; Reznikov, B. (2018). Application of ultrasonic sensor for measuring distances in robotics. Journal of Physics: Conference Series, 1015(3), 032189. https://doi.org/10.1088/1742-6596/1015/3/032189</w:t>
        <w:br/>
        <w:br/>
        <w:t>[8] Brinkmann, F., Lindau, A., Weinzierl, S., Geier, M., Spors, S., Wierstorf, H., … Assenmacher, I. (2019). A round robin on room acoustical simulation and auralization. The Journal of the Acoustical Society of America, 145(4), 2744–2760. https://doi.org/10.1121/1.5096178</w:t>
        <w:br/>
        <w:br/>
        <w:t>[9] He, Y., Liang, B., Zou, Y., He, J., &amp; Yang, J. (2019). Recent advances in 3D data acquisition and processing by time-of-flight camera. IEEE Access, 7, 174406–174420. https://doi.org/10.1109/ACCESS.2019.2891693</w:t>
        <w:br/>
        <w:br/>
        <w:t>[10] Kerstens, R., Laurijssen, D., &amp; Steckel, J. (2019). eRTIS: A fully embedded real time 3D imaging sonar sensor for robotic applications. In 2019 International Conference on Robotics and Automation (ICRA) (pp. 1438–1443). IEEE.</w:t>
        <w:br/>
        <w:br/>
        <w:t>[11] Meyes, R., Lu, M., de Puiseau, C. W., &amp; Meisen, T. (2019). Ablation studies in artificial neural networks. arXiv:1901.08644. https://doi.org/10.48550/arXiv.1901.08644</w:t>
        <w:br/>
        <w:br/>
        <w:t>[12] Robotiq. (2019). 2F-85 &amp; 2F-140 instruction manual (e-Series). https://assets.robotiq.com/website-assets/support_documents/document/2F-85_2F-140_Instruction_Manual_e-Series_PDF_20190206.pdf</w:t>
        <w:br/>
        <w:br/>
        <w:t>[13] Alatise, M. B., &amp; Hancke, G. P. (2020). A review on challenges of autonomous mobile robot and sensor fusion methods. IEEE Access, 8, 39830–39846. https://doi.org/10.1109/ACCESS.2020.2975643</w:t>
        <w:br/>
        <w:br/>
        <w:t>[14] Liu, M., Wang, Y., &amp; Zhao, Q. (2020). Indoor acoustic localization: A survey. Human-centric Computing and Information Sciences, 10, 5. https://doi.org/10.1186/s13673-019-0207-4</w:t>
        <w:br/>
        <w:br/>
        <w:t>[15] dEchorate Team. (2021). dEchorate: A calibrated room impulse response dataset for echo-aware signal processing. EURASIP Journal on Audio, Speech, and Music Processing, 2021, 7. https://doi.org/10.1186/s13636-021-00229-0</w:t>
        <w:br/>
        <w:br/>
        <w:t>[16] Höfer, S., Bekris, K., Handa, A., Gamboa, J. C., Mozifian, M., Golemo, F., … Fox, D. (2021). Sim2Real in robotics and automation: Applications and challenges. IEEE Transactions on Automation Science and Engineering, 18(2), 398–400. https://doi.org/10.1109/TASE.2021.3064065</w:t>
        <w:br/>
        <w:br/>
        <w:t>[17] Dümbgen, F., Wieser, A., &amp; Wieser, A. (2022). Blind as a bat: Audible echolocation on small robots. IEEE Robotics and Automation Letters, 7(4), 9274–9281. https://doi.org/10.1109/LRA.2022.3194669</w:t>
        <w:br/>
        <w:br/>
        <w:t>[18] Rudin, N., Hoeller, D., Reist, P., &amp; Hutter, M. (2022). Learning to walk in minutes using massively parallel deep reinforcement learning. In Proceedings of the 6th Conference on Robot Learning (pp. 604–623).</w:t>
        <w:br/>
        <w:br/>
        <w:t>[19] Tsuchiya, A., Kagami, H., &amp; Kagami, H. (2022). Indoor self-localization using multipath arrival time of sound. Japanese Journal of Applied Physics, 61(SG), SG1005. https://doi.org/10.35848/1347-4065/ac506c</w:t>
        <w:br/>
        <w:br/>
        <w:t>[20] Mittal, M., Yu, C., Yu, C., Tang, J., Bo, A., Zhu, J., … Hutter, M. (2023). Orbit: A unified simulation framework for interactive robot learning environments. IEEE Robotics and Automation Letters, 8(6), 3740–3747. https://doi.org/10.1109/LRA.2023.3270034</w:t>
        <w:br/>
        <w:br/>
        <w:t>[21] Universal Robots. (2023). UR10e product factsheet. https://www.universal-robots.com/media/1828411/ur-product-factsheets-ur10e-06_2023-en-version-5-1-4-3.pdf</w:t>
        <w:br/>
        <w:br/>
        <w:t>[22] Xu, X., Lu, Y., Vogel-Heuser, B., &amp; Wang, L. (2024). Collaborative robotics, digital twins, human–machine interfaces and AI in smart manufacturing: A review. Robotics and Computer-Integrated Manufacturing, 89, 102769. https://doi.org/10.1016/j.rcim.2024.102769</w:t>
        <w:br/>
        <w:br/>
        <w:t>[23] Zhou, Z., Chen, X., Li, Y., &amp; Wang, Y. (2024). Towards building AI-CPS with NVIDIA Isaac Sim for industrial manipulation. In Proceedings of the 2024 ACM/IEEE International Conference on Model-Driven Engineering Software and Systems (MSEC) (pp. 1–8). https://doi.org/10.1145/3639477.3639740</w:t>
        <w:br/>
        <w:br/>
        <w:t>[24] GRADE Authors. (2025). Generating realistic and dynamic environments for robotics research with Isaac Sim. The International Journal of Robotics Research. https://doi.org/10.1177/02783649251346211</w:t>
        <w:br/>
        <w:br/>
        <w:t>[25] Salimpour, S., Peña-Queralta, J., &amp; Páez-Granados, D. (2025). Sim-to-real transfer of reinforcement learning policies from Isaac Sim to Gazebo and ROS 2. arXiv:2501.02902. https://doi.org/10.48550/arxiv.2501.02902</w:t>
        <w:br/>
        <w:br/>
        <w:t>[26] Song, J., Zhang, Y., Li, H., &amp; Chen, X. (2025). OceanSim: Underwater robot simulation with Isaac Sim. In 2025 IEEE/RSJ International Conference on Intelligent Robots and Systems (IROS) (pp. 1–8). https://doi.org/10.1109/iros60139.2025.11246878</w:t>
        <w:br/>
        <w:br/>
        <w:t>[27] Gao, S., Pagnucco, M., Bednarz, T., &amp; Song, Y. (2026). NVIDIA Isaac Sim: Enabling scalable, GPU-accelerated simulation for robotics. arXiv:2606.03551. https://doi.org/10.48550/arxiv.2606.03551</w:t>
        <w:br/>
        <w:br/>
        <w:t>[28] NVIDIA. (2026a). RTX acoustic sensor. Isaac Sim Documentation. https://docs.isaacsim.omniverse.nvidia.com/latest/sensors/isaacsim_sensors_rtx_acoustic.html</w:t>
        <w:br/>
        <w:br/>
        <w:t>[29] NVIDIA. (2026b). RTX annotators and generic model output. Isaac Sim Documentation. https://docs.isaacsim.omniverse.nvidia.com/6.0.0/sensors/isaacsim_sensors_rtx_annotators.html</w:t>
        <w:br/>
        <w:br/>
        <w:t>[30] NVIDIA. (2026c). RTX sensors overview. Isaac Sim Documentation. https://docs.isaacsim.omniverse.nvidia.com/latest/sensors/isaacsim_sensors_rtx.html</w:t>
        <w:br/>
        <w:br/>
        <w:t>[31] NVIDIA. (2026d). Isaac Lab documentation (v3.0.0-beta2). https://isaac-sim.github.io/IsaacLab/</w:t>
        <w:br/>
        <w:br/>
        <w:t>[32] NVIDIA. (2026e). Isaac Sim documentation. https://docs.isaacsim.omniverse.nvidia.com/latest/index.html</w:t>
      </w:r>
    </w:p>
    <w:sectPr w:rsidR="00B525F4">
      <w:pgSz w:w="11906" w:h="16838"/>
      <w:pgMar w:top="1814" w:right="1440" w:bottom="1814" w:left="181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3681" w:rsidRDefault="003B3681">
      <w:r>
        <w:separator/>
      </w:r>
    </w:p>
  </w:endnote>
  <w:endnote w:type="continuationSeparator" w:id="0">
    <w:p w:rsidR="003B3681" w:rsidRDefault="003B3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C2B" w:rsidRDefault="00086C2B" w:rsidP="00135FA6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086C2B" w:rsidRDefault="00086C2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C2B" w:rsidRPr="00290267" w:rsidRDefault="00086C2B" w:rsidP="00135FA6">
    <w:pPr>
      <w:pStyle w:val="a9"/>
      <w:framePr w:w="538" w:wrap="around" w:vAnchor="text" w:hAnchor="page" w:x="5578" w:y="4"/>
      <w:jc w:val="center"/>
      <w:rPr>
        <w:rStyle w:val="aa"/>
      </w:rPr>
    </w:pPr>
    <w:r w:rsidRPr="00290267">
      <w:rPr>
        <w:rStyle w:val="aa"/>
      </w:rPr>
      <w:fldChar w:fldCharType="begin"/>
    </w:r>
    <w:r w:rsidRPr="00290267">
      <w:rPr>
        <w:rStyle w:val="aa"/>
      </w:rPr>
      <w:instrText xml:space="preserve">PAGE  </w:instrText>
    </w:r>
    <w:r w:rsidRPr="00290267">
      <w:rPr>
        <w:rStyle w:val="aa"/>
      </w:rPr>
      <w:fldChar w:fldCharType="separate"/>
    </w:r>
    <w:r w:rsidR="00372554">
      <w:rPr>
        <w:rStyle w:val="aa"/>
        <w:noProof/>
      </w:rPr>
      <w:t>25</w:t>
    </w:r>
    <w:r w:rsidRPr="00290267">
      <w:rPr>
        <w:rStyle w:val="aa"/>
      </w:rPr>
      <w:fldChar w:fldCharType="end"/>
    </w:r>
  </w:p>
  <w:p w:rsidR="00086C2B" w:rsidRPr="009E3A35" w:rsidRDefault="00086C2B" w:rsidP="00135FA6">
    <w:pPr>
      <w:pStyle w:val="a9"/>
      <w:wordWrap w:val="0"/>
      <w:jc w:val="right"/>
      <w:rPr>
        <w:rFonts w:eastAsia="標楷體"/>
        <w:sz w:val="18"/>
        <w:szCs w:val="18"/>
      </w:rPr>
    </w:pPr>
    <w:r w:rsidRPr="009E3A35">
      <w:rPr>
        <w:rFonts w:eastAsia="標楷體" w:hint="eastAsia"/>
        <w:sz w:val="18"/>
        <w:szCs w:val="18"/>
      </w:rPr>
      <w:t>逢甲大學</w:t>
    </w:r>
    <w:r w:rsidRPr="009E3A35">
      <w:rPr>
        <w:rFonts w:eastAsia="標楷體"/>
        <w:sz w:val="18"/>
        <w:szCs w:val="18"/>
      </w:rPr>
      <w:t>e-</w:t>
    </w:r>
    <w:r w:rsidRPr="009E3A35">
      <w:rPr>
        <w:rStyle w:val="af1"/>
        <w:b w:val="0"/>
        <w:color w:val="000000"/>
        <w:sz w:val="18"/>
        <w:szCs w:val="18"/>
      </w:rPr>
      <w:t>Theses &amp; Dissertations</w:t>
    </w:r>
    <w:r w:rsidRPr="009E3A35">
      <w:rPr>
        <w:rFonts w:eastAsia="標楷體" w:hint="eastAsia"/>
        <w:sz w:val="18"/>
        <w:szCs w:val="18"/>
      </w:rPr>
      <w:t>（</w:t>
    </w:r>
    <w:r w:rsidRPr="00A335A1">
      <w:rPr>
        <w:rFonts w:eastAsia="標楷體" w:hint="eastAsia"/>
        <w:color w:val="0000FF"/>
        <w:sz w:val="18"/>
        <w:szCs w:val="18"/>
      </w:rPr>
      <w:t>114</w:t>
    </w:r>
    <w:r w:rsidRPr="009E3A35">
      <w:rPr>
        <w:rFonts w:eastAsia="標楷體" w:hint="eastAsia"/>
        <w:sz w:val="18"/>
        <w:szCs w:val="18"/>
      </w:rPr>
      <w:t>學年度）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1EC9" w:rsidRDefault="006B1EC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3681" w:rsidRDefault="003B3681">
      <w:r>
        <w:separator/>
      </w:r>
    </w:p>
  </w:footnote>
  <w:footnote w:type="continuationSeparator" w:id="0">
    <w:p w:rsidR="003B3681" w:rsidRDefault="003B3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437" w:rsidRDefault="00372554">
    <w:pPr>
      <w:pStyle w:val="ac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2626" o:spid="_x0000_s2062" type="#_x0000_t75" style="position:absolute;margin-left:0;margin-top:0;width:118.8pt;height:118.8pt;z-index:-251656192;mso-position-horizontal:center;mso-position-horizontal-relative:margin;mso-position-vertical:center;mso-position-vertical-relative:margin" o:allowincell="f">
          <v:imagedata r:id="rId1" o:title="fcu_watermark_rev103121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C2B" w:rsidRPr="001D073D" w:rsidRDefault="006D228E" w:rsidP="00135FA6">
    <w:pPr>
      <w:spacing w:line="360" w:lineRule="auto"/>
      <w:rPr>
        <w:rFonts w:eastAsia="標楷體"/>
        <w:color w:val="3333FF"/>
        <w:sz w:val="18"/>
        <w:szCs w:val="18"/>
      </w:rPr>
    </w:pPr>
    <w:r>
      <w:t xml:space="preserve">RTX Acoustic Sensor </w:t>
    </w:r>
    <w:r>
      <w:t>閉迴路接近控制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437" w:rsidRDefault="00372554">
    <w:pPr>
      <w:pStyle w:val="ac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2625" o:spid="_x0000_s2061" type="#_x0000_t75" style="position:absolute;margin-left:0;margin-top:0;width:118.8pt;height:118.8pt;z-index:-251657216;mso-position-horizontal:center;mso-position-horizontal-relative:margin;mso-position-vertical:center;mso-position-vertical-relative:margin" o:allowincell="f">
          <v:imagedata r:id="rId1" o:title="fcu_watermark_rev103121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D2F5D"/>
    <w:multiLevelType w:val="hybridMultilevel"/>
    <w:tmpl w:val="7CBEEAF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EF153B2"/>
    <w:multiLevelType w:val="hybridMultilevel"/>
    <w:tmpl w:val="4418B144"/>
    <w:lvl w:ilvl="0" w:tplc="1660D466">
      <w:start w:val="1"/>
      <w:numFmt w:val="decimal"/>
      <w:lvlText w:val="[%1]"/>
      <w:lvlJc w:val="left"/>
      <w:pPr>
        <w:ind w:left="480" w:hanging="48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B27477"/>
    <w:multiLevelType w:val="hybridMultilevel"/>
    <w:tmpl w:val="0248D172"/>
    <w:lvl w:ilvl="0" w:tplc="1456695A">
      <w:start w:val="1"/>
      <w:numFmt w:val="decimal"/>
      <w:suff w:val="space"/>
      <w:lvlText w:val="%1."/>
      <w:lvlJc w:val="left"/>
      <w:pPr>
        <w:ind w:left="523" w:hanging="28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98"/>
        </w:tabs>
        <w:ind w:left="119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78"/>
        </w:tabs>
        <w:ind w:left="167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8"/>
        </w:tabs>
        <w:ind w:left="215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38"/>
        </w:tabs>
        <w:ind w:left="263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18"/>
        </w:tabs>
        <w:ind w:left="311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8"/>
        </w:tabs>
        <w:ind w:left="359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78"/>
        </w:tabs>
        <w:ind w:left="407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8"/>
        </w:tabs>
        <w:ind w:left="4558" w:hanging="480"/>
      </w:pPr>
    </w:lvl>
  </w:abstractNum>
  <w:abstractNum w:abstractNumId="3" w15:restartNumberingAfterBreak="0">
    <w:nsid w:val="16487D81"/>
    <w:multiLevelType w:val="hybridMultilevel"/>
    <w:tmpl w:val="0BC4C92C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9DD4C18"/>
    <w:multiLevelType w:val="hybridMultilevel"/>
    <w:tmpl w:val="EA22CD28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F076A52"/>
    <w:multiLevelType w:val="hybridMultilevel"/>
    <w:tmpl w:val="187E070A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1935713"/>
    <w:multiLevelType w:val="hybridMultilevel"/>
    <w:tmpl w:val="7CF2C99C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1CA305A"/>
    <w:multiLevelType w:val="multilevel"/>
    <w:tmpl w:val="54D8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taiwaneseCountingThousand"/>
      <w:lvlText w:val="%2、"/>
      <w:lvlJc w:val="left"/>
      <w:pPr>
        <w:ind w:left="1530" w:hanging="450"/>
      </w:pPr>
      <w:rPr>
        <w:rFonts w:ascii="Arial" w:eastAsia="新細明體" w:hAnsi="Arial" w:hint="default"/>
        <w:b/>
      </w:rPr>
    </w:lvl>
    <w:lvl w:ilvl="2">
      <w:start w:val="1"/>
      <w:numFmt w:val="taiwaneseCountingThousand"/>
      <w:lvlText w:val="第%3節"/>
      <w:lvlJc w:val="left"/>
      <w:pPr>
        <w:ind w:left="3420" w:hanging="1620"/>
      </w:pPr>
      <w:rPr>
        <w:rFonts w:hint="default"/>
      </w:rPr>
    </w:lvl>
    <w:lvl w:ilvl="3">
      <w:start w:val="1"/>
      <w:numFmt w:val="taiwaneseCountingThousand"/>
      <w:lvlText w:val="(%4)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【%5】"/>
      <w:lvlJc w:val="left"/>
      <w:pPr>
        <w:ind w:left="3960" w:hanging="720"/>
      </w:pPr>
      <w:rPr>
        <w:rFonts w:hint="default"/>
        <w:color w:val="00000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BA0ECE"/>
    <w:multiLevelType w:val="hybridMultilevel"/>
    <w:tmpl w:val="395AA5CC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C580B47"/>
    <w:multiLevelType w:val="multilevel"/>
    <w:tmpl w:val="C0A63624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48"/>
        </w:tabs>
        <w:ind w:left="748" w:hanging="51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86"/>
        </w:tabs>
        <w:ind w:left="986" w:hanging="51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51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62"/>
        </w:tabs>
        <w:ind w:left="1462" w:hanging="51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700"/>
        </w:tabs>
        <w:ind w:left="1700" w:hanging="51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38"/>
        </w:tabs>
        <w:ind w:left="1938" w:hanging="51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76"/>
        </w:tabs>
        <w:ind w:left="2176" w:hanging="51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14"/>
        </w:tabs>
        <w:ind w:left="2414" w:hanging="510"/>
      </w:pPr>
      <w:rPr>
        <w:rFonts w:hint="eastAsia"/>
      </w:rPr>
    </w:lvl>
  </w:abstractNum>
  <w:abstractNum w:abstractNumId="10" w15:restartNumberingAfterBreak="0">
    <w:nsid w:val="54FE600C"/>
    <w:multiLevelType w:val="hybridMultilevel"/>
    <w:tmpl w:val="02E8F0BE"/>
    <w:lvl w:ilvl="0" w:tplc="141A791C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11" w15:restartNumberingAfterBreak="0">
    <w:nsid w:val="6BC813BF"/>
    <w:multiLevelType w:val="hybridMultilevel"/>
    <w:tmpl w:val="879CCFA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32C234C"/>
    <w:multiLevelType w:val="hybridMultilevel"/>
    <w:tmpl w:val="A2506842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BA67105"/>
    <w:multiLevelType w:val="multilevel"/>
    <w:tmpl w:val="C0A63624"/>
    <w:lvl w:ilvl="0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ascii="Times New Roman" w:eastAsia="標楷體" w:hAnsi="Times New Roman" w:hint="default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748"/>
        </w:tabs>
        <w:ind w:left="748" w:hanging="51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86"/>
        </w:tabs>
        <w:ind w:left="986" w:hanging="51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51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62"/>
        </w:tabs>
        <w:ind w:left="1462" w:hanging="51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700"/>
        </w:tabs>
        <w:ind w:left="1700" w:hanging="51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38"/>
        </w:tabs>
        <w:ind w:left="1938" w:hanging="51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76"/>
        </w:tabs>
        <w:ind w:left="2176" w:hanging="51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14"/>
        </w:tabs>
        <w:ind w:left="2414" w:hanging="510"/>
      </w:pPr>
      <w:rPr>
        <w:rFonts w:hint="eastAsia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9"/>
  </w:num>
  <w:num w:numId="5">
    <w:abstractNumId w:val="12"/>
  </w:num>
  <w:num w:numId="6">
    <w:abstractNumId w:val="8"/>
  </w:num>
  <w:num w:numId="7">
    <w:abstractNumId w:val="10"/>
  </w:num>
  <w:num w:numId="8">
    <w:abstractNumId w:val="13"/>
  </w:num>
  <w:num w:numId="9">
    <w:abstractNumId w:val="3"/>
  </w:num>
  <w:num w:numId="10">
    <w:abstractNumId w:val="11"/>
  </w:num>
  <w:num w:numId="11">
    <w:abstractNumId w:val="0"/>
  </w:num>
  <w:num w:numId="12">
    <w:abstractNumId w:val="4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124"/>
    <w:rsid w:val="00036D2E"/>
    <w:rsid w:val="00060A81"/>
    <w:rsid w:val="00065C96"/>
    <w:rsid w:val="00086C2B"/>
    <w:rsid w:val="000C08DE"/>
    <w:rsid w:val="000C3D37"/>
    <w:rsid w:val="000D1061"/>
    <w:rsid w:val="000F2BB0"/>
    <w:rsid w:val="00135FA6"/>
    <w:rsid w:val="00156AA4"/>
    <w:rsid w:val="001839C2"/>
    <w:rsid w:val="001C02AE"/>
    <w:rsid w:val="001E77EB"/>
    <w:rsid w:val="00215F28"/>
    <w:rsid w:val="00255684"/>
    <w:rsid w:val="00261077"/>
    <w:rsid w:val="002866A1"/>
    <w:rsid w:val="002C1ACB"/>
    <w:rsid w:val="002C1DF4"/>
    <w:rsid w:val="002E4442"/>
    <w:rsid w:val="002F2AC2"/>
    <w:rsid w:val="002F50F8"/>
    <w:rsid w:val="002F794F"/>
    <w:rsid w:val="00372554"/>
    <w:rsid w:val="003938F0"/>
    <w:rsid w:val="003B3681"/>
    <w:rsid w:val="003C11EF"/>
    <w:rsid w:val="003E592D"/>
    <w:rsid w:val="00407872"/>
    <w:rsid w:val="004511A8"/>
    <w:rsid w:val="00480239"/>
    <w:rsid w:val="00490437"/>
    <w:rsid w:val="004B245A"/>
    <w:rsid w:val="004D5D8A"/>
    <w:rsid w:val="00504B85"/>
    <w:rsid w:val="00556391"/>
    <w:rsid w:val="0058017A"/>
    <w:rsid w:val="005912B1"/>
    <w:rsid w:val="005D1104"/>
    <w:rsid w:val="0060725E"/>
    <w:rsid w:val="00613694"/>
    <w:rsid w:val="00696303"/>
    <w:rsid w:val="006A63BF"/>
    <w:rsid w:val="006B1EC9"/>
    <w:rsid w:val="006C3EF0"/>
    <w:rsid w:val="006D228E"/>
    <w:rsid w:val="007031E8"/>
    <w:rsid w:val="00707F35"/>
    <w:rsid w:val="00733FEB"/>
    <w:rsid w:val="00743B17"/>
    <w:rsid w:val="00751BA8"/>
    <w:rsid w:val="007626F8"/>
    <w:rsid w:val="0077308D"/>
    <w:rsid w:val="007866A1"/>
    <w:rsid w:val="00820CEF"/>
    <w:rsid w:val="00857D41"/>
    <w:rsid w:val="00867C10"/>
    <w:rsid w:val="008F30F6"/>
    <w:rsid w:val="0094150B"/>
    <w:rsid w:val="009A5463"/>
    <w:rsid w:val="009F50D7"/>
    <w:rsid w:val="00A23EDE"/>
    <w:rsid w:val="00A33B98"/>
    <w:rsid w:val="00A40700"/>
    <w:rsid w:val="00A74023"/>
    <w:rsid w:val="00AA6C66"/>
    <w:rsid w:val="00B22F4F"/>
    <w:rsid w:val="00B525F4"/>
    <w:rsid w:val="00B709CF"/>
    <w:rsid w:val="00B853C5"/>
    <w:rsid w:val="00B863DE"/>
    <w:rsid w:val="00B94124"/>
    <w:rsid w:val="00C4042E"/>
    <w:rsid w:val="00C56F7C"/>
    <w:rsid w:val="00C8013F"/>
    <w:rsid w:val="00C83FC5"/>
    <w:rsid w:val="00CD3446"/>
    <w:rsid w:val="00CE3DE7"/>
    <w:rsid w:val="00CF0C0C"/>
    <w:rsid w:val="00D141DE"/>
    <w:rsid w:val="00D56E7B"/>
    <w:rsid w:val="00D743EA"/>
    <w:rsid w:val="00D81502"/>
    <w:rsid w:val="00D837FF"/>
    <w:rsid w:val="00D92538"/>
    <w:rsid w:val="00D94E12"/>
    <w:rsid w:val="00DF5D19"/>
    <w:rsid w:val="00E25432"/>
    <w:rsid w:val="00E459AB"/>
    <w:rsid w:val="00E70D18"/>
    <w:rsid w:val="00E77A08"/>
    <w:rsid w:val="00E85BB0"/>
    <w:rsid w:val="00E94D11"/>
    <w:rsid w:val="00EB7952"/>
    <w:rsid w:val="00F5149E"/>
    <w:rsid w:val="00FE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3"/>
    <o:shapelayout v:ext="edit">
      <o:idmap v:ext="edit" data="1"/>
    </o:shapelayout>
  </w:shapeDefaults>
  <w:decimalSymbol w:val="."/>
  <w:listSeparator w:val=","/>
  <w15:chartTrackingRefBased/>
  <w15:docId w15:val="{03B6D55F-DE69-477F-A11F-23B9758B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eastAsia="標楷體"/>
      <w:b/>
      <w:iCs/>
      <w:sz w:val="36"/>
      <w:szCs w:val="24"/>
    </w:rPr>
  </w:style>
  <w:style w:type="paragraph" w:styleId="2">
    <w:name w:val="heading 2"/>
    <w:basedOn w:val="a"/>
    <w:next w:val="a0"/>
    <w:qFormat/>
    <w:pPr>
      <w:keepNext/>
      <w:widowControl/>
      <w:autoSpaceDE w:val="0"/>
      <w:autoSpaceDN w:val="0"/>
      <w:adjustRightInd w:val="0"/>
      <w:spacing w:line="720" w:lineRule="atLeast"/>
      <w:ind w:left="238"/>
      <w:jc w:val="center"/>
      <w:textAlignment w:val="bottom"/>
      <w:outlineLvl w:val="1"/>
    </w:pPr>
    <w:rPr>
      <w:rFonts w:eastAsia="細明體"/>
      <w:kern w:val="0"/>
      <w:sz w:val="48"/>
    </w:rPr>
  </w:style>
  <w:style w:type="paragraph" w:styleId="5">
    <w:name w:val="heading 5"/>
    <w:basedOn w:val="a"/>
    <w:next w:val="a"/>
    <w:qFormat/>
    <w:pPr>
      <w:keepNext/>
      <w:spacing w:line="720" w:lineRule="auto"/>
      <w:ind w:leftChars="200" w:left="200"/>
      <w:outlineLvl w:val="4"/>
    </w:pPr>
    <w:rPr>
      <w:rFonts w:eastAsia="標楷體"/>
      <w:bCs/>
      <w:szCs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  <w:bCs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Body Text Indent"/>
    <w:basedOn w:val="a"/>
    <w:pPr>
      <w:widowControl/>
      <w:autoSpaceDE w:val="0"/>
      <w:autoSpaceDN w:val="0"/>
      <w:adjustRightInd w:val="0"/>
      <w:spacing w:line="480" w:lineRule="atLeast"/>
      <w:ind w:right="-135" w:firstLine="180"/>
      <w:jc w:val="center"/>
      <w:textAlignment w:val="bottom"/>
    </w:pPr>
    <w:rPr>
      <w:rFonts w:ascii="標楷體" w:eastAsia="標楷體"/>
      <w:kern w:val="0"/>
      <w:sz w:val="48"/>
    </w:rPr>
  </w:style>
  <w:style w:type="paragraph" w:styleId="a5">
    <w:name w:val="Note Heading"/>
    <w:basedOn w:val="a"/>
    <w:next w:val="a"/>
    <w:pPr>
      <w:jc w:val="center"/>
    </w:pPr>
    <w:rPr>
      <w:rFonts w:eastAsia="標楷體"/>
      <w:color w:val="000000"/>
      <w:sz w:val="28"/>
    </w:rPr>
  </w:style>
  <w:style w:type="paragraph" w:customStyle="1" w:styleId="Header1">
    <w:name w:val="Header1"/>
    <w:basedOn w:val="a"/>
    <w:pPr>
      <w:spacing w:line="360" w:lineRule="auto"/>
      <w:ind w:firstLineChars="200" w:firstLine="560"/>
      <w:jc w:val="center"/>
      <w:outlineLvl w:val="0"/>
    </w:pPr>
    <w:rPr>
      <w:rFonts w:eastAsia="標楷體"/>
      <w:b/>
      <w:sz w:val="40"/>
    </w:rPr>
  </w:style>
  <w:style w:type="paragraph" w:customStyle="1" w:styleId="Content">
    <w:name w:val="Content"/>
    <w:basedOn w:val="a"/>
    <w:pPr>
      <w:spacing w:line="360" w:lineRule="auto"/>
      <w:ind w:firstLineChars="200" w:firstLine="560"/>
      <w:jc w:val="both"/>
    </w:pPr>
    <w:rPr>
      <w:rFonts w:eastAsia="標楷體"/>
      <w:color w:val="000000"/>
      <w:sz w:val="28"/>
    </w:rPr>
  </w:style>
  <w:style w:type="paragraph" w:customStyle="1" w:styleId="Header2">
    <w:name w:val="Header2"/>
    <w:basedOn w:val="Content"/>
    <w:pPr>
      <w:ind w:firstLineChars="0" w:firstLine="0"/>
      <w:outlineLvl w:val="1"/>
    </w:pPr>
    <w:rPr>
      <w:b/>
      <w:sz w:val="36"/>
    </w:rPr>
  </w:style>
  <w:style w:type="paragraph" w:customStyle="1" w:styleId="Header3">
    <w:name w:val="Header3"/>
    <w:basedOn w:val="2"/>
    <w:pPr>
      <w:jc w:val="both"/>
    </w:pPr>
    <w:rPr>
      <w:rFonts w:eastAsia="標楷體"/>
      <w:b/>
      <w:bCs/>
      <w:sz w:val="32"/>
    </w:rPr>
  </w:style>
  <w:style w:type="paragraph" w:customStyle="1" w:styleId="Figure">
    <w:name w:val="Figure"/>
    <w:basedOn w:val="a"/>
    <w:pPr>
      <w:spacing w:line="360" w:lineRule="auto"/>
      <w:ind w:firstLineChars="200" w:firstLine="560"/>
      <w:jc w:val="center"/>
    </w:pPr>
    <w:rPr>
      <w:rFonts w:eastAsia="標楷體"/>
      <w:sz w:val="28"/>
    </w:rPr>
  </w:style>
  <w:style w:type="paragraph" w:customStyle="1" w:styleId="Table">
    <w:name w:val="Table"/>
    <w:basedOn w:val="Content"/>
  </w:style>
  <w:style w:type="paragraph" w:styleId="a6">
    <w:name w:val="Closing"/>
    <w:basedOn w:val="a"/>
    <w:pPr>
      <w:ind w:leftChars="1800" w:left="100"/>
    </w:pPr>
    <w:rPr>
      <w:rFonts w:eastAsia="標楷體"/>
      <w:color w:val="000000"/>
      <w:sz w:val="28"/>
    </w:rPr>
  </w:style>
  <w:style w:type="character" w:customStyle="1" w:styleId="author1">
    <w:name w:val="author1"/>
    <w:rPr>
      <w:rFonts w:ascii="Arial" w:hAnsi="Arial" w:cs="Arial" w:hint="default"/>
      <w:b w:val="0"/>
      <w:bCs w:val="0"/>
      <w:i/>
      <w:iCs/>
      <w:sz w:val="18"/>
      <w:szCs w:val="18"/>
    </w:rPr>
  </w:style>
  <w:style w:type="paragraph" w:styleId="10">
    <w:name w:val="toc 1"/>
    <w:basedOn w:val="a"/>
    <w:next w:val="a"/>
    <w:autoRedefine/>
    <w:uiPriority w:val="39"/>
    <w:rsid w:val="00FE10F7"/>
    <w:pPr>
      <w:tabs>
        <w:tab w:val="right" w:leader="dot" w:pos="8642"/>
      </w:tabs>
    </w:pPr>
    <w:rPr>
      <w:rFonts w:eastAsia="標楷體"/>
      <w:noProof/>
      <w:color w:val="000000"/>
      <w:sz w:val="28"/>
      <w:szCs w:val="40"/>
    </w:rPr>
  </w:style>
  <w:style w:type="paragraph" w:styleId="3">
    <w:name w:val="toc 3"/>
    <w:basedOn w:val="a"/>
    <w:next w:val="a"/>
    <w:autoRedefine/>
    <w:semiHidden/>
    <w:pPr>
      <w:ind w:leftChars="400" w:left="960"/>
    </w:pPr>
  </w:style>
  <w:style w:type="paragraph" w:styleId="20">
    <w:name w:val="toc 2"/>
    <w:basedOn w:val="a"/>
    <w:next w:val="a"/>
    <w:autoRedefine/>
    <w:uiPriority w:val="39"/>
    <w:pPr>
      <w:ind w:leftChars="200" w:left="480"/>
    </w:pPr>
  </w:style>
  <w:style w:type="paragraph" w:styleId="4">
    <w:name w:val="toc 4"/>
    <w:basedOn w:val="a"/>
    <w:next w:val="a"/>
    <w:autoRedefine/>
    <w:semiHidden/>
    <w:pPr>
      <w:ind w:leftChars="600" w:left="1440"/>
    </w:pPr>
  </w:style>
  <w:style w:type="paragraph" w:styleId="50">
    <w:name w:val="toc 5"/>
    <w:basedOn w:val="a"/>
    <w:next w:val="a"/>
    <w:autoRedefine/>
    <w:semiHidden/>
    <w:pPr>
      <w:ind w:leftChars="800" w:left="1920"/>
    </w:pPr>
  </w:style>
  <w:style w:type="paragraph" w:styleId="60">
    <w:name w:val="toc 6"/>
    <w:basedOn w:val="a"/>
    <w:next w:val="a"/>
    <w:autoRedefine/>
    <w:semiHidden/>
    <w:pPr>
      <w:ind w:leftChars="1000" w:left="2400"/>
    </w:pPr>
  </w:style>
  <w:style w:type="paragraph" w:styleId="7">
    <w:name w:val="toc 7"/>
    <w:basedOn w:val="a"/>
    <w:next w:val="a"/>
    <w:autoRedefine/>
    <w:semiHidden/>
    <w:pPr>
      <w:ind w:leftChars="1200" w:left="2880"/>
    </w:pPr>
  </w:style>
  <w:style w:type="paragraph" w:styleId="8">
    <w:name w:val="toc 8"/>
    <w:basedOn w:val="a"/>
    <w:next w:val="a"/>
    <w:autoRedefine/>
    <w:semiHidden/>
    <w:pPr>
      <w:ind w:leftChars="1400" w:left="3360"/>
    </w:pPr>
  </w:style>
  <w:style w:type="paragraph" w:styleId="9">
    <w:name w:val="toc 9"/>
    <w:basedOn w:val="a"/>
    <w:next w:val="a"/>
    <w:autoRedefine/>
    <w:semiHidden/>
    <w:pPr>
      <w:ind w:leftChars="1600" w:left="3840"/>
    </w:pPr>
  </w:style>
  <w:style w:type="character" w:styleId="a7">
    <w:name w:val="Hyperlink"/>
    <w:uiPriority w:val="99"/>
    <w:rPr>
      <w:color w:val="0000FF"/>
      <w:u w:val="single"/>
    </w:rPr>
  </w:style>
  <w:style w:type="paragraph" w:styleId="a8">
    <w:name w:val="table of figures"/>
    <w:basedOn w:val="a"/>
    <w:next w:val="a"/>
    <w:semiHidden/>
    <w:pPr>
      <w:ind w:leftChars="400" w:left="960" w:hangingChars="200" w:hanging="480"/>
    </w:p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a">
    <w:name w:val="page number"/>
    <w:basedOn w:val="a1"/>
  </w:style>
  <w:style w:type="paragraph" w:styleId="ab">
    <w:name w:val="Date"/>
    <w:basedOn w:val="a"/>
    <w:next w:val="a"/>
    <w:pPr>
      <w:jc w:val="right"/>
    </w:pPr>
    <w:rPr>
      <w:rFonts w:eastAsia="標楷體"/>
      <w:spacing w:val="100"/>
      <w:sz w:val="44"/>
    </w:rPr>
  </w:style>
  <w:style w:type="paragraph" w:styleId="ac">
    <w:name w:val="header"/>
    <w:basedOn w:val="a"/>
    <w:rsid w:val="00C83FC5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d">
    <w:name w:val="No Spacing"/>
    <w:link w:val="ae"/>
    <w:uiPriority w:val="1"/>
    <w:qFormat/>
    <w:rsid w:val="003938F0"/>
    <w:rPr>
      <w:rFonts w:ascii="Calibri" w:hAnsi="Calibri"/>
      <w:sz w:val="22"/>
      <w:szCs w:val="22"/>
    </w:rPr>
  </w:style>
  <w:style w:type="character" w:customStyle="1" w:styleId="ae">
    <w:name w:val="無間距 字元"/>
    <w:link w:val="ad"/>
    <w:uiPriority w:val="1"/>
    <w:rsid w:val="003938F0"/>
    <w:rPr>
      <w:rFonts w:ascii="Calibri" w:hAnsi="Calibri"/>
      <w:sz w:val="22"/>
      <w:szCs w:val="22"/>
      <w:lang w:val="en-US" w:eastAsia="zh-TW" w:bidi="ar-SA"/>
    </w:rPr>
  </w:style>
  <w:style w:type="paragraph" w:styleId="af">
    <w:name w:val="Balloon Text"/>
    <w:basedOn w:val="a"/>
    <w:link w:val="af0"/>
    <w:rsid w:val="003938F0"/>
    <w:rPr>
      <w:rFonts w:ascii="Cambria" w:hAnsi="Cambria"/>
      <w:sz w:val="18"/>
      <w:szCs w:val="18"/>
    </w:rPr>
  </w:style>
  <w:style w:type="character" w:customStyle="1" w:styleId="af0">
    <w:name w:val="註解方塊文字 字元"/>
    <w:link w:val="af"/>
    <w:rsid w:val="003938F0"/>
    <w:rPr>
      <w:rFonts w:ascii="Cambria" w:eastAsia="新細明體" w:hAnsi="Cambria" w:cs="Times New Roman"/>
      <w:kern w:val="2"/>
      <w:sz w:val="18"/>
      <w:szCs w:val="18"/>
    </w:rPr>
  </w:style>
  <w:style w:type="character" w:styleId="af1">
    <w:name w:val="Strong"/>
    <w:qFormat/>
    <w:rsid w:val="0077308D"/>
    <w:rPr>
      <w:b/>
      <w:bCs/>
    </w:rPr>
  </w:style>
  <w:style w:type="paragraph" w:styleId="af2">
    <w:name w:val="List Paragraph"/>
    <w:basedOn w:val="a"/>
    <w:uiPriority w:val="34"/>
    <w:qFormat/>
    <w:rsid w:val="00E77A08"/>
    <w:pPr>
      <w:suppressAutoHyphens/>
      <w:autoSpaceDN w:val="0"/>
      <w:ind w:left="480"/>
      <w:textAlignment w:val="baseline"/>
    </w:pPr>
    <w:rPr>
      <w:rFonts w:ascii="Calibri" w:hAnsi="Calibri"/>
      <w:kern w:val="3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75212C-08FF-414D-9E46-EA0EC9B1C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2740</Words>
  <Characters>15620</Characters>
  <Application>Microsoft Office Word</Application>
  <DocSecurity>0</DocSecurity>
  <Lines>130</Lines>
  <Paragraphs>36</Paragraphs>
  <ScaleCrop>false</ScaleCrop>
  <Company>gee</Company>
  <LinksUpToDate>false</LinksUpToDate>
  <CharactersWithSpaces>18324</CharactersWithSpaces>
  <SharedDoc>false</SharedDoc>
  <HLinks>
    <vt:vector size="144" baseType="variant">
      <vt:variant>
        <vt:i4>1966133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_Toc169542988</vt:lpwstr>
      </vt:variant>
      <vt:variant>
        <vt:i4>1376309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_Toc169542932</vt:lpwstr>
      </vt:variant>
      <vt:variant>
        <vt:i4>1310772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_Toc169544844</vt:lpwstr>
      </vt:variant>
      <vt:variant>
        <vt:i4>1310772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_Toc169544842</vt:lpwstr>
      </vt:variant>
      <vt:variant>
        <vt:i4>1310772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_Toc169544842</vt:lpwstr>
      </vt:variant>
      <vt:variant>
        <vt:i4>1310772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_Toc169544839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_Toc169544838</vt:lpwstr>
      </vt:variant>
      <vt:variant>
        <vt:i4>1245236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_Toc169544837</vt:lpwstr>
      </vt:variant>
      <vt:variant>
        <vt:i4>1245236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_Toc169544836</vt:lpwstr>
      </vt:variant>
      <vt:variant>
        <vt:i4>1245236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_Toc169544835</vt:lpwstr>
      </vt:variant>
      <vt:variant>
        <vt:i4>1245236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_Toc169544834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Isaac Sim 機械手臂超音波感測回授接近之模擬驗證</dc:title>
  <dc:subject>逢甲大學電聲碩士學位學程碩士論文</dc:subject>
  <dc:creator>宋思遠</dc:creator>
  <cp:keywords/>
  <dc:description/>
  <cp:lastModifiedBy>soong Dillion</cp:lastModifiedBy>
  <cp:revision>27</cp:revision>
  <dcterms:created xsi:type="dcterms:W3CDTF">2022-05-23T07:25:00Z</dcterms:created>
  <dcterms:modified xsi:type="dcterms:W3CDTF">2026-07-01T19:51:00Z</dcterms:modified>
</cp:coreProperties>
</file>