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AA67" w14:textId="77777777" w:rsidR="00221CE5" w:rsidRDefault="00221CE5" w:rsidP="00221CE5">
      <w:r>
        <w:t>A. Medically Relevant Findings from the Article</w:t>
      </w:r>
    </w:p>
    <w:p w14:paraId="226B1F57" w14:textId="77777777" w:rsidR="00221CE5" w:rsidRDefault="00221CE5" w:rsidP="00221CE5"/>
    <w:p w14:paraId="029E1211" w14:textId="77777777" w:rsidR="00221CE5" w:rsidRDefault="00221CE5" w:rsidP="00221CE5">
      <w:r>
        <w:t>Stage‑specific molecular signatures</w:t>
      </w:r>
    </w:p>
    <w:p w14:paraId="0527D844" w14:textId="1238B9E4" w:rsidR="00221CE5" w:rsidRDefault="00221CE5" w:rsidP="00221CE5">
      <w:r>
        <w:t>•The study defines two non‑redundant, cell‑type–specific gene‑expression programs: a disease‑state signature (biology of SLE establishment) and a disease‑activity signature (biology of exacerbation/flares). Disease‑activity signatures associated most strongly with organ involvement and treatment responses, whereas disease‑state signatures aligned better with SLE genetic risk variants.</w:t>
      </w:r>
    </w:p>
    <w:p w14:paraId="64A0641F" w14:textId="4EAF670D" w:rsidR="00221CE5" w:rsidRDefault="00221CE5" w:rsidP="00221CE5">
      <w:r>
        <w:t>•Pathway‑level separation: activity signatures were enriched for cell‑cycle/ribosomal (proliferative/inflammatory) modules, while state signatures favored oxidative phosphorylation (OXPHOS)/mTOR (especially in B cells) and complement—indicating distinct biology for flares vs maintenance.</w:t>
      </w:r>
    </w:p>
    <w:p w14:paraId="782DEBAB" w14:textId="77777777" w:rsidR="00221CE5" w:rsidRDefault="00221CE5" w:rsidP="00221CE5"/>
    <w:p w14:paraId="14B705B2" w14:textId="77777777" w:rsidR="00221CE5" w:rsidRDefault="00221CE5" w:rsidP="00221CE5">
      <w:r>
        <w:t>Cell‑type–specific contributions</w:t>
      </w:r>
    </w:p>
    <w:p w14:paraId="4C6239D5" w14:textId="44F28393" w:rsidR="00221CE5" w:rsidRDefault="00221CE5" w:rsidP="00221CE5">
      <w:r>
        <w:t>•Authors generated 6,386 RNA‑seq profiles across 27 purified immune cell types from 136 SLE patients and 89 healthy donors, enabling per‑cell‑type signatures rather than mixed whole‑blood readouts.</w:t>
      </w:r>
    </w:p>
    <w:p w14:paraId="6F5174BF" w14:textId="4EF00452" w:rsidR="00221CE5" w:rsidRDefault="00221CE5" w:rsidP="00221CE5">
      <w:r>
        <w:t>•Disease‑activity signals varied by lineage and mapped to clinical phenotypes (e.g., mucocutaneous, musculoskeletal, renal involvement). Group resources summarizing the dataset note that B‑lineage activity modules and selected myeloid/neutrophil programs were prominent and clinically informative</w:t>
      </w:r>
      <w:r w:rsidR="00070BBB">
        <w:t>.</w:t>
      </w:r>
    </w:p>
    <w:p w14:paraId="22F8B175" w14:textId="22CE0C97" w:rsidR="00221CE5" w:rsidRDefault="00221CE5" w:rsidP="00221CE5">
      <w:r>
        <w:t>•In follow‑up summaries from the same consortium, skin activity linked to Th1‑cell programs, joint disease to monocyte‑lineage, and renal disease to neutrophil‑lineage signals—illustrating organ‑specific, cell‑type–resolved biology.</w:t>
      </w:r>
    </w:p>
    <w:p w14:paraId="39BCA8E6" w14:textId="77777777" w:rsidR="00221CE5" w:rsidRDefault="00221CE5" w:rsidP="00221CE5"/>
    <w:p w14:paraId="15A85FC4" w14:textId="77777777" w:rsidR="00221CE5" w:rsidRDefault="00221CE5" w:rsidP="00221CE5">
      <w:r>
        <w:t>Key role of interferon and inflammatory pathways</w:t>
      </w:r>
    </w:p>
    <w:p w14:paraId="776E9E5E" w14:textId="132D3037" w:rsidR="00221CE5" w:rsidRDefault="00221CE5" w:rsidP="00221CE5">
      <w:r>
        <w:t>•Using pathway/cytokine and transcription‑factor activity analyses, the work highlights type I interferon (IFN)–related programs broadly elevated across immune cells, alongside proliferation/inflammatory modules during flares; by contrast, OXPHOS persists during clinically inactive disease and tracks damage risk, especially in B cells.</w:t>
      </w:r>
    </w:p>
    <w:p w14:paraId="69BE76E1" w14:textId="67C1A3A3" w:rsidR="00221CE5" w:rsidRDefault="00221CE5" w:rsidP="00221CE5">
      <w:r>
        <w:t>•The paper further prioritized ligand–receptor networks that could drive the disease‑state vs activity programs, pointing to actionable intercellular signaling axes.</w:t>
      </w:r>
    </w:p>
    <w:p w14:paraId="4AE383CF" w14:textId="77777777" w:rsidR="00221CE5" w:rsidRDefault="00221CE5" w:rsidP="00221CE5"/>
    <w:p w14:paraId="15446F86" w14:textId="77777777" w:rsidR="00221CE5" w:rsidRDefault="00221CE5" w:rsidP="00221CE5">
      <w:r>
        <w:t>Clinical significance</w:t>
      </w:r>
    </w:p>
    <w:p w14:paraId="7D771A8D" w14:textId="455CDADD" w:rsidR="00221CE5" w:rsidRDefault="00221CE5" w:rsidP="00221CE5">
      <w:r>
        <w:t xml:space="preserve">•Disease‑activity signatures serve as candidate biomarkers to monitor flares, stratify organ involvement, and anticipate drug response; disease‑state signatures better reflect inherited </w:t>
      </w:r>
      <w:r>
        <w:lastRenderedPageBreak/>
        <w:t>susceptibility (GWAS).</w:t>
      </w:r>
    </w:p>
    <w:p w14:paraId="5D42A03C" w14:textId="404D0A27" w:rsidR="00221CE5" w:rsidRDefault="00221CE5" w:rsidP="00221CE5">
      <w:r>
        <w:t>•In the cohort’s therapy subset, BAFF inhibition (belimumab) reduced B‑lineage activity signatures, consistent with their clinical utility for response tracking.</w:t>
      </w:r>
    </w:p>
    <w:p w14:paraId="7E4D81C1" w14:textId="668B494A" w:rsidR="00221CE5" w:rsidRDefault="00221CE5" w:rsidP="00221CE5"/>
    <w:p w14:paraId="7E77D766" w14:textId="77777777" w:rsidR="00221CE5" w:rsidRDefault="00221CE5" w:rsidP="00221CE5"/>
    <w:p w14:paraId="568F61DC" w14:textId="77777777" w:rsidR="00221CE5" w:rsidRDefault="00221CE5" w:rsidP="00221CE5">
      <w:r>
        <w:t>B. Genomic Techniques Used</w:t>
      </w:r>
    </w:p>
    <w:p w14:paraId="55AA0DDC" w14:textId="77777777" w:rsidR="00221CE5" w:rsidRDefault="00221CE5" w:rsidP="00221CE5"/>
    <w:p w14:paraId="77E2A20F" w14:textId="77777777" w:rsidR="00221CE5" w:rsidRDefault="00221CE5" w:rsidP="00221CE5">
      <w:r>
        <w:t>RNA sequencing (RNA‑seq):</w:t>
      </w:r>
    </w:p>
    <w:p w14:paraId="4C70244A" w14:textId="104D6CC7" w:rsidR="00221CE5" w:rsidRDefault="00221CE5" w:rsidP="00221CE5">
      <w:r>
        <w:t>•High‑throughput bulk RNA‑seq performed on purified blood immune cell subsets (27 cell types; 6,386 libraries) from 136 SLE and 89 healthy donors, including a longitudinal subset before/after belimumab.</w:t>
      </w:r>
    </w:p>
    <w:p w14:paraId="052D1B0E" w14:textId="77777777" w:rsidR="00221CE5" w:rsidRDefault="00221CE5" w:rsidP="00221CE5"/>
    <w:p w14:paraId="2E739857" w14:textId="77777777" w:rsidR="00221CE5" w:rsidRDefault="00221CE5" w:rsidP="00221CE5">
      <w:r>
        <w:t>Cell‑type–resolved transcriptomics:</w:t>
      </w:r>
    </w:p>
    <w:p w14:paraId="23A81A8C" w14:textId="0552BE1A" w:rsidR="00221CE5" w:rsidRDefault="00221CE5" w:rsidP="00221CE5">
      <w:r>
        <w:t xml:space="preserve">•Fluorescence‑sorted (purified) immune populations were profiled to construct cell‑type–specific signatures of SLE state vs activity, enabling direct linkage to clinical domains (skin, joint, kidney). The work builds on the </w:t>
      </w:r>
      <w:proofErr w:type="spellStart"/>
      <w:r>
        <w:t>ImmuNexUT</w:t>
      </w:r>
      <w:proofErr w:type="spellEnd"/>
      <w:r>
        <w:t xml:space="preserve"> atlas platform for immune‑cell genomics.</w:t>
      </w:r>
    </w:p>
    <w:p w14:paraId="030F37A4" w14:textId="77777777" w:rsidR="00221CE5" w:rsidRDefault="00221CE5" w:rsidP="00221CE5"/>
    <w:p w14:paraId="79D64CB1" w14:textId="77777777" w:rsidR="00221CE5" w:rsidRDefault="00221CE5" w:rsidP="00221CE5">
      <w:r>
        <w:t>Bioinformatics approaches:</w:t>
      </w:r>
    </w:p>
    <w:p w14:paraId="2D491266" w14:textId="52539A93" w:rsidR="00221CE5" w:rsidRDefault="00221CE5" w:rsidP="00221CE5">
      <w:r>
        <w:t>•Differential expression and pathway/gene‑set enrichment (including cytokine and transcription‑factor activity scoring) to nominate processes unique to state vs activity.</w:t>
      </w:r>
    </w:p>
    <w:p w14:paraId="67539344" w14:textId="6C5DDCE8" w:rsidR="00221CE5" w:rsidRDefault="00221CE5" w:rsidP="00221CE5">
      <w:r>
        <w:t>•Genetic enrichment analyses testing proximity of signatures to SLE GWAS risk variants, revealing stronger alignment for disease‑state than activity signatures.</w:t>
      </w:r>
    </w:p>
    <w:p w14:paraId="0C458B19" w14:textId="67F09283" w:rsidR="00221CE5" w:rsidRDefault="00221CE5" w:rsidP="00221CE5">
      <w:r>
        <w:t>•Clinical association modeling linking cell‑type activity scores to organ involvement and treatment response (e.g., belimumab).</w:t>
      </w:r>
    </w:p>
    <w:p w14:paraId="62F5E711" w14:textId="13318A87" w:rsidR="00221CE5" w:rsidRDefault="00221CE5" w:rsidP="00221CE5">
      <w:r>
        <w:t>•Cell–cell communication inference to prioritize ligand–receptor networks potentially inducing state vs activity modules.</w:t>
      </w:r>
    </w:p>
    <w:p w14:paraId="0EAE5EBB" w14:textId="77777777" w:rsidR="00221CE5" w:rsidRDefault="00221CE5" w:rsidP="00221CE5"/>
    <w:p w14:paraId="43C38B4F" w14:textId="5274E075" w:rsidR="004319AE" w:rsidRDefault="00221CE5" w:rsidP="00221CE5">
      <w:r>
        <w:t>Bottom line: Lupus flares (activity) and disease establishment (state) are molecularly distinct at cell‑type resolution. Activity is marked by proliferative/inflammatory (incl. IFN‑related) programs that track organs and respond to therapy, whereas state reflects OXPHOS/complement biology and genetic risk—a separation that enables more precise biomarkers and therapeutic targeting.</w:t>
      </w:r>
    </w:p>
    <w:p w14:paraId="74FEA6CE" w14:textId="77777777" w:rsidR="006C362B" w:rsidRPr="00221CE5" w:rsidRDefault="006C362B" w:rsidP="00221CE5"/>
    <w:p w14:paraId="6CB0CD91" w14:textId="77777777" w:rsidR="006C362B" w:rsidRDefault="006C362B" w:rsidP="006C362B">
      <w:r>
        <w:t>3) Further related research questions</w:t>
      </w:r>
    </w:p>
    <w:p w14:paraId="55CB3573" w14:textId="77777777" w:rsidR="006C362B" w:rsidRDefault="006C362B" w:rsidP="006C362B"/>
    <w:p w14:paraId="5D7D37E6" w14:textId="77777777" w:rsidR="0036566F" w:rsidRDefault="006C362B" w:rsidP="006C362B">
      <w:r>
        <w:lastRenderedPageBreak/>
        <w:t>a. Three (or more) extending questions/hypotheses</w:t>
      </w:r>
    </w:p>
    <w:p w14:paraId="63856D21" w14:textId="77777777" w:rsidR="0036566F" w:rsidRDefault="0036566F" w:rsidP="006C362B"/>
    <w:p w14:paraId="5D53153D" w14:textId="27D64E45" w:rsidR="006C362B" w:rsidRDefault="006C362B" w:rsidP="006C362B">
      <w:r>
        <w:t>1.Predicting flares: Do disease‑activity scores in specific cell types anticipate time to flare from clinical remission better than standard indices (e.g., SLEDAI)?</w:t>
      </w:r>
    </w:p>
    <w:p w14:paraId="57629B40" w14:textId="10B87072" w:rsidR="006C362B" w:rsidRDefault="006C362B" w:rsidP="006C362B">
      <w:r>
        <w:t>2.Organ specificity: Which cell‑type activity signatures best predict organ‑specific pathology (e.g., nephritis vs cutaneous vs CNS lupus), and are the same ligand–receptor axes active in affected tissues?</w:t>
      </w:r>
    </w:p>
    <w:p w14:paraId="0CBA8094" w14:textId="0EBE76A5" w:rsidR="006C362B" w:rsidRDefault="006C362B" w:rsidP="006C362B">
      <w:r>
        <w:t>3.Therapy matching: Can baseline disease‑activity signatures predict response to targeted therapies (anti‑IFN, anti‑BAFF, JAK inhibitors, etc.), enabling treatment selection?</w:t>
      </w:r>
    </w:p>
    <w:p w14:paraId="6D522742" w14:textId="77777777" w:rsidR="006C362B" w:rsidRDefault="006C362B" w:rsidP="006C362B"/>
    <w:p w14:paraId="69E357B9" w14:textId="77777777" w:rsidR="006C362B" w:rsidRDefault="006C362B" w:rsidP="006C362B">
      <w:r>
        <w:t>b. Optional computational analysis strategies</w:t>
      </w:r>
    </w:p>
    <w:p w14:paraId="474325A8" w14:textId="5F5251F8" w:rsidR="00A2600C" w:rsidRDefault="006C362B" w:rsidP="006C362B">
      <w:r>
        <w:t>•Methods: time‑dependent Cox models and joint models with repeated measures; nested cross‑validation; calibration (Brier score); external validation cohort.</w:t>
      </w:r>
    </w:p>
    <w:sectPr w:rsidR="00A260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AE"/>
    <w:rsid w:val="00053A86"/>
    <w:rsid w:val="00070BBB"/>
    <w:rsid w:val="00073CCC"/>
    <w:rsid w:val="00193610"/>
    <w:rsid w:val="00197820"/>
    <w:rsid w:val="001F54D0"/>
    <w:rsid w:val="00221CE5"/>
    <w:rsid w:val="00257D8E"/>
    <w:rsid w:val="00260A8F"/>
    <w:rsid w:val="002C5A4A"/>
    <w:rsid w:val="00315FEC"/>
    <w:rsid w:val="0036566F"/>
    <w:rsid w:val="003E0057"/>
    <w:rsid w:val="003F6858"/>
    <w:rsid w:val="00416614"/>
    <w:rsid w:val="004319AE"/>
    <w:rsid w:val="0044789C"/>
    <w:rsid w:val="00474BA8"/>
    <w:rsid w:val="00545EF5"/>
    <w:rsid w:val="00635931"/>
    <w:rsid w:val="006643F8"/>
    <w:rsid w:val="00680E48"/>
    <w:rsid w:val="006C2BDA"/>
    <w:rsid w:val="006C362B"/>
    <w:rsid w:val="006C7591"/>
    <w:rsid w:val="008041EE"/>
    <w:rsid w:val="008114A9"/>
    <w:rsid w:val="008C7548"/>
    <w:rsid w:val="00906C96"/>
    <w:rsid w:val="009C5FEC"/>
    <w:rsid w:val="00A07251"/>
    <w:rsid w:val="00A173E4"/>
    <w:rsid w:val="00A2600C"/>
    <w:rsid w:val="00A2683F"/>
    <w:rsid w:val="00A5763F"/>
    <w:rsid w:val="00AE366C"/>
    <w:rsid w:val="00B14BBD"/>
    <w:rsid w:val="00BC64A2"/>
    <w:rsid w:val="00C35B80"/>
    <w:rsid w:val="00C44F81"/>
    <w:rsid w:val="00C83165"/>
    <w:rsid w:val="00D1553A"/>
    <w:rsid w:val="00D778C7"/>
    <w:rsid w:val="00D83F6C"/>
    <w:rsid w:val="00DD2B10"/>
    <w:rsid w:val="00E45BA1"/>
    <w:rsid w:val="00E46A38"/>
    <w:rsid w:val="00E65EAF"/>
    <w:rsid w:val="00EC72CB"/>
    <w:rsid w:val="00F64D9F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2D4C95"/>
  <w15:chartTrackingRefBased/>
  <w15:docId w15:val="{169F247A-DE41-BC47-8EE6-43D40D47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19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9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9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9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9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9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9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319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319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319A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319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319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3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9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319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19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319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19A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319A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3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319A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31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ryosuke.osako1@gmail.com</dc:creator>
  <cp:keywords/>
  <dc:description/>
  <cp:lastModifiedBy>ryosuke.osako1@gmail.com</cp:lastModifiedBy>
  <cp:revision>2</cp:revision>
  <dcterms:created xsi:type="dcterms:W3CDTF">2025-10-01T11:09:00Z</dcterms:created>
  <dcterms:modified xsi:type="dcterms:W3CDTF">2025-10-01T12:10:00Z</dcterms:modified>
</cp:coreProperties>
</file>