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Quotation  QT230184</w:t>
      </w:r>
    </w:p>
    <w:p>
      <w:r>
        <w:t>Date: May 26, 2023</w:t>
      </w:r>
    </w:p>
    <w:p>
      <w:r>
        <w:t>Client: Cascade Water Authority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Price/Unit</w:t>
            </w:r>
          </w:p>
        </w:tc>
      </w:tr>
      <w:tr>
        <w:tc>
          <w:tcPr>
            <w:tcW w:type="dxa" w:w="1728"/>
          </w:tcPr>
          <w:p>
            <w:r>
              <w:t>REG-5518</w:t>
            </w:r>
          </w:p>
        </w:tc>
        <w:tc>
          <w:tcPr>
            <w:tcW w:type="dxa" w:w="1728"/>
          </w:tcPr>
          <w:p>
            <w:r>
              <w:t>Air Pressure Regulator 1/2" NPT</w:t>
            </w:r>
          </w:p>
        </w:tc>
        <w:tc>
          <w:tcPr>
            <w:tcW w:type="dxa" w:w="1728"/>
          </w:tcPr>
          <w:p>
            <w:r>
              <w:t>Relieving-type air pressure regulator with 1/2 inch NPT ports. Adjustable 5-125 PSI outlet range with 220 SCFM flow capacity. Polycarbonate bowl guard and panel-mount nut included.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57.04 USD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