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245A81"/>
          <w:sz w:val="32"/>
        </w:rPr>
        <w:t>SMARTGRID</w:t>
      </w:r>
    </w:p>
    <w:p>
      <w:pPr>
        <w:pStyle w:val="Title"/>
        <w:jc w:val="center"/>
      </w:pPr>
      <w:r>
        <w:t>Mesh Flow</w:t>
      </w:r>
    </w:p>
    <w:p>
      <w:pPr>
        <w:jc w:val="center"/>
      </w:pPr>
      <w:r>
        <w:rPr>
          <w:b/>
          <w:sz w:val="32"/>
        </w:rPr>
        <w:t>Mode 4 — Detailed Engineering Specification</w:t>
      </w:r>
    </w:p>
    <w:p>
      <w:pPr>
        <w:jc w:val="center"/>
      </w:pPr>
      <w:r>
        <w:t>Reference-derived rules • Vector mathematics • Confidence assessment • Implementation roadmap</w:t>
      </w:r>
    </w:p>
    <w:p/>
    <w:tbl>
      <w:tblPr>
        <w:tblStyle w:val="TableGrid"/>
        <w:tblW w:type="auto" w:w="0"/>
        <w:jc w:val="center"/>
        <w:tblLook w:firstColumn="1" w:firstRow="1" w:lastColumn="0" w:lastRow="0" w:noHBand="0" w:noVBand="1" w:val="04A0"/>
      </w:tblPr>
      <w:tblGrid>
        <w:gridCol w:w="3389"/>
        <w:gridCol w:w="3389"/>
        <w:gridCol w:w="3389"/>
      </w:tblGrid>
      <w:tr>
        <w:tc>
          <w:tcPr>
            <w:tcW w:type="dxa" w:w="2592"/>
            <w:vAlign w:val="center"/>
            <w:shd w:fill="245A81"/>
          </w:tcPr>
          <w:p>
            <w:pPr>
              <w:spacing w:after="20"/>
            </w:pPr>
            <w:r/>
            <w:r>
              <w:rPr>
                <w:rFonts w:ascii="Aptos" w:hAnsi="Aptos"/>
                <w:b/>
                <w:color w:val="FFFFFF"/>
                <w:sz w:val="17"/>
              </w:rPr>
              <w:t>Document status</w:t>
            </w:r>
          </w:p>
        </w:tc>
        <w:tc>
          <w:tcPr>
            <w:tcW w:type="dxa" w:w="3456"/>
            <w:vAlign w:val="center"/>
            <w:shd w:fill="245A81"/>
          </w:tcPr>
          <w:p>
            <w:pPr>
              <w:spacing w:after="20"/>
            </w:pPr>
            <w:r/>
            <w:r>
              <w:rPr>
                <w:rFonts w:ascii="Aptos" w:hAnsi="Aptos"/>
                <w:b/>
                <w:color w:val="FFFFFF"/>
                <w:sz w:val="17"/>
              </w:rPr>
              <w:t>Scope</w:t>
            </w:r>
          </w:p>
        </w:tc>
        <w:tc>
          <w:tcPr>
            <w:tcW w:type="dxa" w:w="2880"/>
            <w:vAlign w:val="center"/>
            <w:shd w:fill="245A81"/>
          </w:tcPr>
          <w:p>
            <w:pPr>
              <w:spacing w:after="20"/>
            </w:pPr>
            <w:r/>
            <w:r>
              <w:rPr>
                <w:rFonts w:ascii="Aptos" w:hAnsi="Aptos"/>
                <w:b/>
                <w:color w:val="FFFFFF"/>
                <w:sz w:val="17"/>
              </w:rPr>
              <w:t>Code changes</w:t>
            </w:r>
          </w:p>
        </w:tc>
      </w:tr>
      <w:tr>
        <w:tc>
          <w:tcPr>
            <w:tcW w:type="dxa" w:w="2592"/>
            <w:vAlign w:val="center"/>
            <w:shd w:fill="F2F6FA"/>
          </w:tcPr>
          <w:p>
            <w:pPr>
              <w:spacing w:after="20"/>
            </w:pPr>
            <w:r/>
            <w:r>
              <w:rPr>
                <w:rFonts w:ascii="Aptos" w:hAnsi="Aptos"/>
                <w:b w:val="0"/>
                <w:sz w:val="17"/>
              </w:rPr>
              <w:t>Proposed specification; not yet validated against a complete mesh/reference pair</w:t>
            </w:r>
          </w:p>
        </w:tc>
        <w:tc>
          <w:tcPr>
            <w:tcW w:type="dxa" w:w="3456"/>
            <w:vAlign w:val="center"/>
            <w:shd w:fill="F2F6FA"/>
          </w:tcPr>
          <w:p>
            <w:pPr>
              <w:spacing w:after="20"/>
            </w:pPr>
            <w:r/>
            <w:r>
              <w:rPr>
                <w:rFonts w:ascii="Aptos" w:hAnsi="Aptos"/>
                <w:b w:val="0"/>
                <w:sz w:val="17"/>
              </w:rPr>
              <w:t>Mode 4 path planning and rename strategy</w:t>
            </w:r>
          </w:p>
        </w:tc>
        <w:tc>
          <w:tcPr>
            <w:tcW w:type="dxa" w:w="2880"/>
            <w:vAlign w:val="center"/>
            <w:shd w:fill="F2F6FA"/>
          </w:tcPr>
          <w:p>
            <w:pPr>
              <w:spacing w:after="20"/>
            </w:pPr>
            <w:r/>
            <w:r>
              <w:rPr>
                <w:rFonts w:ascii="Aptos" w:hAnsi="Aptos"/>
                <w:b w:val="0"/>
                <w:sz w:val="17"/>
              </w:rPr>
              <w:t>None. This document does not modify the SmartGrid repository.</w:t>
            </w:r>
          </w:p>
        </w:tc>
      </w:tr>
    </w:tbl>
    <w:p/>
    <w:p>
      <w:pPr>
        <w:jc w:val="center"/>
      </w:pPr>
      <w:r>
        <w:rPr>
          <w:i/>
        </w:rPr>
        <w:t>Name decision: “Mesh Flow” is intended as both the user-facing Mode 4 name and the proposed canonical mode identity.</w:t>
      </w:r>
    </w:p>
    <w:p>
      <w:r>
        <w:br w:type="page"/>
      </w:r>
    </w:p>
    <w:p>
      <w:pPr>
        <w:pStyle w:val="Heading1"/>
      </w:pPr>
      <w:r>
        <w:t>1. Executive summary</w:t>
      </w:r>
    </w:p>
    <w:p>
      <w:r>
        <w:t>Mesh Flow is the proposed replacement name for SmartGrid Mode 4, previously labelled “Mesh Surface.” The name change should not be limited to the visible menu label: when implementation is approved, the mode’s canonical identifier, dispatch/configuration mappings, exports or metadata that encode the mode, documentation, and tests should be reviewed together. The actual code is not changed as part of this specification.</w:t>
      </w:r>
    </w:p>
    <w:p>
      <w:r>
        <w:t>The engineering objective is to generate smooth, coverage-oriented robot paths over a 3D mesh. The trajectory should follow meaningful body curvature while avoiding small triangle-induced wiggles; preserve a structured raster where practical; reverse direction between successive lanes when appropriate; compute tool orientation separately from travel direction; and distinguish painting moves from approach, retract, transition, and repositioning moves.</w:t>
      </w:r>
    </w:p>
    <w:p>
      <w:r>
        <w:t>The OLP review notes provide evidence of region-specific paths, alternating raster passes, explicit program execution order, tool orientation, and process-state changes. They do not prove that one global algorithm or one fixed spacing works for all surfaces. The equations below are candidate engineering methods, not claims that every formula was present in the engineer’s software.</w:t>
      </w:r>
    </w:p>
    <w:tbl>
      <w:tblPr>
        <w:tblStyle w:val="TableGrid"/>
        <w:tblW w:type="auto" w:w="0"/>
        <w:jc w:val="center"/>
        <w:tblLook w:firstColumn="1" w:firstRow="1" w:lastColumn="0" w:lastRow="0" w:noHBand="0" w:noVBand="1" w:val="04A0"/>
      </w:tblPr>
      <w:tblGrid>
        <w:gridCol w:w="5083"/>
        <w:gridCol w:w="5083"/>
      </w:tblGrid>
      <w:tr>
        <w:tc>
          <w:tcPr>
            <w:tcW w:type="dxa" w:w="2016"/>
            <w:vAlign w:val="center"/>
            <w:shd w:fill="245A81"/>
          </w:tcPr>
          <w:p>
            <w:pPr>
              <w:spacing w:after="20"/>
            </w:pPr>
            <w:r/>
            <w:r>
              <w:rPr>
                <w:rFonts w:ascii="Aptos" w:hAnsi="Aptos"/>
                <w:b/>
                <w:color w:val="FFFFFF"/>
                <w:sz w:val="17"/>
              </w:rPr>
              <w:t>Confidence label</w:t>
            </w:r>
          </w:p>
        </w:tc>
        <w:tc>
          <w:tcPr>
            <w:tcW w:type="dxa" w:w="6912"/>
            <w:vAlign w:val="center"/>
            <w:shd w:fill="245A81"/>
          </w:tcPr>
          <w:p>
            <w:pPr>
              <w:spacing w:after="20"/>
            </w:pPr>
            <w:r/>
            <w:r>
              <w:rPr>
                <w:rFonts w:ascii="Aptos" w:hAnsi="Aptos"/>
                <w:b/>
                <w:color w:val="FFFFFF"/>
                <w:sz w:val="17"/>
              </w:rPr>
              <w:t>Meaning in this document</w:t>
            </w:r>
          </w:p>
        </w:tc>
      </w:tr>
      <w:tr>
        <w:tc>
          <w:tcPr>
            <w:tcW w:type="dxa" w:w="2016"/>
            <w:vAlign w:val="center"/>
            <w:shd w:fill="F2F6FA"/>
          </w:tcPr>
          <w:p>
            <w:pPr>
              <w:spacing w:after="20"/>
            </w:pPr>
            <w:r/>
            <w:r>
              <w:rPr>
                <w:rFonts w:ascii="Aptos" w:hAnsi="Aptos"/>
                <w:b w:val="0"/>
                <w:sz w:val="17"/>
              </w:rPr>
              <w:t>High</w:t>
            </w:r>
          </w:p>
        </w:tc>
        <w:tc>
          <w:tcPr>
            <w:tcW w:type="dxa" w:w="6912"/>
            <w:vAlign w:val="center"/>
            <w:shd w:fill="F2F6FA"/>
          </w:tcPr>
          <w:p>
            <w:pPr>
              <w:spacing w:after="20"/>
            </w:pPr>
            <w:r/>
            <w:r>
              <w:rPr>
                <w:rFonts w:ascii="Aptos" w:hAnsi="Aptos"/>
                <w:b w:val="0"/>
                <w:sz w:val="17"/>
              </w:rPr>
              <w:t>Directly stated in the supplied OLP analysis or a standard geometric identity; still subject to implementation/unit checks.</w:t>
            </w:r>
          </w:p>
        </w:tc>
      </w:tr>
      <w:tr>
        <w:tc>
          <w:tcPr>
            <w:tcW w:type="dxa" w:w="2016"/>
            <w:vAlign w:val="center"/>
          </w:tcPr>
          <w:p>
            <w:pPr>
              <w:spacing w:after="20"/>
            </w:pPr>
            <w:r/>
            <w:r>
              <w:rPr>
                <w:rFonts w:ascii="Aptos" w:hAnsi="Aptos"/>
                <w:b w:val="0"/>
                <w:sz w:val="17"/>
              </w:rPr>
              <w:t>Medium</w:t>
            </w:r>
          </w:p>
        </w:tc>
        <w:tc>
          <w:tcPr>
            <w:tcW w:type="dxa" w:w="6912"/>
            <w:vAlign w:val="center"/>
          </w:tcPr>
          <w:p>
            <w:pPr>
              <w:spacing w:after="20"/>
            </w:pPr>
            <w:r/>
            <w:r>
              <w:rPr>
                <w:rFonts w:ascii="Aptos" w:hAnsi="Aptos"/>
                <w:b w:val="0"/>
                <w:sz w:val="17"/>
              </w:rPr>
              <w:t>Reasonable engineering inference from observed reference patterns; needs comparison with additional reference paths.</w:t>
            </w:r>
          </w:p>
        </w:tc>
      </w:tr>
      <w:tr>
        <w:tc>
          <w:tcPr>
            <w:tcW w:type="dxa" w:w="2016"/>
            <w:vAlign w:val="center"/>
            <w:shd w:fill="F2F6FA"/>
          </w:tcPr>
          <w:p>
            <w:pPr>
              <w:spacing w:after="20"/>
            </w:pPr>
            <w:r/>
            <w:r>
              <w:rPr>
                <w:rFonts w:ascii="Aptos" w:hAnsi="Aptos"/>
                <w:b w:val="0"/>
                <w:sz w:val="17"/>
              </w:rPr>
              <w:t>Low / unvalidated</w:t>
            </w:r>
          </w:p>
        </w:tc>
        <w:tc>
          <w:tcPr>
            <w:tcW w:type="dxa" w:w="6912"/>
            <w:vAlign w:val="center"/>
            <w:shd w:fill="F2F6FA"/>
          </w:tcPr>
          <w:p>
            <w:pPr>
              <w:spacing w:after="20"/>
            </w:pPr>
            <w:r/>
            <w:r>
              <w:rPr>
                <w:rFonts w:ascii="Aptos" w:hAnsi="Aptos"/>
                <w:b w:val="0"/>
                <w:sz w:val="17"/>
              </w:rPr>
              <w:t>Proposed design choice or parameter whose correctness depends on the actual mesh, process, robot, and validation data.</w:t>
            </w:r>
          </w:p>
        </w:tc>
      </w:tr>
    </w:tbl>
    <w:p/>
    <w:p>
      <w:pPr>
        <w:pStyle w:val="Heading1"/>
      </w:pPr>
      <w:r>
        <w:t>2. Mode name and rename scope</w:t>
      </w:r>
    </w:p>
    <w:p>
      <w:r>
        <w:t>Selected name: Mesh Flow. The requested change is a rename proposal, not merely a display-text replacement.</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245A81"/>
          </w:tcPr>
          <w:p>
            <w:pPr>
              <w:spacing w:after="20"/>
            </w:pPr>
            <w:r/>
            <w:r>
              <w:rPr>
                <w:rFonts w:ascii="Aptos" w:hAnsi="Aptos"/>
                <w:b/>
                <w:color w:val="FFFFFF"/>
                <w:sz w:val="16"/>
              </w:rPr>
              <w:t>Layer to review when implementing</w:t>
            </w:r>
          </w:p>
        </w:tc>
        <w:tc>
          <w:tcPr>
            <w:tcW w:type="dxa" w:w="4320"/>
            <w:vAlign w:val="center"/>
            <w:shd w:fill="245A81"/>
          </w:tcPr>
          <w:p>
            <w:pPr>
              <w:spacing w:after="20"/>
            </w:pPr>
            <w:r/>
            <w:r>
              <w:rPr>
                <w:rFonts w:ascii="Aptos" w:hAnsi="Aptos"/>
                <w:b/>
                <w:color w:val="FFFFFF"/>
                <w:sz w:val="16"/>
              </w:rPr>
              <w:t>Recommended treatment</w:t>
            </w:r>
          </w:p>
        </w:tc>
        <w:tc>
          <w:tcPr>
            <w:tcW w:type="dxa" w:w="2520"/>
            <w:vAlign w:val="center"/>
            <w:shd w:fill="245A81"/>
          </w:tcPr>
          <w:p>
            <w:pPr>
              <w:spacing w:after="20"/>
            </w:pPr>
            <w:r/>
            <w:r>
              <w:rPr>
                <w:rFonts w:ascii="Aptos" w:hAnsi="Aptos"/>
                <w:b/>
                <w:color w:val="FFFFFF"/>
                <w:sz w:val="16"/>
              </w:rPr>
              <w:t>Risk if overlooked</w:t>
            </w:r>
          </w:p>
        </w:tc>
      </w:tr>
      <w:tr>
        <w:tc>
          <w:tcPr>
            <w:tcW w:type="dxa" w:w="2232"/>
            <w:vAlign w:val="center"/>
            <w:shd w:fill="F2F6FA"/>
          </w:tcPr>
          <w:p>
            <w:pPr>
              <w:spacing w:after="20"/>
            </w:pPr>
            <w:r/>
            <w:r>
              <w:rPr>
                <w:rFonts w:ascii="Aptos" w:hAnsi="Aptos"/>
                <w:b w:val="0"/>
                <w:sz w:val="16"/>
              </w:rPr>
              <w:t>UI display label</w:t>
            </w:r>
          </w:p>
        </w:tc>
        <w:tc>
          <w:tcPr>
            <w:tcW w:type="dxa" w:w="4320"/>
            <w:vAlign w:val="center"/>
            <w:shd w:fill="F2F6FA"/>
          </w:tcPr>
          <w:p>
            <w:pPr>
              <w:spacing w:after="20"/>
            </w:pPr>
            <w:r/>
            <w:r>
              <w:rPr>
                <w:rFonts w:ascii="Aptos" w:hAnsi="Aptos"/>
                <w:b w:val="0"/>
                <w:sz w:val="16"/>
              </w:rPr>
              <w:t>Show “Mesh Flow” wherever Mode 4 is named to users.</w:t>
            </w:r>
          </w:p>
        </w:tc>
        <w:tc>
          <w:tcPr>
            <w:tcW w:type="dxa" w:w="2520"/>
            <w:vAlign w:val="center"/>
            <w:shd w:fill="F2F6FA"/>
          </w:tcPr>
          <w:p>
            <w:pPr>
              <w:spacing w:after="20"/>
            </w:pPr>
            <w:r/>
            <w:r>
              <w:rPr>
                <w:rFonts w:ascii="Aptos" w:hAnsi="Aptos"/>
                <w:b w:val="0"/>
                <w:sz w:val="16"/>
              </w:rPr>
              <w:t>UI may show mixed old/new names.</w:t>
            </w:r>
          </w:p>
        </w:tc>
      </w:tr>
      <w:tr>
        <w:tc>
          <w:tcPr>
            <w:tcW w:type="dxa" w:w="2232"/>
            <w:vAlign w:val="center"/>
          </w:tcPr>
          <w:p>
            <w:pPr>
              <w:spacing w:after="20"/>
            </w:pPr>
            <w:r/>
            <w:r>
              <w:rPr>
                <w:rFonts w:ascii="Aptos" w:hAnsi="Aptos"/>
                <w:b w:val="0"/>
                <w:sz w:val="16"/>
              </w:rPr>
              <w:t>Canonical mode identifier</w:t>
            </w:r>
          </w:p>
        </w:tc>
        <w:tc>
          <w:tcPr>
            <w:tcW w:type="dxa" w:w="4320"/>
            <w:vAlign w:val="center"/>
          </w:tcPr>
          <w:p>
            <w:pPr>
              <w:spacing w:after="20"/>
            </w:pPr>
            <w:r/>
            <w:r>
              <w:rPr>
                <w:rFonts w:ascii="Aptos" w:hAnsi="Aptos"/>
                <w:b w:val="0"/>
                <w:sz w:val="16"/>
              </w:rPr>
              <w:t>Choose one stable identifier, e.g. `mesh_flow`, after searching current naming conventions.</w:t>
            </w:r>
          </w:p>
        </w:tc>
        <w:tc>
          <w:tcPr>
            <w:tcW w:type="dxa" w:w="2520"/>
            <w:vAlign w:val="center"/>
          </w:tcPr>
          <w:p>
            <w:pPr>
              <w:spacing w:after="20"/>
            </w:pPr>
            <w:r/>
            <w:r>
              <w:rPr>
                <w:rFonts w:ascii="Aptos" w:hAnsi="Aptos"/>
                <w:b w:val="0"/>
                <w:sz w:val="16"/>
              </w:rPr>
              <w:t>Dispatch logic may still select the old mode.</w:t>
            </w:r>
          </w:p>
        </w:tc>
      </w:tr>
      <w:tr>
        <w:tc>
          <w:tcPr>
            <w:tcW w:type="dxa" w:w="2232"/>
            <w:vAlign w:val="center"/>
            <w:shd w:fill="F2F6FA"/>
          </w:tcPr>
          <w:p>
            <w:pPr>
              <w:spacing w:after="20"/>
            </w:pPr>
            <w:r/>
            <w:r>
              <w:rPr>
                <w:rFonts w:ascii="Aptos" w:hAnsi="Aptos"/>
                <w:b w:val="0"/>
                <w:sz w:val="16"/>
              </w:rPr>
              <w:t>Mode registry / factory / dispatch</w:t>
            </w:r>
          </w:p>
        </w:tc>
        <w:tc>
          <w:tcPr>
            <w:tcW w:type="dxa" w:w="4320"/>
            <w:vAlign w:val="center"/>
            <w:shd w:fill="F2F6FA"/>
          </w:tcPr>
          <w:p>
            <w:pPr>
              <w:spacing w:after="20"/>
            </w:pPr>
            <w:r/>
            <w:r>
              <w:rPr>
                <w:rFonts w:ascii="Aptos" w:hAnsi="Aptos"/>
                <w:b w:val="0"/>
                <w:sz w:val="16"/>
              </w:rPr>
              <w:t>Update all registrations and selection mappings consistently.</w:t>
            </w:r>
          </w:p>
        </w:tc>
        <w:tc>
          <w:tcPr>
            <w:tcW w:type="dxa" w:w="2520"/>
            <w:vAlign w:val="center"/>
            <w:shd w:fill="F2F6FA"/>
          </w:tcPr>
          <w:p>
            <w:pPr>
              <w:spacing w:after="20"/>
            </w:pPr>
            <w:r/>
            <w:r>
              <w:rPr>
                <w:rFonts w:ascii="Aptos" w:hAnsi="Aptos"/>
                <w:b w:val="0"/>
                <w:sz w:val="16"/>
              </w:rPr>
              <w:t>Mode may fail to instantiate or call the wrong generator.</w:t>
            </w:r>
          </w:p>
        </w:tc>
      </w:tr>
      <w:tr>
        <w:tc>
          <w:tcPr>
            <w:tcW w:type="dxa" w:w="2232"/>
            <w:vAlign w:val="center"/>
          </w:tcPr>
          <w:p>
            <w:pPr>
              <w:spacing w:after="20"/>
            </w:pPr>
            <w:r/>
            <w:r>
              <w:rPr>
                <w:rFonts w:ascii="Aptos" w:hAnsi="Aptos"/>
                <w:b w:val="0"/>
                <w:sz w:val="16"/>
              </w:rPr>
              <w:t>Configuration and saved projects</w:t>
            </w:r>
          </w:p>
        </w:tc>
        <w:tc>
          <w:tcPr>
            <w:tcW w:type="dxa" w:w="4320"/>
            <w:vAlign w:val="center"/>
          </w:tcPr>
          <w:p>
            <w:pPr>
              <w:spacing w:after="20"/>
            </w:pPr>
            <w:r/>
            <w:r>
              <w:rPr>
                <w:rFonts w:ascii="Aptos" w:hAnsi="Aptos"/>
                <w:b w:val="0"/>
                <w:sz w:val="16"/>
              </w:rPr>
              <w:t>Add a backward-compatible alias or migration if the old name/ID is persisted.</w:t>
            </w:r>
          </w:p>
        </w:tc>
        <w:tc>
          <w:tcPr>
            <w:tcW w:type="dxa" w:w="2520"/>
            <w:vAlign w:val="center"/>
          </w:tcPr>
          <w:p>
            <w:pPr>
              <w:spacing w:after="20"/>
            </w:pPr>
            <w:r/>
            <w:r>
              <w:rPr>
                <w:rFonts w:ascii="Aptos" w:hAnsi="Aptos"/>
                <w:b w:val="0"/>
                <w:sz w:val="16"/>
              </w:rPr>
              <w:t>Existing projects/settings may stop loading.</w:t>
            </w:r>
          </w:p>
        </w:tc>
      </w:tr>
      <w:tr>
        <w:tc>
          <w:tcPr>
            <w:tcW w:type="dxa" w:w="2232"/>
            <w:vAlign w:val="center"/>
            <w:shd w:fill="F2F6FA"/>
          </w:tcPr>
          <w:p>
            <w:pPr>
              <w:spacing w:after="20"/>
            </w:pPr>
            <w:r/>
            <w:r>
              <w:rPr>
                <w:rFonts w:ascii="Aptos" w:hAnsi="Aptos"/>
                <w:b w:val="0"/>
                <w:sz w:val="16"/>
              </w:rPr>
              <w:t>Exports and metadata</w:t>
            </w:r>
          </w:p>
        </w:tc>
        <w:tc>
          <w:tcPr>
            <w:tcW w:type="dxa" w:w="4320"/>
            <w:vAlign w:val="center"/>
            <w:shd w:fill="F2F6FA"/>
          </w:tcPr>
          <w:p>
            <w:pPr>
              <w:spacing w:after="20"/>
            </w:pPr>
            <w:r/>
            <w:r>
              <w:rPr>
                <w:rFonts w:ascii="Aptos" w:hAnsi="Aptos"/>
                <w:b w:val="0"/>
                <w:sz w:val="16"/>
              </w:rPr>
              <w:t>Decide whether generated output records the algorithm name; keep file-format compatibility.</w:t>
            </w:r>
          </w:p>
        </w:tc>
        <w:tc>
          <w:tcPr>
            <w:tcW w:type="dxa" w:w="2520"/>
            <w:vAlign w:val="center"/>
            <w:shd w:fill="F2F6FA"/>
          </w:tcPr>
          <w:p>
            <w:pPr>
              <w:spacing w:after="20"/>
            </w:pPr>
            <w:r/>
            <w:r>
              <w:rPr>
                <w:rFonts w:ascii="Aptos" w:hAnsi="Aptos"/>
                <w:b w:val="0"/>
                <w:sz w:val="16"/>
              </w:rPr>
              <w:t>Downstream tools or scripts may depend on the old label.</w:t>
            </w:r>
          </w:p>
        </w:tc>
      </w:tr>
      <w:tr>
        <w:tc>
          <w:tcPr>
            <w:tcW w:type="dxa" w:w="2232"/>
            <w:vAlign w:val="center"/>
          </w:tcPr>
          <w:p>
            <w:pPr>
              <w:spacing w:after="20"/>
            </w:pPr>
            <w:r/>
            <w:r>
              <w:rPr>
                <w:rFonts w:ascii="Aptos" w:hAnsi="Aptos"/>
                <w:b w:val="0"/>
                <w:sz w:val="16"/>
              </w:rPr>
              <w:t>Documentation, help, logs</w:t>
            </w:r>
          </w:p>
        </w:tc>
        <w:tc>
          <w:tcPr>
            <w:tcW w:type="dxa" w:w="4320"/>
            <w:vAlign w:val="center"/>
          </w:tcPr>
          <w:p>
            <w:pPr>
              <w:spacing w:after="20"/>
            </w:pPr>
            <w:r/>
            <w:r>
              <w:rPr>
                <w:rFonts w:ascii="Aptos" w:hAnsi="Aptos"/>
                <w:b w:val="0"/>
                <w:sz w:val="16"/>
              </w:rPr>
              <w:t>Update terminology and distinguish legacy references where needed.</w:t>
            </w:r>
          </w:p>
        </w:tc>
        <w:tc>
          <w:tcPr>
            <w:tcW w:type="dxa" w:w="2520"/>
            <w:vAlign w:val="center"/>
          </w:tcPr>
          <w:p>
            <w:pPr>
              <w:spacing w:after="20"/>
            </w:pPr>
            <w:r/>
            <w:r>
              <w:rPr>
                <w:rFonts w:ascii="Aptos" w:hAnsi="Aptos"/>
                <w:b w:val="0"/>
                <w:sz w:val="16"/>
              </w:rPr>
              <w:t>Troubleshooting becomes ambiguous.</w:t>
            </w:r>
          </w:p>
        </w:tc>
      </w:tr>
      <w:tr>
        <w:tc>
          <w:tcPr>
            <w:tcW w:type="dxa" w:w="2232"/>
            <w:vAlign w:val="center"/>
            <w:shd w:fill="F2F6FA"/>
          </w:tcPr>
          <w:p>
            <w:pPr>
              <w:spacing w:after="20"/>
            </w:pPr>
            <w:r/>
            <w:r>
              <w:rPr>
                <w:rFonts w:ascii="Aptos" w:hAnsi="Aptos"/>
                <w:b w:val="0"/>
                <w:sz w:val="16"/>
              </w:rPr>
              <w:t>Tests and fixtures</w:t>
            </w:r>
          </w:p>
        </w:tc>
        <w:tc>
          <w:tcPr>
            <w:tcW w:type="dxa" w:w="4320"/>
            <w:vAlign w:val="center"/>
            <w:shd w:fill="F2F6FA"/>
          </w:tcPr>
          <w:p>
            <w:pPr>
              <w:spacing w:after="20"/>
            </w:pPr>
            <w:r/>
            <w:r>
              <w:rPr>
                <w:rFonts w:ascii="Aptos" w:hAnsi="Aptos"/>
                <w:b w:val="0"/>
                <w:sz w:val="16"/>
              </w:rPr>
              <w:t>Update expected labels and add a legacy-ID compatibility test if relevant.</w:t>
            </w:r>
          </w:p>
        </w:tc>
        <w:tc>
          <w:tcPr>
            <w:tcW w:type="dxa" w:w="2520"/>
            <w:vAlign w:val="center"/>
            <w:shd w:fill="F2F6FA"/>
          </w:tcPr>
          <w:p>
            <w:pPr>
              <w:spacing w:after="20"/>
            </w:pPr>
            <w:r/>
            <w:r>
              <w:rPr>
                <w:rFonts w:ascii="Aptos" w:hAnsi="Aptos"/>
                <w:b w:val="0"/>
                <w:sz w:val="16"/>
              </w:rPr>
              <w:t>Rename appears successful but breaks regression tests.</w:t>
            </w:r>
          </w:p>
        </w:tc>
      </w:tr>
    </w:tbl>
    <w:p/>
    <w:p>
      <w:r>
        <w:t>Do not blindly rename every occurrence of the words “mesh” or “surface.” Search for the specific Mode 4 enum/key, UI label, factory mapping, settings schema, serialized values, tests, and documentation. Preserve unrelated uses of “mesh surface” as a geometry description.</w:t>
      </w:r>
    </w:p>
    <w:p>
      <w:pPr>
        <w:pStyle w:val="Heading1"/>
      </w:pPr>
      <w:r>
        <w:t>3. What the OLP references support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944"/>
            <w:vAlign w:val="center"/>
            <w:shd w:fill="245A81"/>
          </w:tcPr>
          <w:p>
            <w:pPr>
              <w:spacing w:after="20"/>
            </w:pPr>
            <w:r/>
            <w:r>
              <w:rPr>
                <w:rFonts w:ascii="Aptos" w:hAnsi="Aptos"/>
                <w:b/>
                <w:color w:val="FFFFFF"/>
                <w:sz w:val="14"/>
              </w:rPr>
              <w:t>Reference</w:t>
            </w:r>
          </w:p>
        </w:tc>
        <w:tc>
          <w:tcPr>
            <w:tcW w:type="dxa" w:w="3528"/>
            <w:vAlign w:val="center"/>
            <w:shd w:fill="245A81"/>
          </w:tcPr>
          <w:p>
            <w:pPr>
              <w:spacing w:after="20"/>
            </w:pPr>
            <w:r/>
            <w:r>
              <w:rPr>
                <w:rFonts w:ascii="Aptos" w:hAnsi="Aptos"/>
                <w:b/>
                <w:color w:val="FFFFFF"/>
                <w:sz w:val="14"/>
              </w:rPr>
              <w:t>Source-reported observations</w:t>
            </w:r>
          </w:p>
        </w:tc>
        <w:tc>
          <w:tcPr>
            <w:tcW w:type="dxa" w:w="2880"/>
            <w:vAlign w:val="center"/>
            <w:shd w:fill="245A81"/>
          </w:tcPr>
          <w:p>
            <w:pPr>
              <w:spacing w:after="20"/>
            </w:pPr>
            <w:r/>
            <w:r>
              <w:rPr>
                <w:rFonts w:ascii="Aptos" w:hAnsi="Aptos"/>
                <w:b/>
                <w:color w:val="FFFFFF"/>
                <w:sz w:val="14"/>
              </w:rPr>
              <w:t>Engineering implication</w:t>
            </w:r>
          </w:p>
        </w:tc>
        <w:tc>
          <w:tcPr>
            <w:tcW w:type="dxa" w:w="1296"/>
            <w:vAlign w:val="center"/>
            <w:shd w:fill="245A81"/>
          </w:tcPr>
          <w:p>
            <w:pPr>
              <w:spacing w:after="20"/>
            </w:pPr>
            <w:r/>
            <w:r>
              <w:rPr>
                <w:rFonts w:ascii="Aptos" w:hAnsi="Aptos"/>
                <w:b/>
                <w:color w:val="FFFFFF"/>
                <w:sz w:val="14"/>
              </w:rPr>
              <w:t>Confidence</w:t>
            </w:r>
          </w:p>
        </w:tc>
      </w:tr>
      <w:tr>
        <w:tc>
          <w:tcPr>
            <w:tcW w:type="dxa" w:w="1944"/>
            <w:vAlign w:val="center"/>
            <w:shd w:fill="F2F6FA"/>
          </w:tcPr>
          <w:p>
            <w:pPr>
              <w:spacing w:after="20"/>
            </w:pPr>
            <w:r/>
            <w:r>
              <w:rPr>
                <w:rFonts w:ascii="Aptos" w:hAnsi="Aptos"/>
                <w:b w:val="0"/>
                <w:sz w:val="14"/>
              </w:rPr>
              <w:t>ABB `Exercise_2.mod` — Mazda MX-5</w:t>
            </w:r>
          </w:p>
        </w:tc>
        <w:tc>
          <w:tcPr>
            <w:tcW w:type="dxa" w:w="3528"/>
            <w:vAlign w:val="center"/>
            <w:shd w:fill="F2F6FA"/>
          </w:tcPr>
          <w:p>
            <w:pPr>
              <w:spacing w:after="20"/>
            </w:pPr>
            <w:r/>
            <w:r>
              <w:rPr>
                <w:rFonts w:ascii="Aptos" w:hAnsi="Aptos"/>
                <w:b w:val="0"/>
                <w:sz w:val="14"/>
              </w:rPr>
              <w:t>60 targets in two procedures: `mvHood()` and `mvSideA()`; hood has 24 target calls; alternating passes and lateral X changes around 115–130 mm; side has distinct regions and large transitions; quaternion and external-axis data are present.</w:t>
            </w:r>
          </w:p>
        </w:tc>
        <w:tc>
          <w:tcPr>
            <w:tcW w:type="dxa" w:w="2880"/>
            <w:vAlign w:val="center"/>
            <w:shd w:fill="F2F6FA"/>
          </w:tcPr>
          <w:p>
            <w:pPr>
              <w:spacing w:after="20"/>
            </w:pPr>
            <w:r/>
            <w:r>
              <w:rPr>
                <w:rFonts w:ascii="Aptos" w:hAnsi="Aptos"/>
                <w:b w:val="0"/>
                <w:sz w:val="14"/>
              </w:rPr>
              <w:t>Use region-specific scan frames; parse procedure execution order; preserve external axes and transitions where the output format supports them.</w:t>
            </w:r>
          </w:p>
        </w:tc>
        <w:tc>
          <w:tcPr>
            <w:tcW w:type="dxa" w:w="1296"/>
            <w:vAlign w:val="center"/>
            <w:shd w:fill="F2F6FA"/>
          </w:tcPr>
          <w:p>
            <w:pPr>
              <w:spacing w:after="20"/>
            </w:pPr>
            <w:r/>
            <w:r>
              <w:rPr>
                <w:rFonts w:ascii="Aptos" w:hAnsi="Aptos"/>
                <w:b w:val="0"/>
                <w:sz w:val="14"/>
              </w:rPr>
              <w:t>High for supplied analysis; medium for generalization.</w:t>
            </w:r>
          </w:p>
        </w:tc>
      </w:tr>
      <w:tr>
        <w:tc>
          <w:tcPr>
            <w:tcW w:type="dxa" w:w="1944"/>
            <w:vAlign w:val="center"/>
          </w:tcPr>
          <w:p>
            <w:pPr>
              <w:spacing w:after="20"/>
            </w:pPr>
            <w:r/>
            <w:r>
              <w:rPr>
                <w:rFonts w:ascii="Aptos" w:hAnsi="Aptos"/>
                <w:b w:val="0"/>
                <w:sz w:val="14"/>
              </w:rPr>
              <w:t>FANUC `S1_100.LS` — Wrangler cab</w:t>
            </w:r>
          </w:p>
        </w:tc>
        <w:tc>
          <w:tcPr>
            <w:tcW w:type="dxa" w:w="3528"/>
            <w:vAlign w:val="center"/>
          </w:tcPr>
          <w:p>
            <w:pPr>
              <w:spacing w:after="20"/>
            </w:pPr>
            <w:r/>
            <w:r>
              <w:rPr>
                <w:rFonts w:ascii="Aptos" w:hAnsi="Aptos"/>
                <w:b w:val="0"/>
                <w:sz w:val="14"/>
              </w:rPr>
              <w:t>63 positions; linear and joint moves; gun-off and subsequent movements; W/P/R orientation; variable speeds; numeric point order differs from execution order.</w:t>
            </w:r>
          </w:p>
        </w:tc>
        <w:tc>
          <w:tcPr>
            <w:tcW w:type="dxa" w:w="2880"/>
            <w:vAlign w:val="center"/>
          </w:tcPr>
          <w:p>
            <w:pPr>
              <w:spacing w:after="20"/>
            </w:pPr>
            <w:r/>
            <w:r>
              <w:rPr>
                <w:rFonts w:ascii="Aptos" w:hAnsi="Aptos"/>
                <w:b w:val="0"/>
                <w:sz w:val="14"/>
              </w:rPr>
              <w:t>Execution order and process state must be parsed explicitly. Do not sort points by ID and assume that is the trajectory.</w:t>
            </w:r>
          </w:p>
        </w:tc>
        <w:tc>
          <w:tcPr>
            <w:tcW w:type="dxa" w:w="1296"/>
            <w:vAlign w:val="center"/>
          </w:tcPr>
          <w:p>
            <w:pPr>
              <w:spacing w:after="20"/>
            </w:pPr>
            <w:r/>
            <w:r>
              <w:rPr>
                <w:rFonts w:ascii="Aptos" w:hAnsi="Aptos"/>
                <w:b w:val="0"/>
                <w:sz w:val="14"/>
              </w:rPr>
              <w:t>High for supplied analysis.</w:t>
            </w:r>
          </w:p>
        </w:tc>
      </w:tr>
      <w:tr>
        <w:tc>
          <w:tcPr>
            <w:tcW w:type="dxa" w:w="1944"/>
            <w:vAlign w:val="center"/>
            <w:shd w:fill="F2F6FA"/>
          </w:tcPr>
          <w:p>
            <w:pPr>
              <w:spacing w:after="20"/>
            </w:pPr>
            <w:r/>
            <w:r>
              <w:rPr>
                <w:rFonts w:ascii="Aptos" w:hAnsi="Aptos"/>
                <w:b w:val="0"/>
                <w:sz w:val="14"/>
              </w:rPr>
              <w:t>DÜRR `Aleta_Ptras.tid` + `.tip`</w:t>
            </w:r>
          </w:p>
        </w:tc>
        <w:tc>
          <w:tcPr>
            <w:tcW w:type="dxa" w:w="3528"/>
            <w:vAlign w:val="center"/>
            <w:shd w:fill="F2F6FA"/>
          </w:tcPr>
          <w:p>
            <w:pPr>
              <w:spacing w:after="20"/>
            </w:pPr>
            <w:r/>
            <w:r>
              <w:rPr>
                <w:rFonts w:ascii="Aptos" w:hAnsi="Aptos"/>
                <w:b w:val="0"/>
                <w:sz w:val="14"/>
              </w:rPr>
              <w:t>175 point records; complex early region; region around P31–P78 has X lanes near 1630, 1780, 1930, 2080, 2230, 2380, 2530 mm; approximate 150 mm lane pitch; Z spans roughly −30 to 870–940 mm; direction alternates; Y varies along a lane.</w:t>
            </w:r>
          </w:p>
        </w:tc>
        <w:tc>
          <w:tcPr>
            <w:tcW w:type="dxa" w:w="2880"/>
            <w:vAlign w:val="center"/>
            <w:shd w:fill="F2F6FA"/>
          </w:tcPr>
          <w:p>
            <w:pPr>
              <w:spacing w:after="20"/>
            </w:pPr>
            <w:r/>
            <w:r>
              <w:rPr>
                <w:rFonts w:ascii="Aptos" w:hAnsi="Aptos"/>
                <w:b w:val="0"/>
                <w:sz w:val="14"/>
              </w:rPr>
              <w:t>Strongest evidence for a local serpentine raster whose 3D points adapt to the body. 150 mm is specific to that region, not a default for every part.</w:t>
            </w:r>
          </w:p>
        </w:tc>
        <w:tc>
          <w:tcPr>
            <w:tcW w:type="dxa" w:w="1296"/>
            <w:vAlign w:val="center"/>
            <w:shd w:fill="F2F6FA"/>
          </w:tcPr>
          <w:p>
            <w:pPr>
              <w:spacing w:after="20"/>
            </w:pPr>
            <w:r/>
            <w:r>
              <w:rPr>
                <w:rFonts w:ascii="Aptos" w:hAnsi="Aptos"/>
                <w:b w:val="0"/>
                <w:sz w:val="14"/>
              </w:rPr>
              <w:t>High for the reported region; medium for generalization.</w:t>
            </w:r>
          </w:p>
        </w:tc>
      </w:tr>
      <w:tr>
        <w:tc>
          <w:tcPr>
            <w:tcW w:type="dxa" w:w="1944"/>
            <w:vAlign w:val="center"/>
          </w:tcPr>
          <w:p>
            <w:pPr>
              <w:spacing w:after="20"/>
            </w:pPr>
            <w:r/>
            <w:r>
              <w:rPr>
                <w:rFonts w:ascii="Aptos" w:hAnsi="Aptos"/>
                <w:b w:val="0"/>
                <w:sz w:val="14"/>
              </w:rPr>
              <w:t>DÜRR `xpos_test.tid` + `.tip`</w:t>
            </w:r>
          </w:p>
        </w:tc>
        <w:tc>
          <w:tcPr>
            <w:tcW w:type="dxa" w:w="3528"/>
            <w:vAlign w:val="center"/>
          </w:tcPr>
          <w:p>
            <w:pPr>
              <w:spacing w:after="20"/>
            </w:pPr>
            <w:r/>
            <w:r>
              <w:rPr>
                <w:rFonts w:ascii="Aptos" w:hAnsi="Aptos"/>
                <w:b w:val="0"/>
                <w:sz w:val="14"/>
              </w:rPr>
              <w:t>92 point records but companion program executes five named targets.</w:t>
            </w:r>
          </w:p>
        </w:tc>
        <w:tc>
          <w:tcPr>
            <w:tcW w:type="dxa" w:w="2880"/>
            <w:vAlign w:val="center"/>
          </w:tcPr>
          <w:p>
            <w:pPr>
              <w:spacing w:after="20"/>
            </w:pPr>
            <w:r/>
            <w:r>
              <w:rPr>
                <w:rFonts w:ascii="Aptos" w:hAnsi="Aptos"/>
                <w:b w:val="0"/>
                <w:sz w:val="14"/>
              </w:rPr>
              <w:t>Only executed targets define this test trajectory; unused definitions must not be counted as a complete path.</w:t>
            </w:r>
          </w:p>
        </w:tc>
        <w:tc>
          <w:tcPr>
            <w:tcW w:type="dxa" w:w="1296"/>
            <w:vAlign w:val="center"/>
          </w:tcPr>
          <w:p>
            <w:pPr>
              <w:spacing w:after="20"/>
            </w:pPr>
            <w:r/>
            <w:r>
              <w:rPr>
                <w:rFonts w:ascii="Aptos" w:hAnsi="Aptos"/>
                <w:b w:val="0"/>
                <w:sz w:val="14"/>
              </w:rPr>
              <w:t>High for supplied analysis.</w:t>
            </w:r>
          </w:p>
        </w:tc>
      </w:tr>
      <w:tr>
        <w:tc>
          <w:tcPr>
            <w:tcW w:type="dxa" w:w="1944"/>
            <w:vAlign w:val="center"/>
            <w:shd w:fill="F2F6FA"/>
          </w:tcPr>
          <w:p>
            <w:pPr>
              <w:spacing w:after="20"/>
            </w:pPr>
            <w:r/>
            <w:r>
              <w:rPr>
                <w:rFonts w:ascii="Aptos" w:hAnsi="Aptos"/>
                <w:b w:val="0"/>
                <w:sz w:val="14"/>
              </w:rPr>
              <w:t>DÜRR `MAIN_MAIN_R11.tip`</w:t>
            </w:r>
          </w:p>
        </w:tc>
        <w:tc>
          <w:tcPr>
            <w:tcW w:type="dxa" w:w="3528"/>
            <w:vAlign w:val="center"/>
            <w:shd w:fill="F2F6FA"/>
          </w:tcPr>
          <w:p>
            <w:pPr>
              <w:spacing w:after="20"/>
            </w:pPr>
            <w:r/>
            <w:r>
              <w:rPr>
                <w:rFonts w:ascii="Aptos" w:hAnsi="Aptos"/>
                <w:b w:val="0"/>
                <w:sz w:val="14"/>
              </w:rPr>
              <w:t>Orchestrates setup, tool/object selection, conveyor tracking, main path call, return and cleanup.</w:t>
            </w:r>
          </w:p>
        </w:tc>
        <w:tc>
          <w:tcPr>
            <w:tcW w:type="dxa" w:w="2880"/>
            <w:vAlign w:val="center"/>
            <w:shd w:fill="F2F6FA"/>
          </w:tcPr>
          <w:p>
            <w:pPr>
              <w:spacing w:after="20"/>
            </w:pPr>
            <w:r/>
            <w:r>
              <w:rPr>
                <w:rFonts w:ascii="Aptos" w:hAnsi="Aptos"/>
                <w:b w:val="0"/>
                <w:sz w:val="14"/>
              </w:rPr>
              <w:t>Treat orchestration separately from geometric path generation.</w:t>
            </w:r>
          </w:p>
        </w:tc>
        <w:tc>
          <w:tcPr>
            <w:tcW w:type="dxa" w:w="1296"/>
            <w:vAlign w:val="center"/>
            <w:shd w:fill="F2F6FA"/>
          </w:tcPr>
          <w:p>
            <w:pPr>
              <w:spacing w:after="20"/>
            </w:pPr>
            <w:r/>
            <w:r>
              <w:rPr>
                <w:rFonts w:ascii="Aptos" w:hAnsi="Aptos"/>
                <w:b w:val="0"/>
                <w:sz w:val="14"/>
              </w:rPr>
              <w:t>High for supplied analysis.</w:t>
            </w:r>
          </w:p>
        </w:tc>
      </w:tr>
      <w:tr>
        <w:tc>
          <w:tcPr>
            <w:tcW w:type="dxa" w:w="1944"/>
            <w:vAlign w:val="center"/>
          </w:tcPr>
          <w:p>
            <w:pPr>
              <w:spacing w:after="20"/>
            </w:pPr>
            <w:r/>
            <w:r>
              <w:rPr>
                <w:rFonts w:ascii="Aptos" w:hAnsi="Aptos"/>
                <w:b w:val="0"/>
                <w:sz w:val="14"/>
              </w:rPr>
              <w:t>Reference image</w:t>
            </w:r>
          </w:p>
        </w:tc>
        <w:tc>
          <w:tcPr>
            <w:tcW w:type="dxa" w:w="3528"/>
            <w:vAlign w:val="center"/>
          </w:tcPr>
          <w:p>
            <w:pPr>
              <w:spacing w:after="20"/>
            </w:pPr>
            <w:r/>
            <w:r>
              <w:rPr>
                <w:rFonts w:ascii="Aptos" w:hAnsi="Aptos"/>
                <w:b w:val="0"/>
                <w:sz w:val="14"/>
              </w:rPr>
              <w:t>Separate hood, side, and boundary/transition path behaviors are described.</w:t>
            </w:r>
          </w:p>
        </w:tc>
        <w:tc>
          <w:tcPr>
            <w:tcW w:type="dxa" w:w="2880"/>
            <w:vAlign w:val="center"/>
          </w:tcPr>
          <w:p>
            <w:pPr>
              <w:spacing w:after="20"/>
            </w:pPr>
            <w:r/>
            <w:r>
              <w:rPr>
                <w:rFonts w:ascii="Aptos" w:hAnsi="Aptos"/>
                <w:b w:val="0"/>
                <w:sz w:val="14"/>
              </w:rPr>
              <w:t>Region segmentation is a stronger candidate than one global raster across the whole part.</w:t>
            </w:r>
          </w:p>
        </w:tc>
        <w:tc>
          <w:tcPr>
            <w:tcW w:type="dxa" w:w="1296"/>
            <w:vAlign w:val="center"/>
          </w:tcPr>
          <w:p>
            <w:pPr>
              <w:spacing w:after="20"/>
            </w:pPr>
            <w:r/>
            <w:r>
              <w:rPr>
                <w:rFonts w:ascii="Aptos" w:hAnsi="Aptos"/>
                <w:b w:val="0"/>
                <w:sz w:val="14"/>
              </w:rPr>
              <w:t>Medium: visual interpretation, not a numeric path proof.</w:t>
            </w:r>
          </w:p>
        </w:tc>
      </w:tr>
    </w:tbl>
    <w:p/>
    <w:p>
      <w:r>
        <w:t>Evidence limitation: this document uses the supplied individual-file analysis text as the reference record. It does not independently reparse every robot file or execute the generator. Confidence values therefore describe support in the supplied analysis and engineering plausibility—not a claim of 100% verification.</w:t>
      </w:r>
    </w:p>
    <w:p>
      <w:pPr>
        <w:pStyle w:val="Heading1"/>
      </w:pPr>
      <w:r>
        <w:t>4. Design rules in simple and technical terms</w:t>
      </w:r>
    </w:p>
    <w:p>
      <w:pPr>
        <w:pStyle w:val="Heading2"/>
      </w:pPr>
      <w:r>
        <w:t>R1 — Segment the part into regions</w:t>
      </w:r>
    </w:p>
    <w:p>
      <w:r>
        <w:rPr>
          <w:b/>
        </w:rPr>
        <w:t xml:space="preserve">Simple explanation: </w:t>
      </w:r>
      <w:r>
        <w:t>Simple: do not treat the whole vehicle body as one flat scanning area.</w:t>
      </w:r>
    </w:p>
    <w:p>
      <w:r>
        <w:rPr>
          <w:b/>
        </w:rPr>
        <w:t xml:space="preserve">Technical definition: </w:t>
      </w:r>
      <w:r>
        <w:t>Technical: partition the target surface into connected regions with compatible local scan direction, curvature, accessibility, and process intent. Region boundaries may come from user selection, normals/curvature thresholds, mesh connectivity, or reference-defined zones.</w:t>
      </w:r>
    </w:p>
    <w:p>
      <w:r>
        <w:rPr>
          <w:b/>
        </w:rPr>
        <w:t xml:space="preserve">Confidence: </w:t>
      </w:r>
      <w:r>
        <w:t>Confidence: High that reference programs are region-specific; Medium for any automatic segmentation method.</w:t>
      </w:r>
    </w:p>
    <w:p>
      <w:r>
        <w:rPr>
          <w:b/>
        </w:rPr>
        <w:t xml:space="preserve">Implementation: </w:t>
      </w:r>
      <w:r>
        <w:t>Implementation: first support explicit/user-selected regions or conservative geometric segmentation. Store each region’s frame, boundary, pass direction, pitch, and process state. Avoid splitting solely on noisy triangle normals.</w:t>
      </w:r>
    </w:p>
    <w:p>
      <w:r>
        <w:rPr>
          <w:b/>
        </w:rPr>
        <w:t xml:space="preserve">Validation: </w:t>
      </w:r>
      <w:r>
        <w:t>Validation: compare region boundaries and transitions with reference programs; test connected and disconnected surfaces.</w:t>
      </w:r>
    </w:p>
    <w:p>
      <w:pPr>
        <w:pStyle w:val="Heading2"/>
      </w:pPr>
      <w:r>
        <w:t>R2 — Recover actual execution order</w:t>
      </w:r>
    </w:p>
    <w:p>
      <w:r>
        <w:rPr>
          <w:b/>
        </w:rPr>
        <w:t xml:space="preserve">Simple explanation: </w:t>
      </w:r>
      <w:r>
        <w:t>Simple: follow the order the robot program executes, not the order points appear in a file.</w:t>
      </w:r>
    </w:p>
    <w:p>
      <w:r>
        <w:rPr>
          <w:b/>
        </w:rPr>
        <w:t xml:space="preserve">Technical definition: </w:t>
      </w:r>
      <w:r>
        <w:t>Technical: parse motion instructions and resolve each referenced target to its position, orientation, external axes, speed, and process-state context. Build an ordered motion graph/list.</w:t>
      </w:r>
    </w:p>
    <w:p>
      <w:r>
        <w:rPr>
          <w:b/>
        </w:rPr>
        <w:t xml:space="preserve">Confidence: </w:t>
      </w:r>
      <w:r>
        <w:t>Confidence: High; the supplied FANUC and DÜRR examples explicitly demonstrate this distinction.</w:t>
      </w:r>
    </w:p>
    <w:p>
      <w:r>
        <w:rPr>
          <w:b/>
        </w:rPr>
        <w:t xml:space="preserve">Implementation: </w:t>
      </w:r>
      <w:r>
        <w:t>Implementation: separate target-definition parsing from instruction parsing. Represent each move as a typed segment: paint, approach, retract, transit, joint move, or unknown.</w:t>
      </w:r>
    </w:p>
    <w:p>
      <w:r>
        <w:rPr>
          <w:b/>
        </w:rPr>
        <w:t xml:space="preserve">Validation: </w:t>
      </w:r>
      <w:r>
        <w:t>Validation: reproduce known program waypoint sequences and compare the parsed ordered target list against the source program.</w:t>
      </w:r>
    </w:p>
    <w:p>
      <w:pPr>
        <w:pStyle w:val="Heading2"/>
      </w:pPr>
      <w:r>
        <w:t>R3 — Estimate a primary pass direction per region</w:t>
      </w:r>
    </w:p>
    <w:p>
      <w:r>
        <w:rPr>
          <w:b/>
        </w:rPr>
        <w:t xml:space="preserve">Simple explanation: </w:t>
      </w:r>
      <w:r>
        <w:t>Simple: decide the main direction for the long passes locally.</w:t>
      </w:r>
    </w:p>
    <w:p>
      <w:r>
        <w:rPr>
          <w:b/>
        </w:rPr>
        <w:t xml:space="preserve">Technical definition: </w:t>
      </w:r>
      <w:r>
        <w:t>Technical: estimate a unit vector from reference pass tangents, user direction, region principal axis, or a projected preferred direction. Do not assume global X/Y/Z axes are correct for every part.</w:t>
      </w:r>
    </w:p>
    <w:p>
      <w:r>
        <w:rPr>
          <w:b/>
        </w:rPr>
        <w:t xml:space="preserve">Confidence: </w:t>
      </w:r>
      <w:r>
        <w:t>Confidence: High that references use different directions by region; Medium for the best automatic estimator.</w:t>
      </w:r>
    </w:p>
    <w:p>
      <w:r>
        <w:rPr>
          <w:b/>
        </w:rPr>
        <w:t xml:space="preserve">Implementation: </w:t>
      </w:r>
      <w:r>
        <w:t>Implementation: prefer reference/user direction if supplied; otherwise estimate a stable principal direction from region geometry and evaluate candidate directions against coverage and collision constraints.</w:t>
      </w:r>
    </w:p>
    <w:p>
      <w:r>
        <w:rPr>
          <w:b/>
        </w:rPr>
        <w:t xml:space="preserve">Validation: </w:t>
      </w:r>
      <w:r>
        <w:t>Validation: compare estimated direction with reference passes in a common coordinate frame.</w:t>
      </w:r>
    </w:p>
    <w:p>
      <w:pPr>
        <w:pStyle w:val="Heading2"/>
      </w:pPr>
      <w:r>
        <w:t>R4 — Define lateral pass spacing</w:t>
      </w:r>
    </w:p>
    <w:p>
      <w:r>
        <w:rPr>
          <w:b/>
        </w:rPr>
        <w:t xml:space="preserve">Simple explanation: </w:t>
      </w:r>
      <w:r>
        <w:t>Simple: shift to the next lane by a controlled distance.</w:t>
      </w:r>
    </w:p>
    <w:p>
      <w:r>
        <w:rPr>
          <w:b/>
        </w:rPr>
        <w:t xml:space="preserve">Technical definition: </w:t>
      </w:r>
      <w:r>
        <w:t>Technical: compute the perpendicular separation between neighboring pass centerlines in the local scan frame. If coating width and overlap are known, pitch may be derived from them; otherwise treat pitch as an explicit parameter or estimate it from the reference.</w:t>
      </w:r>
    </w:p>
    <w:p>
      <w:r>
        <w:rPr>
          <w:b/>
        </w:rPr>
        <w:t xml:space="preserve">Confidence: </w:t>
      </w:r>
      <w:r>
        <w:t>Confidence: High for the local approximately 150 mm DÜRR lane spacing reported; Low for any universal pitch value.</w:t>
      </w:r>
    </w:p>
    <w:p>
      <w:r>
        <w:rPr>
          <w:b/>
        </w:rPr>
        <w:t xml:space="preserve">Implementation: </w:t>
      </w:r>
      <w:r>
        <w:t>Implementation: distinguish `reference_pitch_mm`, `effective_spray_width_mm`, and `overlap_ratio`. Do not assume the 150 mm reference spacing is valid for other guns, parts, or process settings.</w:t>
      </w:r>
    </w:p>
    <w:p>
      <w:r>
        <w:rPr>
          <w:b/>
        </w:rPr>
        <w:t xml:space="preserve">Validation: </w:t>
      </w:r>
      <w:r>
        <w:t>Validation: measure lane spacing in the source coordinate frame and assess coverage gaps/overlap.</w:t>
      </w:r>
    </w:p>
    <w:p>
      <w:pPr>
        <w:pStyle w:val="Heading2"/>
      </w:pPr>
      <w:r>
        <w:t>R5 — Alternate direction between lanes where appropriate</w:t>
      </w:r>
    </w:p>
    <w:p>
      <w:r>
        <w:rPr>
          <w:b/>
        </w:rPr>
        <w:t xml:space="preserve">Simple explanation: </w:t>
      </w:r>
      <w:r>
        <w:t>Simple: travel down one lane, shift sideways, then travel back along the next lane.</w:t>
      </w:r>
    </w:p>
    <w:p>
      <w:r>
        <w:rPr>
          <w:b/>
        </w:rPr>
        <w:t xml:space="preserve">Technical definition: </w:t>
      </w:r>
      <w:r>
        <w:t>Technical: use a serpentine order to reduce unnecessary return travel. For lane index k, the nominal direction sign is (-1)^k, while the actual lane curve remains surface-adaptive.</w:t>
      </w:r>
    </w:p>
    <w:p>
      <w:r>
        <w:rPr>
          <w:b/>
        </w:rPr>
        <w:t xml:space="preserve">Confidence: </w:t>
      </w:r>
      <w:r>
        <w:t>Confidence: High for the ABB hood and DÜRR raster regions; Medium as a global default.</w:t>
      </w:r>
    </w:p>
    <w:p>
      <w:r>
        <w:rPr>
          <w:b/>
        </w:rPr>
        <w:t xml:space="preserve">Implementation: </w:t>
      </w:r>
      <w:r>
        <w:t>Implementation: apply alternating direction only within a region where lanes form a coherent raster. Insert explicit transition moves between regions; do not reverse direction blindly across disconnected patches.</w:t>
      </w:r>
    </w:p>
    <w:p>
      <w:r>
        <w:rPr>
          <w:b/>
        </w:rPr>
        <w:t xml:space="preserve">Validation: </w:t>
      </w:r>
      <w:r>
        <w:t>Validation: compare travel length, transition count, and exact lane order against references.</w:t>
      </w:r>
    </w:p>
    <w:p>
      <w:pPr>
        <w:pStyle w:val="Heading2"/>
      </w:pPr>
      <w:r>
        <w:t>R6 — Follow meaningful 3D curvature, not triangle noise</w:t>
      </w:r>
    </w:p>
    <w:p>
      <w:r>
        <w:rPr>
          <w:b/>
        </w:rPr>
        <w:t xml:space="preserve">Simple explanation: </w:t>
      </w:r>
      <w:r>
        <w:t>Simple: the path should bend with the real body shape, but not wiggle because the mesh triangles are uneven.</w:t>
      </w:r>
    </w:p>
    <w:p>
      <w:r>
        <w:rPr>
          <w:b/>
        </w:rPr>
        <w:t xml:space="preserve">Technical definition: </w:t>
      </w:r>
      <w:r>
        <w:t>Technical: create each lane as a 3D curve on/near the target surface; smooth the sampled curve with constraints on surface deviation, curvature, and process tolerances. Filter mesh noise without erasing important edges or features.</w:t>
      </w:r>
    </w:p>
    <w:p>
      <w:r>
        <w:rPr>
          <w:b/>
        </w:rPr>
        <w:t xml:space="preserve">Confidence: </w:t>
      </w:r>
      <w:r>
        <w:t>Confidence: Medium; supported as the intended behavior, but the smoothing thresholds need mesh-specific validation.</w:t>
      </w:r>
    </w:p>
    <w:p>
      <w:r>
        <w:rPr>
          <w:b/>
        </w:rPr>
        <w:t xml:space="preserve">Implementation: </w:t>
      </w:r>
      <w:r>
        <w:t>Implementation: smooth in arc-length space; preserve region boundaries and protected features; constrain deviation from the target surface. Avoid smoothing only by averaging points without a surface-error bound.</w:t>
      </w:r>
    </w:p>
    <w:p>
      <w:r>
        <w:rPr>
          <w:b/>
        </w:rPr>
        <w:t xml:space="preserve">Validation: </w:t>
      </w:r>
      <w:r>
        <w:t>Validation: measure RMS and maximum surface deviation, curvature spikes, and reference-path deviation.</w:t>
      </w:r>
    </w:p>
    <w:p>
      <w:pPr>
        <w:pStyle w:val="Heading2"/>
      </w:pPr>
      <w:r>
        <w:t>R7 — Calculate tool orientation independently from travel direction</w:t>
      </w:r>
    </w:p>
    <w:p>
      <w:r>
        <w:rPr>
          <w:b/>
        </w:rPr>
        <w:t xml:space="preserve">Simple explanation: </w:t>
      </w:r>
      <w:r>
        <w:t>Simple: the robot’s movement direction and the gun’s pointing direction are different things.</w:t>
      </w:r>
    </w:p>
    <w:p>
      <w:r>
        <w:rPr>
          <w:b/>
        </w:rPr>
        <w:t xml:space="preserve">Technical definition: </w:t>
      </w:r>
      <w:r>
        <w:t>Technical: estimate a stable surface normal and construct a tool frame using the desired pointing axis and projected path tangent. Convert the frame using the robot/controller’s actual tool-axis convention.</w:t>
      </w:r>
    </w:p>
    <w:p>
      <w:r>
        <w:rPr>
          <w:b/>
        </w:rPr>
        <w:t xml:space="preserve">Confidence: </w:t>
      </w:r>
      <w:r>
        <w:t>Confidence: High that reference files contain orientations; Medium for reconstructing orientation from mesh normals alone.</w:t>
      </w:r>
    </w:p>
    <w:p>
      <w:r>
        <w:rPr>
          <w:b/>
        </w:rPr>
        <w:t xml:space="preserve">Implementation: </w:t>
      </w:r>
      <w:r>
        <w:t>Implementation: prefer valid reference poses where available; otherwise use area-weighted or interpolated normals, a consistent tangent frame, and orientation continuity checks. Confirm quaternion/WPR conventions and tool calibration.</w:t>
      </w:r>
    </w:p>
    <w:p>
      <w:r>
        <w:rPr>
          <w:b/>
        </w:rPr>
        <w:t xml:space="preserve">Validation: </w:t>
      </w:r>
      <w:r>
        <w:t>Validation: test known poses, normal direction, quaternion normalization, angular jumps, and robot reachability.</w:t>
      </w:r>
    </w:p>
    <w:p>
      <w:pPr>
        <w:pStyle w:val="Heading2"/>
      </w:pPr>
      <w:r>
        <w:t>R8 — Keep painting and transition moves separate</w:t>
      </w:r>
    </w:p>
    <w:p>
      <w:r>
        <w:rPr>
          <w:b/>
        </w:rPr>
        <w:t xml:space="preserve">Simple explanation: </w:t>
      </w:r>
      <w:r>
        <w:t>Simple: do not paint during every movement between lanes or regions.</w:t>
      </w:r>
    </w:p>
    <w:p>
      <w:r>
        <w:rPr>
          <w:b/>
        </w:rPr>
        <w:t xml:space="preserve">Technical definition: </w:t>
      </w:r>
      <w:r>
        <w:t>Technical: each segment must carry motion type, paint enable state, speed, and optional brush/tool state. A connector between passes is not automatically a painting segment.</w:t>
      </w:r>
    </w:p>
    <w:p>
      <w:r>
        <w:rPr>
          <w:b/>
        </w:rPr>
        <w:t xml:space="preserve">Confidence: </w:t>
      </w:r>
      <w:r>
        <w:t>Confidence: High; source programs contain gun/brush state and motion/speed instructions.</w:t>
      </w:r>
    </w:p>
    <w:p>
      <w:r>
        <w:rPr>
          <w:b/>
        </w:rPr>
        <w:t xml:space="preserve">Implementation: </w:t>
      </w:r>
      <w:r>
        <w:t>Implementation: maintain a process-state timeline independent of geometry. Set gun-off for approach/retract/transit unless a process-specific rule says otherwise.</w:t>
      </w:r>
    </w:p>
    <w:p>
      <w:r>
        <w:rPr>
          <w:b/>
        </w:rPr>
        <w:t xml:space="preserve">Validation: </w:t>
      </w:r>
      <w:r>
        <w:t>Validation: verify state transitions and ensure no unintended paint-on connectors.</w:t>
      </w:r>
    </w:p>
    <w:p>
      <w:pPr>
        <w:pStyle w:val="Heading2"/>
      </w:pPr>
      <w:r>
        <w:t>R9 — Preserve coordinate frames and external axes</w:t>
      </w:r>
    </w:p>
    <w:p>
      <w:r>
        <w:rPr>
          <w:b/>
        </w:rPr>
        <w:t xml:space="preserve">Simple explanation: </w:t>
      </w:r>
      <w:r>
        <w:t>Simple: coordinates are meaningful only in the right robot/model coordinate system.</w:t>
      </w:r>
    </w:p>
    <w:p>
      <w:r>
        <w:rPr>
          <w:b/>
        </w:rPr>
        <w:t xml:space="preserve">Technical definition: </w:t>
      </w:r>
      <w:r>
        <w:t>Technical: transform mesh points, TCP points, and normals consistently between mesh, work-object, robot base, and tool frames; retain external-axis values if relevant.</w:t>
      </w:r>
    </w:p>
    <w:p>
      <w:r>
        <w:rPr>
          <w:b/>
        </w:rPr>
        <w:t xml:space="preserve">Confidence: </w:t>
      </w:r>
      <w:r>
        <w:t>Confidence: High that ABB target definitions include external axes and frames matter; Medium until frame metadata is checked end to end.</w:t>
      </w:r>
    </w:p>
    <w:p>
      <w:r>
        <w:rPr>
          <w:b/>
        </w:rPr>
        <w:t xml:space="preserve">Implementation: </w:t>
      </w:r>
      <w:r>
        <w:t>Implementation: store frame IDs and transforms explicitly; never compare raw XYZ values across unrelated robot programs without normalization.</w:t>
      </w:r>
    </w:p>
    <w:p>
      <w:r>
        <w:rPr>
          <w:b/>
        </w:rPr>
        <w:t xml:space="preserve">Validation: </w:t>
      </w:r>
      <w:r>
        <w:t>Validation: round-trip known reference points through transforms and check units/handedness.</w:t>
      </w:r>
    </w:p>
    <w:p>
      <w:pPr>
        <w:pStyle w:val="Heading2"/>
      </w:pPr>
      <w:r>
        <w:t>R10 — Validate safety and coverage before export</w:t>
      </w:r>
    </w:p>
    <w:p>
      <w:r>
        <w:rPr>
          <w:b/>
        </w:rPr>
        <w:t xml:space="preserve">Simple explanation: </w:t>
      </w:r>
      <w:r>
        <w:t>Simple: a visually smooth path is not necessarily safe or complete.</w:t>
      </w:r>
    </w:p>
    <w:p>
      <w:r>
        <w:rPr>
          <w:b/>
        </w:rPr>
        <w:t xml:space="preserve">Technical definition: </w:t>
      </w:r>
      <w:r>
        <w:t>Technical: evaluate standoff, orientation jumps, surface error, coverage, collisions, reachability, and controller constraints before exporting.</w:t>
      </w:r>
    </w:p>
    <w:p>
      <w:r>
        <w:rPr>
          <w:b/>
        </w:rPr>
        <w:t xml:space="preserve">Confidence: </w:t>
      </w:r>
      <w:r>
        <w:t>Confidence: High as a safety/quality requirement; exact thresholds are project/process dependent.</w:t>
      </w:r>
    </w:p>
    <w:p>
      <w:r>
        <w:rPr>
          <w:b/>
        </w:rPr>
        <w:t xml:space="preserve">Implementation: </w:t>
      </w:r>
      <w:r>
        <w:t>Implementation: return validation findings with severity and waypoint/segment IDs; fail export on hard safety violations rather than silently fixing them.</w:t>
      </w:r>
    </w:p>
    <w:p>
      <w:r>
        <w:rPr>
          <w:b/>
        </w:rPr>
        <w:t xml:space="preserve">Validation: </w:t>
      </w:r>
      <w:r>
        <w:t>Validation: unit tests, mesh regression suite, reference comparisons, simulator checks, and eventual robot-cell validation.</w:t>
      </w:r>
    </w:p>
    <w:p>
      <w:pPr>
        <w:pStyle w:val="Heading1"/>
      </w:pPr>
      <w:r>
        <w:t>5. Formula reference appendix</w:t>
      </w:r>
    </w:p>
    <w:p>
      <w:r>
        <w:t>Notation: bold letters are 3D vectors; ||v|| is vector length; a hat denotes a unit vector; dot and cross denote dot and cross products. All coordinates in a calculation must use the same frame and length unit. Formula confidence describes suitability as a candidate implementation method, not proof that the reference engineer used that exact equation.</w:t>
      </w:r>
    </w:p>
    <w:p>
      <w:pPr>
        <w:pStyle w:val="Heading3"/>
      </w:pPr>
      <w:r>
        <w:t>F01. Vector from A to B</w:t>
      </w:r>
    </w:p>
    <w:p>
      <w:pPr>
        <w:spacing w:after="60"/>
        <w:ind w:left="259"/>
      </w:pPr>
      <w:r>
        <w:rPr>
          <w:rFonts w:ascii="Cambria Math" w:hAnsi="Cambria Math"/>
          <w:b/>
          <w:sz w:val="20"/>
        </w:rPr>
        <w:t>v = b − a</w:t>
      </w:r>
    </w:p>
    <w:p>
      <w:r>
        <w:rPr>
          <w:b/>
        </w:rPr>
        <w:t xml:space="preserve">Simple meaning: </w:t>
      </w:r>
      <w:r>
        <w:t>The direction from point A to point B.</w:t>
      </w:r>
    </w:p>
    <w:p>
      <w:r>
        <w:rPr>
          <w:b/>
        </w:rPr>
        <w:t xml:space="preserve">Technical meaning: </w:t>
      </w:r>
      <w:r>
        <w:t>Subtract position vectors in a shared coordinate frame.</w:t>
      </w:r>
    </w:p>
    <w:p>
      <w:r>
        <w:rPr>
          <w:b/>
        </w:rPr>
        <w:t xml:space="preserve">Confidence: </w:t>
      </w:r>
      <w:r>
        <w:t xml:space="preserve">High — standard identity.. </w:t>
      </w:r>
      <w:r>
        <w:rPr>
          <w:b/>
        </w:rPr>
        <w:t xml:space="preserve">Evidence / basis: </w:t>
      </w:r>
      <w:r>
        <w:t>Standard geometric identity or proposed engineering metric; not evidence that the OLP engineer used this exact equation.</w:t>
      </w:r>
    </w:p>
    <w:p>
      <w:r>
        <w:rPr>
          <w:b/>
        </w:rPr>
        <w:t xml:space="preserve">Implementation: </w:t>
      </w:r>
      <w:r>
        <w:t>Used for tangents, segment lengths and direction estimates.</w:t>
      </w:r>
    </w:p>
    <w:p>
      <w:pPr>
        <w:pStyle w:val="Heading3"/>
      </w:pPr>
      <w:r>
        <w:t>F02. Vector length</w:t>
      </w:r>
    </w:p>
    <w:p>
      <w:pPr>
        <w:spacing w:after="60"/>
        <w:ind w:left="259"/>
      </w:pPr>
      <w:r>
        <w:rPr>
          <w:rFonts w:ascii="Cambria Math" w:hAnsi="Cambria Math"/>
          <w:b/>
          <w:sz w:val="20"/>
        </w:rPr>
        <w:t>||v|| = sqrt(vx² + vy² + vz²)</w:t>
      </w:r>
    </w:p>
    <w:p>
      <w:r>
        <w:rPr>
          <w:b/>
        </w:rPr>
        <w:t xml:space="preserve">Simple meaning: </w:t>
      </w:r>
      <w:r>
        <w:t>How long a vector is.</w:t>
      </w:r>
    </w:p>
    <w:p>
      <w:r>
        <w:rPr>
          <w:b/>
        </w:rPr>
        <w:t xml:space="preserve">Technical meaning: </w:t>
      </w:r>
      <w:r>
        <w:t>Euclidean norm of a 3D vector.</w:t>
      </w:r>
    </w:p>
    <w:p>
      <w:r>
        <w:rPr>
          <w:b/>
        </w:rPr>
        <w:t xml:space="preserve">Confidence: </w:t>
      </w:r>
      <w:r>
        <w:t xml:space="preserve">High — standard identity.. </w:t>
      </w:r>
      <w:r>
        <w:rPr>
          <w:b/>
        </w:rPr>
        <w:t xml:space="preserve">Evidence / basis: </w:t>
      </w:r>
      <w:r>
        <w:t>Standard geometric identity or proposed engineering metric; not evidence that the OLP engineer used this exact equation.</w:t>
      </w:r>
    </w:p>
    <w:p>
      <w:r>
        <w:rPr>
          <w:b/>
        </w:rPr>
        <w:t xml:space="preserve">Implementation: </w:t>
      </w:r>
      <w:r>
        <w:t>Use for distances; reject non-finite values.</w:t>
      </w:r>
    </w:p>
    <w:p>
      <w:pPr>
        <w:pStyle w:val="Heading3"/>
      </w:pPr>
      <w:r>
        <w:t>F03. Unit vector</w:t>
      </w:r>
    </w:p>
    <w:p>
      <w:pPr>
        <w:spacing w:after="60"/>
        <w:ind w:left="259"/>
      </w:pPr>
      <w:r>
        <w:rPr>
          <w:rFonts w:ascii="Cambria Math" w:hAnsi="Cambria Math"/>
          <w:b/>
          <w:sz w:val="20"/>
        </w:rPr>
        <w:t>v_hat = v / ||v||, if ||v|| &gt; ε</w:t>
      </w:r>
    </w:p>
    <w:p>
      <w:r>
        <w:rPr>
          <w:b/>
        </w:rPr>
        <w:t xml:space="preserve">Simple meaning: </w:t>
      </w:r>
      <w:r>
        <w:t>Turn a vector into a direction of length one.</w:t>
      </w:r>
    </w:p>
    <w:p>
      <w:r>
        <w:rPr>
          <w:b/>
        </w:rPr>
        <w:t xml:space="preserve">Technical meaning: </w:t>
      </w:r>
      <w:r>
        <w:t>Normalize nonzero vectors with a numerical tolerance ε.</w:t>
      </w:r>
    </w:p>
    <w:p>
      <w:r>
        <w:rPr>
          <w:b/>
        </w:rPr>
        <w:t xml:space="preserve">Confidence: </w:t>
      </w:r>
      <w:r>
        <w:t xml:space="preserve">High — standard identity.. </w:t>
      </w:r>
      <w:r>
        <w:rPr>
          <w:b/>
        </w:rPr>
        <w:t xml:space="preserve">Evidence / basis: </w:t>
      </w:r>
      <w:r>
        <w:t>Standard geometric identity or proposed engineering metric; not evidence that the OLP engineer used this exact equation.</w:t>
      </w:r>
    </w:p>
    <w:p>
      <w:r>
        <w:rPr>
          <w:b/>
        </w:rPr>
        <w:t xml:space="preserve">Implementation: </w:t>
      </w:r>
      <w:r>
        <w:t>Guard zero-length segments; use a fallback or report an error.</w:t>
      </w:r>
    </w:p>
    <w:p>
      <w:pPr>
        <w:pStyle w:val="Heading3"/>
      </w:pPr>
      <w:r>
        <w:t>F04. Dot product</w:t>
      </w:r>
    </w:p>
    <w:p>
      <w:pPr>
        <w:spacing w:after="60"/>
        <w:ind w:left="259"/>
      </w:pPr>
      <w:r>
        <w:rPr>
          <w:rFonts w:ascii="Cambria Math" w:hAnsi="Cambria Math"/>
          <w:b/>
          <w:sz w:val="20"/>
        </w:rPr>
        <w:t>a · b = ax bx + ay by + az bz</w:t>
      </w:r>
    </w:p>
    <w:p>
      <w:r>
        <w:rPr>
          <w:b/>
        </w:rPr>
        <w:t xml:space="preserve">Simple meaning: </w:t>
      </w:r>
      <w:r>
        <w:t>Measures directional alignment.</w:t>
      </w:r>
    </w:p>
    <w:p>
      <w:r>
        <w:rPr>
          <w:b/>
        </w:rPr>
        <w:t xml:space="preserve">Technical meaning: </w:t>
      </w:r>
      <w:r>
        <w:t>For unit vectors, the result is cosine of their angle.</w:t>
      </w:r>
    </w:p>
    <w:p>
      <w:r>
        <w:rPr>
          <w:b/>
        </w:rPr>
        <w:t xml:space="preserve">Confidence: </w:t>
      </w:r>
      <w:r>
        <w:t xml:space="preserve">High — standard identity.. </w:t>
      </w:r>
      <w:r>
        <w:rPr>
          <w:b/>
        </w:rPr>
        <w:t xml:space="preserve">Evidence / basis: </w:t>
      </w:r>
      <w:r>
        <w:t>Standard geometric identity or proposed engineering metric; not evidence that the OLP engineer used this exact equation.</w:t>
      </w:r>
    </w:p>
    <w:p>
      <w:r>
        <w:rPr>
          <w:b/>
        </w:rPr>
        <w:t xml:space="preserve">Implementation: </w:t>
      </w:r>
      <w:r>
        <w:t>Clamp computed cosine to [−1, 1] before inverse cosine.</w:t>
      </w:r>
    </w:p>
    <w:p>
      <w:pPr>
        <w:pStyle w:val="Heading3"/>
      </w:pPr>
      <w:r>
        <w:t>F05. Cross product</w:t>
      </w:r>
    </w:p>
    <w:p>
      <w:pPr>
        <w:spacing w:after="60"/>
        <w:ind w:left="259"/>
      </w:pPr>
      <w:r>
        <w:rPr>
          <w:rFonts w:ascii="Cambria Math" w:hAnsi="Cambria Math"/>
          <w:b/>
          <w:sz w:val="20"/>
        </w:rPr>
        <w:t>a × b</w:t>
      </w:r>
    </w:p>
    <w:p>
      <w:r>
        <w:rPr>
          <w:b/>
        </w:rPr>
        <w:t xml:space="preserve">Simple meaning: </w:t>
      </w:r>
      <w:r>
        <w:t>Creates a vector perpendicular to both inputs.</w:t>
      </w:r>
    </w:p>
    <w:p>
      <w:r>
        <w:rPr>
          <w:b/>
        </w:rPr>
        <w:t xml:space="preserve">Technical meaning: </w:t>
      </w:r>
      <w:r>
        <w:t>Right-handed 3D cross product; order determines sign.</w:t>
      </w:r>
    </w:p>
    <w:p>
      <w:r>
        <w:rPr>
          <w:b/>
        </w:rPr>
        <w:t xml:space="preserve">Confidence: </w:t>
      </w:r>
      <w:r>
        <w:t xml:space="preserve">High — standard identity.. </w:t>
      </w:r>
      <w:r>
        <w:rPr>
          <w:b/>
        </w:rPr>
        <w:t xml:space="preserve">Evidence / basis: </w:t>
      </w:r>
      <w:r>
        <w:t>Standard geometric identity or proposed engineering metric; not evidence that the OLP engineer used this exact equation.</w:t>
      </w:r>
    </w:p>
    <w:p>
      <w:r>
        <w:rPr>
          <w:b/>
        </w:rPr>
        <w:t xml:space="preserve">Implementation: </w:t>
      </w:r>
      <w:r>
        <w:t>Check near-parallel inputs before normalizing.</w:t>
      </w:r>
    </w:p>
    <w:p>
      <w:pPr>
        <w:pStyle w:val="Heading3"/>
      </w:pPr>
      <w:r>
        <w:t>F06. Project preferred direction onto reference plane</w:t>
      </w:r>
    </w:p>
    <w:p>
      <w:pPr>
        <w:spacing w:after="60"/>
        <w:ind w:left="259"/>
      </w:pPr>
      <w:r>
        <w:rPr>
          <w:rFonts w:ascii="Cambria Math" w:hAnsi="Cambria Math"/>
          <w:b/>
          <w:sz w:val="20"/>
        </w:rPr>
        <w:t>d' = d0 − (d0 · n0) n0</w:t>
      </w:r>
    </w:p>
    <w:p>
      <w:r>
        <w:rPr>
          <w:b/>
        </w:rPr>
        <w:t xml:space="preserve">Simple meaning: </w:t>
      </w:r>
      <w:r>
        <w:t>Remove the part of the direction pointing through the plane.</w:t>
      </w:r>
    </w:p>
    <w:p>
      <w:r>
        <w:rPr>
          <w:b/>
        </w:rPr>
        <w:t xml:space="preserve">Technical meaning: </w:t>
      </w:r>
      <w:r>
        <w:t>Projection onto a plane with unit normal n0.</w:t>
      </w:r>
    </w:p>
    <w:p>
      <w:r>
        <w:rPr>
          <w:b/>
        </w:rPr>
        <w:t xml:space="preserve">Confidence: </w:t>
      </w:r>
      <w:r>
        <w:t xml:space="preserve">High for planar projection; Medium as a scan-frame choice.. </w:t>
      </w:r>
      <w:r>
        <w:rPr>
          <w:b/>
        </w:rPr>
        <w:t xml:space="preserve">Evidence / basis: </w:t>
      </w:r>
      <w:r>
        <w:t>Standard geometric identity or proposed engineering metric; not evidence that the OLP engineer used this exact equation.</w:t>
      </w:r>
    </w:p>
    <w:p>
      <w:r>
        <w:rPr>
          <w:b/>
        </w:rPr>
        <w:t xml:space="preserve">Implementation: </w:t>
      </w:r>
      <w:r>
        <w:t>Normalize n0 first; if d' is near zero, choose another preferred direction.</w:t>
      </w:r>
    </w:p>
    <w:p>
      <w:pPr>
        <w:pStyle w:val="Heading3"/>
      </w:pPr>
      <w:r>
        <w:t>F07. Local scan frame</w:t>
      </w:r>
    </w:p>
    <w:p>
      <w:pPr>
        <w:spacing w:after="60"/>
        <w:ind w:left="259"/>
      </w:pPr>
      <w:r>
        <w:rPr>
          <w:rFonts w:ascii="Cambria Math" w:hAnsi="Cambria Math"/>
          <w:b/>
          <w:sz w:val="20"/>
        </w:rPr>
        <w:t>d_hat = normalize(d');  s_hat = normalize(n0 × d_hat)</w:t>
      </w:r>
    </w:p>
    <w:p>
      <w:r>
        <w:rPr>
          <w:b/>
        </w:rPr>
        <w:t xml:space="preserve">Simple meaning: </w:t>
      </w:r>
      <w:r>
        <w:t>Build a forward direction and a sideways direction.</w:t>
      </w:r>
    </w:p>
    <w:p>
      <w:r>
        <w:rPr>
          <w:b/>
        </w:rPr>
        <w:t xml:space="preserve">Technical meaning: </w:t>
      </w:r>
      <w:r>
        <w:t>Construct orthonormal directions from a preferred tangent and normal.</w:t>
      </w:r>
    </w:p>
    <w:p>
      <w:r>
        <w:rPr>
          <w:b/>
        </w:rPr>
        <w:t xml:space="preserve">Confidence: </w:t>
      </w:r>
      <w:r>
        <w:t xml:space="preserve">Medium — standard construction, direction selection is inferred.. </w:t>
      </w:r>
      <w:r>
        <w:rPr>
          <w:b/>
        </w:rPr>
        <w:t xml:space="preserve">Evidence / basis: </w:t>
      </w:r>
      <w:r>
        <w:t>Standard geometric identity or proposed engineering metric; not evidence that the OLP engineer used this exact equation.</w:t>
      </w:r>
    </w:p>
    <w:p>
      <w:r>
        <w:rPr>
          <w:b/>
        </w:rPr>
        <w:t xml:space="preserve">Implementation: </w:t>
      </w:r>
      <w:r>
        <w:t>Check orthogonality and handedness; use local frames for different regions.</w:t>
      </w:r>
    </w:p>
    <w:p>
      <w:pPr>
        <w:pStyle w:val="Heading3"/>
      </w:pPr>
      <w:r>
        <w:t>F08. Signed distance to scan plane</w:t>
      </w:r>
    </w:p>
    <w:p>
      <w:pPr>
        <w:spacing w:after="60"/>
        <w:ind w:left="259"/>
      </w:pPr>
      <w:r>
        <w:rPr>
          <w:rFonts w:ascii="Cambria Math" w:hAnsi="Cambria Math"/>
          <w:b/>
          <w:sz w:val="20"/>
        </w:rPr>
        <w:t>δ(x) = s_hat · (x − p0) − k Δ</w:t>
      </w:r>
    </w:p>
    <w:p>
      <w:r>
        <w:rPr>
          <w:b/>
        </w:rPr>
        <w:t xml:space="preserve">Simple meaning: </w:t>
      </w:r>
      <w:r>
        <w:t>Check which side of a lane plane a point lies on.</w:t>
      </w:r>
    </w:p>
    <w:p>
      <w:r>
        <w:rPr>
          <w:b/>
        </w:rPr>
        <w:t xml:space="preserve">Technical meaning: </w:t>
      </w:r>
      <w:r>
        <w:t>Signed scalar distance from x to the kth plane in a family of parallel planes.</w:t>
      </w:r>
    </w:p>
    <w:p>
      <w:r>
        <w:rPr>
          <w:b/>
        </w:rPr>
        <w:t xml:space="preserve">Confidence: </w:t>
      </w:r>
      <w:r>
        <w:t xml:space="preserve">Medium — proposed slicing method.. </w:t>
      </w:r>
      <w:r>
        <w:rPr>
          <w:b/>
        </w:rPr>
        <w:t xml:space="preserve">Evidence / basis: </w:t>
      </w:r>
      <w:r>
        <w:t>Standard geometric identity or proposed engineering metric; not evidence that the OLP engineer used this exact equation.</w:t>
      </w:r>
    </w:p>
    <w:p>
      <w:r>
        <w:rPr>
          <w:b/>
        </w:rPr>
        <w:t xml:space="preserve">Implementation: </w:t>
      </w:r>
      <w:r>
        <w:t>All terms must share units; k is lane index and Δ is pitch.</w:t>
      </w:r>
    </w:p>
    <w:p>
      <w:pPr>
        <w:pStyle w:val="Heading3"/>
      </w:pPr>
      <w:r>
        <w:t>F09. Edge/plane intersection parameter</w:t>
      </w:r>
    </w:p>
    <w:p>
      <w:pPr>
        <w:spacing w:after="60"/>
        <w:ind w:left="259"/>
      </w:pPr>
      <w:r>
        <w:rPr>
          <w:rFonts w:ascii="Cambria Math" w:hAnsi="Cambria Math"/>
          <w:b/>
          <w:sz w:val="20"/>
        </w:rPr>
        <w:t>t = δ(a) / (δ(a) − δ(b))</w:t>
      </w:r>
    </w:p>
    <w:p>
      <w:r>
        <w:rPr>
          <w:b/>
        </w:rPr>
        <w:t xml:space="preserve">Simple meaning: </w:t>
      </w:r>
      <w:r>
        <w:t>Find where a triangle edge crosses a plane.</w:t>
      </w:r>
    </w:p>
    <w:p>
      <w:r>
        <w:rPr>
          <w:b/>
        </w:rPr>
        <w:t xml:space="preserve">Technical meaning: </w:t>
      </w:r>
      <w:r>
        <w:t>Linear interpolation parameter for opposite signed distances.</w:t>
      </w:r>
    </w:p>
    <w:p>
      <w:r>
        <w:rPr>
          <w:b/>
        </w:rPr>
        <w:t xml:space="preserve">Confidence: </w:t>
      </w:r>
      <w:r>
        <w:t xml:space="preserve">High for nonparallel crossing; standard geometry.. </w:t>
      </w:r>
      <w:r>
        <w:rPr>
          <w:b/>
        </w:rPr>
        <w:t xml:space="preserve">Evidence / basis: </w:t>
      </w:r>
      <w:r>
        <w:t>Standard geometric identity or proposed engineering metric; not evidence that the OLP engineer used this exact equation.</w:t>
      </w:r>
    </w:p>
    <w:p>
      <w:r>
        <w:rPr>
          <w:b/>
        </w:rPr>
        <w:t xml:space="preserve">Implementation: </w:t>
      </w:r>
      <w:r>
        <w:t>Handle denominator near zero and points exactly on the plane.</w:t>
      </w:r>
    </w:p>
    <w:p>
      <w:pPr>
        <w:pStyle w:val="Heading3"/>
      </w:pPr>
      <w:r>
        <w:t>F10. Intersection point</w:t>
      </w:r>
    </w:p>
    <w:p>
      <w:pPr>
        <w:spacing w:after="60"/>
        <w:ind w:left="259"/>
      </w:pPr>
      <w:r>
        <w:rPr>
          <w:rFonts w:ascii="Cambria Math" w:hAnsi="Cambria Math"/>
          <w:b/>
          <w:sz w:val="20"/>
        </w:rPr>
        <w:t>q = a + t (b − a)</w:t>
      </w:r>
    </w:p>
    <w:p>
      <w:r>
        <w:rPr>
          <w:b/>
        </w:rPr>
        <w:t xml:space="preserve">Simple meaning: </w:t>
      </w:r>
      <w:r>
        <w:t>Locate the crossing point on an edge.</w:t>
      </w:r>
    </w:p>
    <w:p>
      <w:r>
        <w:rPr>
          <w:b/>
        </w:rPr>
        <w:t xml:space="preserve">Technical meaning: </w:t>
      </w:r>
      <w:r>
        <w:t>Interpolate between edge endpoints with t in [0,1].</w:t>
      </w:r>
    </w:p>
    <w:p>
      <w:r>
        <w:rPr>
          <w:b/>
        </w:rPr>
        <w:t xml:space="preserve">Confidence: </w:t>
      </w:r>
      <w:r>
        <w:t xml:space="preserve">High — standard identity.. </w:t>
      </w:r>
      <w:r>
        <w:rPr>
          <w:b/>
        </w:rPr>
        <w:t xml:space="preserve">Evidence / basis: </w:t>
      </w:r>
      <w:r>
        <w:t>Standard geometric identity or proposed engineering metric; not evidence that the OLP engineer used this exact equation.</w:t>
      </w:r>
    </w:p>
    <w:p>
      <w:r>
        <w:rPr>
          <w:b/>
        </w:rPr>
        <w:t xml:space="preserve">Implementation: </w:t>
      </w:r>
      <w:r>
        <w:t>Deduplicate near-identical points at shared triangle edges.</w:t>
      </w:r>
    </w:p>
    <w:p>
      <w:pPr>
        <w:pStyle w:val="Heading3"/>
      </w:pPr>
      <w:r>
        <w:t>F11. Scan-plane equation</w:t>
      </w:r>
    </w:p>
    <w:p>
      <w:pPr>
        <w:spacing w:after="60"/>
        <w:ind w:left="259"/>
      </w:pPr>
      <w:r>
        <w:rPr>
          <w:rFonts w:ascii="Cambria Math" w:hAnsi="Cambria Math"/>
          <w:b/>
          <w:sz w:val="20"/>
        </w:rPr>
        <w:t>s_hat · (x − p0) = k Δ</w:t>
      </w:r>
    </w:p>
    <w:p>
      <w:r>
        <w:rPr>
          <w:b/>
        </w:rPr>
        <w:t xml:space="preserve">Simple meaning: </w:t>
      </w:r>
      <w:r>
        <w:t>Define one lane's slicing plane.</w:t>
      </w:r>
    </w:p>
    <w:p>
      <w:r>
        <w:rPr>
          <w:b/>
        </w:rPr>
        <w:t xml:space="preserve">Technical meaning: </w:t>
      </w:r>
      <w:r>
        <w:t>A family of planes indexed by integer k.</w:t>
      </w:r>
    </w:p>
    <w:p>
      <w:r>
        <w:rPr>
          <w:b/>
        </w:rPr>
        <w:t xml:space="preserve">Confidence: </w:t>
      </w:r>
      <w:r>
        <w:t xml:space="preserve">Medium — one candidate strategy, not required by references.. </w:t>
      </w:r>
      <w:r>
        <w:rPr>
          <w:b/>
        </w:rPr>
        <w:t xml:space="preserve">Evidence / basis: </w:t>
      </w:r>
      <w:r>
        <w:t>Standard geometric identity or proposed engineering metric; not evidence that the OLP engineer used this exact equation.</w:t>
      </w:r>
    </w:p>
    <w:p>
      <w:r>
        <w:rPr>
          <w:b/>
        </w:rPr>
        <w:t xml:space="preserve">Implementation: </w:t>
      </w:r>
      <w:r>
        <w:t>This plane family is suitable only if a local scan frame is valid for the region.</w:t>
      </w:r>
    </w:p>
    <w:p>
      <w:pPr>
        <w:pStyle w:val="Heading3"/>
      </w:pPr>
      <w:r>
        <w:t>F12. Number of planes</w:t>
      </w:r>
    </w:p>
    <w:p>
      <w:pPr>
        <w:spacing w:after="60"/>
        <w:ind w:left="259"/>
      </w:pPr>
      <w:r>
        <w:rPr>
          <w:rFonts w:ascii="Cambria Math" w:hAnsi="Cambria Math"/>
          <w:b/>
          <w:sz w:val="20"/>
        </w:rPr>
        <w:t>N = floor((s_max − s_min)/Δ) + 1</w:t>
      </w:r>
    </w:p>
    <w:p>
      <w:r>
        <w:rPr>
          <w:b/>
        </w:rPr>
        <w:t xml:space="preserve">Simple meaning: </w:t>
      </w:r>
      <w:r>
        <w:t>Estimate how many lanes fit across a region.</w:t>
      </w:r>
    </w:p>
    <w:p>
      <w:r>
        <w:rPr>
          <w:b/>
        </w:rPr>
        <w:t xml:space="preserve">Technical meaning: </w:t>
      </w:r>
      <w:r>
        <w:t>Count evenly spaced lane coordinates over the chosen interval.</w:t>
      </w:r>
    </w:p>
    <w:p>
      <w:r>
        <w:rPr>
          <w:b/>
        </w:rPr>
        <w:t xml:space="preserve">Confidence: </w:t>
      </w:r>
      <w:r>
        <w:t xml:space="preserve">Medium — depends on endpoint policy.. </w:t>
      </w:r>
      <w:r>
        <w:rPr>
          <w:b/>
        </w:rPr>
        <w:t xml:space="preserve">Evidence / basis: </w:t>
      </w:r>
      <w:r>
        <w:t>Standard geometric identity or proposed engineering metric; not evidence that the OLP engineer used this exact equation.</w:t>
      </w:r>
    </w:p>
    <w:p>
      <w:r>
        <w:rPr>
          <w:b/>
        </w:rPr>
        <w:t xml:space="preserve">Implementation: </w:t>
      </w:r>
      <w:r>
        <w:t>Handle reversed bounds and decide whether to add a final boundary lane.</w:t>
      </w:r>
    </w:p>
    <w:p>
      <w:pPr>
        <w:pStyle w:val="Heading3"/>
      </w:pPr>
      <w:r>
        <w:t>F13. Segment direction</w:t>
      </w:r>
    </w:p>
    <w:p>
      <w:pPr>
        <w:spacing w:after="60"/>
        <w:ind w:left="259"/>
      </w:pPr>
      <w:r>
        <w:rPr>
          <w:rFonts w:ascii="Cambria Math" w:hAnsi="Cambria Math"/>
          <w:b/>
          <w:sz w:val="20"/>
        </w:rPr>
        <w:t>d_i = normalize(q_(i+1) − q_i)</w:t>
      </w:r>
    </w:p>
    <w:p>
      <w:r>
        <w:rPr>
          <w:b/>
        </w:rPr>
        <w:t xml:space="preserve">Simple meaning: </w:t>
      </w:r>
      <w:r>
        <w:t>Direction of one small path segment.</w:t>
      </w:r>
    </w:p>
    <w:p>
      <w:r>
        <w:rPr>
          <w:b/>
        </w:rPr>
        <w:t xml:space="preserve">Technical meaning: </w:t>
      </w:r>
      <w:r>
        <w:t>Finite-difference tangent estimate.</w:t>
      </w:r>
    </w:p>
    <w:p>
      <w:r>
        <w:rPr>
          <w:b/>
        </w:rPr>
        <w:t xml:space="preserve">Confidence: </w:t>
      </w:r>
      <w:r>
        <w:t xml:space="preserve">High — standard identity.. </w:t>
      </w:r>
      <w:r>
        <w:rPr>
          <w:b/>
        </w:rPr>
        <w:t xml:space="preserve">Evidence / basis: </w:t>
      </w:r>
      <w:r>
        <w:t>Standard geometric identity or proposed engineering metric; not evidence that the OLP engineer used this exact equation.</w:t>
      </w:r>
    </w:p>
    <w:p>
      <w:r>
        <w:rPr>
          <w:b/>
        </w:rPr>
        <w:t xml:space="preserve">Implementation: </w:t>
      </w:r>
      <w:r>
        <w:t>Skip duplicate points; use a wider neighborhood if noisy.</w:t>
      </w:r>
    </w:p>
    <w:p>
      <w:pPr>
        <w:pStyle w:val="Heading3"/>
      </w:pPr>
      <w:r>
        <w:t>F14. Point-to-line perpendicular deviation</w:t>
      </w:r>
    </w:p>
    <w:p>
      <w:pPr>
        <w:spacing w:after="60"/>
        <w:ind w:left="259"/>
      </w:pPr>
      <w:r>
        <w:rPr>
          <w:rFonts w:ascii="Cambria Math" w:hAnsi="Cambria Math"/>
          <w:b/>
          <w:sz w:val="20"/>
        </w:rPr>
        <w:t>e_i = ||(q_i − a) − ((q_i − a) · u)u||</w:t>
      </w:r>
    </w:p>
    <w:p>
      <w:r>
        <w:rPr>
          <w:b/>
        </w:rPr>
        <w:t xml:space="preserve">Simple meaning: </w:t>
      </w:r>
      <w:r>
        <w:t>How far a point sits sideways from a straight line.</w:t>
      </w:r>
    </w:p>
    <w:p>
      <w:r>
        <w:rPr>
          <w:b/>
        </w:rPr>
        <w:t xml:space="preserve">Technical meaning: </w:t>
      </w:r>
      <w:r>
        <w:t>Distance from q_i to the infinite line through a with unit direction u.</w:t>
      </w:r>
    </w:p>
    <w:p>
      <w:r>
        <w:rPr>
          <w:b/>
        </w:rPr>
        <w:t xml:space="preserve">Confidence: </w:t>
      </w:r>
      <w:r>
        <w:t xml:space="preserve">High — standard identity.. </w:t>
      </w:r>
      <w:r>
        <w:rPr>
          <w:b/>
        </w:rPr>
        <w:t xml:space="preserve">Evidence / basis: </w:t>
      </w:r>
      <w:r>
        <w:t>Standard geometric identity or proposed engineering metric; not evidence that the OLP engineer used this exact equation.</w:t>
      </w:r>
    </w:p>
    <w:p>
      <w:r>
        <w:rPr>
          <w:b/>
        </w:rPr>
        <w:t xml:space="preserve">Implementation: </w:t>
      </w:r>
      <w:r>
        <w:t>Use only for assessing local straightness; do not force curved regions flat.</w:t>
      </w:r>
    </w:p>
    <w:p>
      <w:pPr>
        <w:pStyle w:val="Heading3"/>
      </w:pPr>
      <w:r>
        <w:t>F15. Maximum line deviation</w:t>
      </w:r>
    </w:p>
    <w:p>
      <w:pPr>
        <w:spacing w:after="60"/>
        <w:ind w:left="259"/>
      </w:pPr>
      <w:r>
        <w:rPr>
          <w:rFonts w:ascii="Cambria Math" w:hAnsi="Cambria Math"/>
          <w:b/>
          <w:sz w:val="20"/>
        </w:rPr>
        <w:t>E_max = max_i e_i</w:t>
      </w:r>
    </w:p>
    <w:p>
      <w:r>
        <w:rPr>
          <w:b/>
        </w:rPr>
        <w:t xml:space="preserve">Simple meaning: </w:t>
      </w:r>
      <w:r>
        <w:t>Largest sideways bend away from a reference line.</w:t>
      </w:r>
    </w:p>
    <w:p>
      <w:r>
        <w:rPr>
          <w:b/>
        </w:rPr>
        <w:t xml:space="preserve">Technical meaning: </w:t>
      </w:r>
      <w:r>
        <w:t>Worst-case deviation metric for a candidate pass.</w:t>
      </w:r>
    </w:p>
    <w:p>
      <w:r>
        <w:rPr>
          <w:b/>
        </w:rPr>
        <w:t xml:space="preserve">Confidence: </w:t>
      </w:r>
      <w:r>
        <w:t xml:space="preserve">High — standard metric.. </w:t>
      </w:r>
      <w:r>
        <w:rPr>
          <w:b/>
        </w:rPr>
        <w:t xml:space="preserve">Evidence / basis: </w:t>
      </w:r>
      <w:r>
        <w:t>Standard geometric identity or proposed engineering metric; not evidence that the OLP engineer used this exact equation.</w:t>
      </w:r>
    </w:p>
    <w:p>
      <w:r>
        <w:rPr>
          <w:b/>
        </w:rPr>
        <w:t xml:space="preserve">Implementation: </w:t>
      </w:r>
      <w:r>
        <w:t>Set tolerance from process requirements, not arbitrary convenience.</w:t>
      </w:r>
    </w:p>
    <w:p>
      <w:pPr>
        <w:pStyle w:val="Heading3"/>
      </w:pPr>
      <w:r>
        <w:t>F16. Mean squared line deviation</w:t>
      </w:r>
    </w:p>
    <w:p>
      <w:pPr>
        <w:spacing w:after="60"/>
        <w:ind w:left="259"/>
      </w:pPr>
      <w:r>
        <w:rPr>
          <w:rFonts w:ascii="Cambria Math" w:hAnsi="Cambria Math"/>
          <w:b/>
          <w:sz w:val="20"/>
        </w:rPr>
        <w:t>E_line = (1/n) Σ e_i²</w:t>
      </w:r>
    </w:p>
    <w:p>
      <w:r>
        <w:rPr>
          <w:b/>
        </w:rPr>
        <w:t xml:space="preserve">Simple meaning: </w:t>
      </w:r>
      <w:r>
        <w:t>Average squared departure from a line.</w:t>
      </w:r>
    </w:p>
    <w:p>
      <w:r>
        <w:rPr>
          <w:b/>
        </w:rPr>
        <w:t xml:space="preserve">Technical meaning: </w:t>
      </w:r>
      <w:r>
        <w:t>Least-squares straightness objective.</w:t>
      </w:r>
    </w:p>
    <w:p>
      <w:r>
        <w:rPr>
          <w:b/>
        </w:rPr>
        <w:t xml:space="preserve">Confidence: </w:t>
      </w:r>
      <w:r>
        <w:t xml:space="preserve">High — standard metric.. </w:t>
      </w:r>
      <w:r>
        <w:rPr>
          <w:b/>
        </w:rPr>
        <w:t xml:space="preserve">Evidence / basis: </w:t>
      </w:r>
      <w:r>
        <w:t>Standard geometric identity or proposed engineering metric; not evidence that the OLP engineer used this exact equation.</w:t>
      </w:r>
    </w:p>
    <w:p>
      <w:r>
        <w:rPr>
          <w:b/>
        </w:rPr>
        <w:t xml:space="preserve">Implementation: </w:t>
      </w:r>
      <w:r>
        <w:t>Combine with max error so one large local defect is not hidden.</w:t>
      </w:r>
    </w:p>
    <w:p>
      <w:pPr>
        <w:pStyle w:val="Heading3"/>
      </w:pPr>
      <w:r>
        <w:t>F17. Second difference</w:t>
      </w:r>
    </w:p>
    <w:p>
      <w:pPr>
        <w:spacing w:after="60"/>
        <w:ind w:left="259"/>
      </w:pPr>
      <w:r>
        <w:rPr>
          <w:rFonts w:ascii="Cambria Math" w:hAnsi="Cambria Math"/>
          <w:b/>
          <w:sz w:val="20"/>
        </w:rPr>
        <w:t>Δ²q_i = q_(i+1) − 2q_i + q_(i−1)</w:t>
      </w:r>
    </w:p>
    <w:p>
      <w:r>
        <w:rPr>
          <w:b/>
        </w:rPr>
        <w:t xml:space="preserve">Simple meaning: </w:t>
      </w:r>
      <w:r>
        <w:t>Shows how sharply the point sequence changes direction.</w:t>
      </w:r>
    </w:p>
    <w:p>
      <w:r>
        <w:rPr>
          <w:b/>
        </w:rPr>
        <w:t xml:space="preserve">Technical meaning: </w:t>
      </w:r>
      <w:r>
        <w:t>Discrete second derivative proxy for equally spaced samples.</w:t>
      </w:r>
    </w:p>
    <w:p>
      <w:r>
        <w:rPr>
          <w:b/>
        </w:rPr>
        <w:t xml:space="preserve">Confidence: </w:t>
      </w:r>
      <w:r>
        <w:t xml:space="preserve">High as a discrete operator; Medium as curvature proxy.. </w:t>
      </w:r>
      <w:r>
        <w:rPr>
          <w:b/>
        </w:rPr>
        <w:t xml:space="preserve">Evidence / basis: </w:t>
      </w:r>
      <w:r>
        <w:t>Standard geometric identity or proposed engineering metric; not evidence that the OLP engineer used this exact equation.</w:t>
      </w:r>
    </w:p>
    <w:p>
      <w:r>
        <w:rPr>
          <w:b/>
        </w:rPr>
        <w:t xml:space="preserve">Implementation: </w:t>
      </w:r>
      <w:r>
        <w:t>Resample by arc length before interpreting magnitude.</w:t>
      </w:r>
    </w:p>
    <w:p>
      <w:pPr>
        <w:pStyle w:val="Heading3"/>
      </w:pPr>
      <w:r>
        <w:t>F18. Smoothness penalty</w:t>
      </w:r>
    </w:p>
    <w:p>
      <w:pPr>
        <w:spacing w:after="60"/>
        <w:ind w:left="259"/>
      </w:pPr>
      <w:r>
        <w:rPr>
          <w:rFonts w:ascii="Cambria Math" w:hAnsi="Cambria Math"/>
          <w:b/>
          <w:sz w:val="20"/>
        </w:rPr>
        <w:t>E_smooth = Σ ||Δ²q_i||²</w:t>
      </w:r>
    </w:p>
    <w:p>
      <w:r>
        <w:rPr>
          <w:b/>
        </w:rPr>
        <w:t xml:space="preserve">Simple meaning: </w:t>
      </w:r>
      <w:r>
        <w:t>Penalize abrupt wiggles.</w:t>
      </w:r>
    </w:p>
    <w:p>
      <w:r>
        <w:rPr>
          <w:b/>
        </w:rPr>
        <w:t xml:space="preserve">Technical meaning: </w:t>
      </w:r>
      <w:r>
        <w:t>Squared second-difference regularizer.</w:t>
      </w:r>
    </w:p>
    <w:p>
      <w:r>
        <w:rPr>
          <w:b/>
        </w:rPr>
        <w:t xml:space="preserve">Confidence: </w:t>
      </w:r>
      <w:r>
        <w:t xml:space="preserve">Medium — useful objective, weight needs tuning.. </w:t>
      </w:r>
      <w:r>
        <w:rPr>
          <w:b/>
        </w:rPr>
        <w:t xml:space="preserve">Evidence / basis: </w:t>
      </w:r>
      <w:r>
        <w:t>Standard geometric identity or proposed engineering metric; not evidence that the OLP engineer used this exact equation.</w:t>
      </w:r>
    </w:p>
    <w:p>
      <w:r>
        <w:rPr>
          <w:b/>
        </w:rPr>
        <w:t xml:space="preserve">Implementation: </w:t>
      </w:r>
      <w:r>
        <w:t>Constrain surface deviation while smoothing.</w:t>
      </w:r>
    </w:p>
    <w:p>
      <w:pPr>
        <w:pStyle w:val="Heading3"/>
      </w:pPr>
      <w:r>
        <w:t>F19. Approximate curvature</w:t>
      </w:r>
    </w:p>
    <w:p>
      <w:pPr>
        <w:spacing w:after="60"/>
        <w:ind w:left="259"/>
      </w:pPr>
      <w:r>
        <w:rPr>
          <w:rFonts w:ascii="Cambria Math" w:hAnsi="Cambria Math"/>
          <w:b/>
          <w:sz w:val="20"/>
        </w:rPr>
        <w:t>κ_i ≈ ||Δ²q_i|| / δs²</w:t>
      </w:r>
    </w:p>
    <w:p>
      <w:r>
        <w:rPr>
          <w:b/>
        </w:rPr>
        <w:t xml:space="preserve">Simple meaning: </w:t>
      </w:r>
      <w:r>
        <w:t>Estimate how sharply a path bends.</w:t>
      </w:r>
    </w:p>
    <w:p>
      <w:r>
        <w:rPr>
          <w:b/>
        </w:rPr>
        <w:t xml:space="preserve">Technical meaning: </w:t>
      </w:r>
      <w:r>
        <w:t>Second-difference curvature proxy for approximately equal arc-length spacing δs.</w:t>
      </w:r>
    </w:p>
    <w:p>
      <w:r>
        <w:rPr>
          <w:b/>
        </w:rPr>
        <w:t xml:space="preserve">Confidence: </w:t>
      </w:r>
      <w:r>
        <w:t xml:space="preserve">Medium — approximation.. </w:t>
      </w:r>
      <w:r>
        <w:rPr>
          <w:b/>
        </w:rPr>
        <w:t xml:space="preserve">Evidence / basis: </w:t>
      </w:r>
      <w:r>
        <w:t>Standard geometric identity or proposed engineering metric; not evidence that the OLP engineer used this exact equation.</w:t>
      </w:r>
    </w:p>
    <w:p>
      <w:r>
        <w:rPr>
          <w:b/>
        </w:rPr>
        <w:t xml:space="preserve">Implementation: </w:t>
      </w:r>
      <w:r>
        <w:t>For nonuniform spacing, use a proper nonuniform derivative or resample.</w:t>
      </w:r>
    </w:p>
    <w:p>
      <w:pPr>
        <w:pStyle w:val="Heading3"/>
      </w:pPr>
      <w:r>
        <w:t>F20. Reference-path deviation</w:t>
      </w:r>
    </w:p>
    <w:p>
      <w:pPr>
        <w:spacing w:after="60"/>
        <w:ind w:left="259"/>
      </w:pPr>
      <w:r>
        <w:rPr>
          <w:rFonts w:ascii="Cambria Math" w:hAnsi="Cambria Math"/>
          <w:b/>
          <w:sz w:val="20"/>
        </w:rPr>
        <w:t>E_ref = Σ ||q_i − q_i*||²</w:t>
      </w:r>
    </w:p>
    <w:p>
      <w:r>
        <w:rPr>
          <w:b/>
        </w:rPr>
        <w:t xml:space="preserve">Simple meaning: </w:t>
      </w:r>
      <w:r>
        <w:t>Measure how far the generated path differs from an engineer's path.</w:t>
      </w:r>
    </w:p>
    <w:p>
      <w:r>
        <w:rPr>
          <w:b/>
        </w:rPr>
        <w:t xml:space="preserve">Technical meaning: </w:t>
      </w:r>
      <w:r>
        <w:t>Pointwise squared error after corresponding paths are aligned and resampled.</w:t>
      </w:r>
    </w:p>
    <w:p>
      <w:r>
        <w:rPr>
          <w:b/>
        </w:rPr>
        <w:t xml:space="preserve">Confidence: </w:t>
      </w:r>
      <w:r>
        <w:t xml:space="preserve">Medium — requires correspondence.. </w:t>
      </w:r>
      <w:r>
        <w:rPr>
          <w:b/>
        </w:rPr>
        <w:t xml:space="preserve">Evidence / basis: </w:t>
      </w:r>
      <w:r>
        <w:t>Standard geometric identity or proposed engineering metric; not evidence that the OLP engineer used this exact equation.</w:t>
      </w:r>
    </w:p>
    <w:p>
      <w:r>
        <w:rPr>
          <w:b/>
        </w:rPr>
        <w:t xml:space="preserve">Implementation: </w:t>
      </w:r>
      <w:r>
        <w:t>Do not compare raw point index i if sample counts differ.</w:t>
      </w:r>
    </w:p>
    <w:p>
      <w:pPr>
        <w:pStyle w:val="Heading3"/>
      </w:pPr>
      <w:r>
        <w:t>F21. Combined objective</w:t>
      </w:r>
    </w:p>
    <w:p>
      <w:pPr>
        <w:spacing w:after="60"/>
        <w:ind w:left="259"/>
      </w:pPr>
      <w:r>
        <w:rPr>
          <w:rFonts w:ascii="Cambria Math" w:hAnsi="Cambria Math"/>
          <w:b/>
          <w:sz w:val="20"/>
        </w:rPr>
        <w:t>J = λr E_ref + λd E_dir + λc E_smooth</w:t>
      </w:r>
    </w:p>
    <w:p>
      <w:r>
        <w:rPr>
          <w:b/>
        </w:rPr>
        <w:t xml:space="preserve">Simple meaning: </w:t>
      </w:r>
      <w:r>
        <w:t>Balance matching, direction and smoothness.</w:t>
      </w:r>
    </w:p>
    <w:p>
      <w:r>
        <w:rPr>
          <w:b/>
        </w:rPr>
        <w:t xml:space="preserve">Technical meaning: </w:t>
      </w:r>
      <w:r>
        <w:t>Weighted objective with nonnegative terms and tunable weights.</w:t>
      </w:r>
    </w:p>
    <w:p>
      <w:r>
        <w:rPr>
          <w:b/>
        </w:rPr>
        <w:t xml:space="preserve">Confidence: </w:t>
      </w:r>
      <w:r>
        <w:t xml:space="preserve">Low until weights and correspondence are calibrated.. </w:t>
      </w:r>
      <w:r>
        <w:rPr>
          <w:b/>
        </w:rPr>
        <w:t xml:space="preserve">Evidence / basis: </w:t>
      </w:r>
      <w:r>
        <w:t>Standard geometric identity or proposed engineering metric; not evidence that the OLP engineer used this exact equation.</w:t>
      </w:r>
    </w:p>
    <w:p>
      <w:r>
        <w:rPr>
          <w:b/>
        </w:rPr>
        <w:t xml:space="preserve">Implementation: </w:t>
      </w:r>
      <w:r>
        <w:t>Normalize terms or use physically meaningful weights; retain hard constraints separately.</w:t>
      </w:r>
    </w:p>
    <w:p>
      <w:r>
        <w:rPr>
          <w:b/>
        </w:rPr>
        <w:t xml:space="preserve">Caution: </w:t>
      </w:r>
      <w:r>
        <w:t>Treat as a candidate equation; verify assumptions and calibrate parameters against actual reference pairs.</w:t>
      </w:r>
    </w:p>
    <w:p>
      <w:pPr>
        <w:pStyle w:val="Heading3"/>
      </w:pPr>
      <w:r>
        <w:t>F22. Surface conformity error</w:t>
      </w:r>
    </w:p>
    <w:p>
      <w:pPr>
        <w:spacing w:after="60"/>
        <w:ind w:left="259"/>
      </w:pPr>
      <w:r>
        <w:rPr>
          <w:rFonts w:ascii="Cambria Math" w:hAnsi="Cambria Math"/>
          <w:b/>
          <w:sz w:val="20"/>
        </w:rPr>
        <w:t>E_surface = Σ dist(q_i, M)²</w:t>
      </w:r>
    </w:p>
    <w:p>
      <w:r>
        <w:rPr>
          <w:b/>
        </w:rPr>
        <w:t xml:space="preserve">Simple meaning: </w:t>
      </w:r>
      <w:r>
        <w:t>Measure whether path points remain close to the mesh.</w:t>
      </w:r>
    </w:p>
    <w:p>
      <w:r>
        <w:rPr>
          <w:b/>
        </w:rPr>
        <w:t xml:space="preserve">Technical meaning: </w:t>
      </w:r>
      <w:r>
        <w:t>Squared point-to-mesh distance for mesh M.</w:t>
      </w:r>
    </w:p>
    <w:p>
      <w:r>
        <w:rPr>
          <w:b/>
        </w:rPr>
        <w:t xml:space="preserve">Confidence: </w:t>
      </w:r>
      <w:r>
        <w:t xml:space="preserve">High as a metric; Medium for chosen distance implementation.. </w:t>
      </w:r>
      <w:r>
        <w:rPr>
          <w:b/>
        </w:rPr>
        <w:t xml:space="preserve">Evidence / basis: </w:t>
      </w:r>
      <w:r>
        <w:t>Standard geometric identity or proposed engineering metric; not evidence that the OLP engineer used this exact equation.</w:t>
      </w:r>
    </w:p>
    <w:p>
      <w:r>
        <w:rPr>
          <w:b/>
        </w:rPr>
        <w:t xml:space="preserve">Implementation: </w:t>
      </w:r>
      <w:r>
        <w:t>Use closest point on triangles, not nearest vertex alone.</w:t>
      </w:r>
    </w:p>
    <w:p>
      <w:pPr>
        <w:pStyle w:val="Heading3"/>
      </w:pPr>
      <w:r>
        <w:t>F23. Full candidate objective</w:t>
      </w:r>
    </w:p>
    <w:p>
      <w:pPr>
        <w:spacing w:after="60"/>
        <w:ind w:left="259"/>
      </w:pPr>
      <w:r>
        <w:rPr>
          <w:rFonts w:ascii="Cambria Math" w:hAnsi="Cambria Math"/>
          <w:b/>
          <w:sz w:val="20"/>
        </w:rPr>
        <w:t>J = λs E_surface + λd E_dir + λc E_smooth + λw E_waviness</w:t>
      </w:r>
    </w:p>
    <w:p>
      <w:r>
        <w:rPr>
          <w:b/>
        </w:rPr>
        <w:t xml:space="preserve">Simple meaning: </w:t>
      </w:r>
      <w:r>
        <w:t>Balance staying on the surface, direction, smoothness and mesh-noise resistance.</w:t>
      </w:r>
    </w:p>
    <w:p>
      <w:r>
        <w:rPr>
          <w:b/>
        </w:rPr>
        <w:t xml:space="preserve">Technical meaning: </w:t>
      </w:r>
      <w:r>
        <w:t>Multi-objective path score; terms need compatible scaling.</w:t>
      </w:r>
    </w:p>
    <w:p>
      <w:r>
        <w:rPr>
          <w:b/>
        </w:rPr>
        <w:t xml:space="preserve">Confidence: </w:t>
      </w:r>
      <w:r>
        <w:t xml:space="preserve">Low until calibrated on reference pairs.. </w:t>
      </w:r>
      <w:r>
        <w:rPr>
          <w:b/>
        </w:rPr>
        <w:t xml:space="preserve">Evidence / basis: </w:t>
      </w:r>
      <w:r>
        <w:t>Standard geometric identity or proposed engineering metric; not evidence that the OLP engineer used this exact equation.</w:t>
      </w:r>
    </w:p>
    <w:p>
      <w:r>
        <w:rPr>
          <w:b/>
        </w:rPr>
        <w:t xml:space="preserve">Implementation: </w:t>
      </w:r>
      <w:r>
        <w:t>Use bounded optimization and preserve protected geometry features.</w:t>
      </w:r>
    </w:p>
    <w:p>
      <w:r>
        <w:rPr>
          <w:b/>
        </w:rPr>
        <w:t xml:space="preserve">Caution: </w:t>
      </w:r>
      <w:r>
        <w:t>Treat as a candidate equation; verify assumptions and calibrate parameters against actual reference pairs.</w:t>
      </w:r>
    </w:p>
    <w:p>
      <w:pPr>
        <w:pStyle w:val="Heading3"/>
      </w:pPr>
      <w:r>
        <w:t>F24. Triangle normal</w:t>
      </w:r>
    </w:p>
    <w:p>
      <w:pPr>
        <w:spacing w:after="60"/>
        <w:ind w:left="259"/>
      </w:pPr>
      <w:r>
        <w:rPr>
          <w:rFonts w:ascii="Cambria Math" w:hAnsi="Cambria Math"/>
          <w:b/>
          <w:sz w:val="20"/>
        </w:rPr>
        <w:t>n = normalize((b − a) × (c − a))</w:t>
      </w:r>
    </w:p>
    <w:p>
      <w:r>
        <w:rPr>
          <w:b/>
        </w:rPr>
        <w:t xml:space="preserve">Simple meaning: </w:t>
      </w:r>
      <w:r>
        <w:t>Find the direction perpendicular to a triangle.</w:t>
      </w:r>
    </w:p>
    <w:p>
      <w:r>
        <w:rPr>
          <w:b/>
        </w:rPr>
        <w:t xml:space="preserve">Technical meaning: </w:t>
      </w:r>
      <w:r>
        <w:t>Face normal from vertex winding.</w:t>
      </w:r>
    </w:p>
    <w:p>
      <w:r>
        <w:rPr>
          <w:b/>
        </w:rPr>
        <w:t xml:space="preserve">Confidence: </w:t>
      </w:r>
      <w:r>
        <w:t xml:space="preserve">High — standard identity.. </w:t>
      </w:r>
      <w:r>
        <w:rPr>
          <w:b/>
        </w:rPr>
        <w:t xml:space="preserve">Evidence / basis: </w:t>
      </w:r>
      <w:r>
        <w:t>Standard geometric identity or proposed engineering metric; not evidence that the OLP engineer used this exact equation.</w:t>
      </w:r>
    </w:p>
    <w:p>
      <w:r>
        <w:rPr>
          <w:b/>
        </w:rPr>
        <w:t xml:space="preserve">Implementation: </w:t>
      </w:r>
      <w:r>
        <w:t>Incorrect triangle winding reverses the normal; verify orientation.</w:t>
      </w:r>
    </w:p>
    <w:p>
      <w:pPr>
        <w:pStyle w:val="Heading3"/>
      </w:pPr>
      <w:r>
        <w:t>F25. Interpolated vertex normal</w:t>
      </w:r>
    </w:p>
    <w:p>
      <w:pPr>
        <w:spacing w:after="60"/>
        <w:ind w:left="259"/>
      </w:pPr>
      <w:r>
        <w:rPr>
          <w:rFonts w:ascii="Cambria Math" w:hAnsi="Cambria Math"/>
          <w:b/>
          <w:sz w:val="20"/>
        </w:rPr>
        <w:t>n = normalize(α n1 + β n2 + γ n3)</w:t>
      </w:r>
    </w:p>
    <w:p>
      <w:r>
        <w:rPr>
          <w:b/>
        </w:rPr>
        <w:t xml:space="preserve">Simple meaning: </w:t>
      </w:r>
      <w:r>
        <w:t>Blend nearby normals for a smoother direction.</w:t>
      </w:r>
    </w:p>
    <w:p>
      <w:r>
        <w:rPr>
          <w:b/>
        </w:rPr>
        <w:t xml:space="preserve">Technical meaning: </w:t>
      </w:r>
      <w:r>
        <w:t>Barycentric interpolation inside a triangle with α+β+γ=1.</w:t>
      </w:r>
    </w:p>
    <w:p>
      <w:r>
        <w:rPr>
          <w:b/>
        </w:rPr>
        <w:t xml:space="preserve">Confidence: </w:t>
      </w:r>
      <w:r>
        <w:t xml:space="preserve">Medium — common method, depends on mesh quality.. </w:t>
      </w:r>
      <w:r>
        <w:rPr>
          <w:b/>
        </w:rPr>
        <w:t xml:space="preserve">Evidence / basis: </w:t>
      </w:r>
      <w:r>
        <w:t>Standard geometric identity or proposed engineering metric; not evidence that the OLP engineer used this exact equation.</w:t>
      </w:r>
    </w:p>
    <w:p>
      <w:r>
        <w:rPr>
          <w:b/>
        </w:rPr>
        <w:t xml:space="preserve">Implementation: </w:t>
      </w:r>
      <w:r>
        <w:t>Do not blend across sharp edges or separate surfaces.</w:t>
      </w:r>
    </w:p>
    <w:p>
      <w:pPr>
        <w:pStyle w:val="Heading3"/>
      </w:pPr>
      <w:r>
        <w:t>F26. TCP offset from surface</w:t>
      </w:r>
    </w:p>
    <w:p>
      <w:pPr>
        <w:spacing w:after="60"/>
        <w:ind w:left="259"/>
      </w:pPr>
      <w:r>
        <w:rPr>
          <w:rFonts w:ascii="Cambria Math" w:hAnsi="Cambria Math"/>
          <w:b/>
          <w:sz w:val="20"/>
        </w:rPr>
        <w:t>p_TCP = q_surface + h n_hat</w:t>
      </w:r>
    </w:p>
    <w:p>
      <w:r>
        <w:rPr>
          <w:b/>
        </w:rPr>
        <w:t xml:space="preserve">Simple meaning: </w:t>
      </w:r>
      <w:r>
        <w:t>Place the gun a chosen distance from the surface.</w:t>
      </w:r>
    </w:p>
    <w:p>
      <w:r>
        <w:rPr>
          <w:b/>
        </w:rPr>
        <w:t xml:space="preserve">Technical meaning: </w:t>
      </w:r>
      <w:r>
        <w:t>Offset surface point by standoff h along a chosen normal direction.</w:t>
      </w:r>
    </w:p>
    <w:p>
      <w:r>
        <w:rPr>
          <w:b/>
        </w:rPr>
        <w:t xml:space="preserve">Confidence: </w:t>
      </w:r>
      <w:r>
        <w:t xml:space="preserve">Medium — direction and tool convention must be confirmed.. </w:t>
      </w:r>
      <w:r>
        <w:rPr>
          <w:b/>
        </w:rPr>
        <w:t xml:space="preserve">Evidence / basis: </w:t>
      </w:r>
      <w:r>
        <w:t>Standard geometric identity or proposed engineering metric; not evidence that the OLP engineer used this exact equation.</w:t>
      </w:r>
    </w:p>
    <w:p>
      <w:r>
        <w:rPr>
          <w:b/>
        </w:rPr>
        <w:t xml:space="preserve">Implementation: </w:t>
      </w:r>
      <w:r>
        <w:t>Check whether n points toward or away from the target and whether the controller TCP is calibrated.</w:t>
      </w:r>
    </w:p>
    <w:p>
      <w:pPr>
        <w:pStyle w:val="Heading3"/>
      </w:pPr>
      <w:r>
        <w:t>F27. Actual standoff</w:t>
      </w:r>
    </w:p>
    <w:p>
      <w:pPr>
        <w:spacing w:after="60"/>
        <w:ind w:left="259"/>
      </w:pPr>
      <w:r>
        <w:rPr>
          <w:rFonts w:ascii="Cambria Math" w:hAnsi="Cambria Math"/>
          <w:b/>
          <w:sz w:val="20"/>
        </w:rPr>
        <w:t>h_actual = ||p_TCP − q_surface||</w:t>
      </w:r>
    </w:p>
    <w:p>
      <w:r>
        <w:rPr>
          <w:b/>
        </w:rPr>
        <w:t xml:space="preserve">Simple meaning: </w:t>
      </w:r>
      <w:r>
        <w:t>Measure gun-to-surface distance.</w:t>
      </w:r>
    </w:p>
    <w:p>
      <w:r>
        <w:rPr>
          <w:b/>
        </w:rPr>
        <w:t xml:space="preserve">Technical meaning: </w:t>
      </w:r>
      <w:r>
        <w:t>Euclidean distance between TCP reference point and closest target point.</w:t>
      </w:r>
    </w:p>
    <w:p>
      <w:r>
        <w:rPr>
          <w:b/>
        </w:rPr>
        <w:t xml:space="preserve">Confidence: </w:t>
      </w:r>
      <w:r>
        <w:t xml:space="preserve">High as a metric; Medium for surface correspondence.. </w:t>
      </w:r>
      <w:r>
        <w:rPr>
          <w:b/>
        </w:rPr>
        <w:t xml:space="preserve">Evidence / basis: </w:t>
      </w:r>
      <w:r>
        <w:t>Standard geometric identity or proposed engineering metric; not evidence that the OLP engineer used this exact equation.</w:t>
      </w:r>
    </w:p>
    <w:p>
      <w:r>
        <w:rPr>
          <w:b/>
        </w:rPr>
        <w:t xml:space="preserve">Implementation: </w:t>
      </w:r>
      <w:r>
        <w:t>Closest-point pairing can jump across nearby thin surfaces.</w:t>
      </w:r>
    </w:p>
    <w:p>
      <w:pPr>
        <w:pStyle w:val="Heading3"/>
      </w:pPr>
      <w:r>
        <w:t>F28. Standoff error</w:t>
      </w:r>
    </w:p>
    <w:p>
      <w:pPr>
        <w:spacing w:after="60"/>
        <w:ind w:left="259"/>
      </w:pPr>
      <w:r>
        <w:rPr>
          <w:rFonts w:ascii="Cambria Math" w:hAnsi="Cambria Math"/>
          <w:b/>
          <w:sz w:val="20"/>
        </w:rPr>
        <w:t>E_h = max_i |h_actual,i − h_target|</w:t>
      </w:r>
    </w:p>
    <w:p>
      <w:r>
        <w:rPr>
          <w:b/>
        </w:rPr>
        <w:t xml:space="preserve">Simple meaning: </w:t>
      </w:r>
      <w:r>
        <w:t>Largest deviation from the requested gap.</w:t>
      </w:r>
    </w:p>
    <w:p>
      <w:r>
        <w:rPr>
          <w:b/>
        </w:rPr>
        <w:t xml:space="preserve">Technical meaning: </w:t>
      </w:r>
      <w:r>
        <w:t>Maximum absolute standoff error along a path.</w:t>
      </w:r>
    </w:p>
    <w:p>
      <w:r>
        <w:rPr>
          <w:b/>
        </w:rPr>
        <w:t xml:space="preserve">Confidence: </w:t>
      </w:r>
      <w:r>
        <w:t xml:space="preserve">High as a metric.. </w:t>
      </w:r>
      <w:r>
        <w:rPr>
          <w:b/>
        </w:rPr>
        <w:t xml:space="preserve">Evidence / basis: </w:t>
      </w:r>
      <w:r>
        <w:t>Standard geometric identity or proposed engineering metric; not evidence that the OLP engineer used this exact equation.</w:t>
      </w:r>
    </w:p>
    <w:p>
      <w:r>
        <w:rPr>
          <w:b/>
        </w:rPr>
        <w:t xml:space="preserve">Implementation: </w:t>
      </w:r>
      <w:r>
        <w:t>Tolerance depends on process, tool and part.</w:t>
      </w:r>
    </w:p>
    <w:p>
      <w:pPr>
        <w:pStyle w:val="Heading3"/>
      </w:pPr>
      <w:r>
        <w:t>F29. TCP position error</w:t>
      </w:r>
    </w:p>
    <w:p>
      <w:pPr>
        <w:spacing w:after="60"/>
        <w:ind w:left="259"/>
      </w:pPr>
      <w:r>
        <w:rPr>
          <w:rFonts w:ascii="Cambria Math" w:hAnsi="Cambria Math"/>
          <w:b/>
          <w:sz w:val="20"/>
        </w:rPr>
        <w:t>e_TCP = ||p_generated − p_reference||</w:t>
      </w:r>
    </w:p>
    <w:p>
      <w:r>
        <w:rPr>
          <w:b/>
        </w:rPr>
        <w:t xml:space="preserve">Simple meaning: </w:t>
      </w:r>
      <w:r>
        <w:t>Compare generated and reference robot positions.</w:t>
      </w:r>
    </w:p>
    <w:p>
      <w:r>
        <w:rPr>
          <w:b/>
        </w:rPr>
        <w:t xml:space="preserve">Technical meaning: </w:t>
      </w:r>
      <w:r>
        <w:t>Euclidean position difference after frame and point correspondence are aligned.</w:t>
      </w:r>
    </w:p>
    <w:p>
      <w:r>
        <w:rPr>
          <w:b/>
        </w:rPr>
        <w:t xml:space="preserve">Confidence: </w:t>
      </w:r>
      <w:r>
        <w:t xml:space="preserve">High as a metric.. </w:t>
      </w:r>
      <w:r>
        <w:rPr>
          <w:b/>
        </w:rPr>
        <w:t xml:space="preserve">Evidence / basis: </w:t>
      </w:r>
      <w:r>
        <w:t>Standard geometric identity or proposed engineering metric; not evidence that the OLP engineer used this exact equation.</w:t>
      </w:r>
    </w:p>
    <w:p>
      <w:r>
        <w:rPr>
          <w:b/>
        </w:rPr>
        <w:t xml:space="preserve">Implementation: </w:t>
      </w:r>
      <w:r>
        <w:t>Do not compare positions from different work-object frames.</w:t>
      </w:r>
    </w:p>
    <w:p>
      <w:pPr>
        <w:pStyle w:val="Heading3"/>
      </w:pPr>
      <w:r>
        <w:t>F30. Gun pointing axis</w:t>
      </w:r>
    </w:p>
    <w:p>
      <w:pPr>
        <w:spacing w:after="60"/>
        <w:ind w:left="259"/>
      </w:pPr>
      <w:r>
        <w:rPr>
          <w:rFonts w:ascii="Cambria Math" w:hAnsi="Cambria Math"/>
          <w:b/>
          <w:sz w:val="20"/>
        </w:rPr>
        <w:t>a_hat = normalize(q_surface − p_TCP)</w:t>
      </w:r>
    </w:p>
    <w:p>
      <w:r>
        <w:rPr>
          <w:b/>
        </w:rPr>
        <w:t xml:space="preserve">Simple meaning: </w:t>
      </w:r>
      <w:r>
        <w:t>Aim from the gun toward the target point.</w:t>
      </w:r>
    </w:p>
    <w:p>
      <w:r>
        <w:rPr>
          <w:b/>
        </w:rPr>
        <w:t xml:space="preserve">Technical meaning: </w:t>
      </w:r>
      <w:r>
        <w:t>Direction vector from TCP to target; may need sign/convention adaptation.</w:t>
      </w:r>
    </w:p>
    <w:p>
      <w:r>
        <w:rPr>
          <w:b/>
        </w:rPr>
        <w:t xml:space="preserve">Confidence: </w:t>
      </w:r>
      <w:r>
        <w:t xml:space="preserve">Medium — depends on actual gun tool-axis definition.. </w:t>
      </w:r>
      <w:r>
        <w:rPr>
          <w:b/>
        </w:rPr>
        <w:t xml:space="preserve">Evidence / basis: </w:t>
      </w:r>
      <w:r>
        <w:t>Standard geometric identity or proposed engineering metric; not evidence that the OLP engineer used this exact equation.</w:t>
      </w:r>
    </w:p>
    <w:p>
      <w:r>
        <w:rPr>
          <w:b/>
        </w:rPr>
        <w:t xml:space="preserve">Implementation: </w:t>
      </w:r>
      <w:r>
        <w:t>Confirm controller/tool frame convention; do not assume local Z is the gun axis.</w:t>
      </w:r>
    </w:p>
    <w:p>
      <w:pPr>
        <w:pStyle w:val="Heading3"/>
      </w:pPr>
      <w:r>
        <w:t>F31. Central tangent estimate</w:t>
      </w:r>
    </w:p>
    <w:p>
      <w:pPr>
        <w:spacing w:after="60"/>
        <w:ind w:left="259"/>
      </w:pPr>
      <w:r>
        <w:rPr>
          <w:rFonts w:ascii="Cambria Math" w:hAnsi="Cambria Math"/>
          <w:b/>
          <w:sz w:val="20"/>
        </w:rPr>
        <w:t>t_hat_i = normalize(q_(i+1) − q_(i−1))</w:t>
      </w:r>
    </w:p>
    <w:p>
      <w:r>
        <w:rPr>
          <w:b/>
        </w:rPr>
        <w:t xml:space="preserve">Simple meaning: </w:t>
      </w:r>
      <w:r>
        <w:t>Estimate the direction the path is moving.</w:t>
      </w:r>
    </w:p>
    <w:p>
      <w:r>
        <w:rPr>
          <w:b/>
        </w:rPr>
        <w:t xml:space="preserve">Technical meaning: </w:t>
      </w:r>
      <w:r>
        <w:t>Central finite-difference tangent estimate.</w:t>
      </w:r>
    </w:p>
    <w:p>
      <w:r>
        <w:rPr>
          <w:b/>
        </w:rPr>
        <w:t xml:space="preserve">Confidence: </w:t>
      </w:r>
      <w:r>
        <w:t xml:space="preserve">High as an estimate; Medium on noisy samples.. </w:t>
      </w:r>
      <w:r>
        <w:rPr>
          <w:b/>
        </w:rPr>
        <w:t xml:space="preserve">Evidence / basis: </w:t>
      </w:r>
      <w:r>
        <w:t>Standard geometric identity or proposed engineering metric; not evidence that the OLP engineer used this exact equation.</w:t>
      </w:r>
    </w:p>
    <w:p>
      <w:r>
        <w:rPr>
          <w:b/>
        </w:rPr>
        <w:t xml:space="preserve">Implementation: </w:t>
      </w:r>
      <w:r>
        <w:t>Use one-sided differences at endpoints and skip duplicate points.</w:t>
      </w:r>
    </w:p>
    <w:p>
      <w:pPr>
        <w:pStyle w:val="Heading3"/>
      </w:pPr>
      <w:r>
        <w:t>F32. Tangent projected into tool-normal plane</w:t>
      </w:r>
    </w:p>
    <w:p>
      <w:pPr>
        <w:spacing w:after="60"/>
        <w:ind w:left="259"/>
      </w:pPr>
      <w:r>
        <w:rPr>
          <w:rFonts w:ascii="Cambria Math" w:hAnsi="Cambria Math"/>
          <w:b/>
          <w:sz w:val="20"/>
        </w:rPr>
        <w:t>x_hat = normalize(t_hat − (t_hat · a_hat)a_hat)</w:t>
      </w:r>
    </w:p>
    <w:p>
      <w:r>
        <w:rPr>
          <w:b/>
        </w:rPr>
        <w:t xml:space="preserve">Simple meaning: </w:t>
      </w:r>
      <w:r>
        <w:t>Keep one tool-frame axis aligned with travel as much as possible.</w:t>
      </w:r>
    </w:p>
    <w:p>
      <w:r>
        <w:rPr>
          <w:b/>
        </w:rPr>
        <w:t xml:space="preserve">Technical meaning: </w:t>
      </w:r>
      <w:r>
        <w:t>Project tangent onto plane perpendicular to pointing axis.</w:t>
      </w:r>
    </w:p>
    <w:p>
      <w:r>
        <w:rPr>
          <w:b/>
        </w:rPr>
        <w:t xml:space="preserve">Confidence: </w:t>
      </w:r>
      <w:r>
        <w:t xml:space="preserve">Medium — tool-frame convention dependent.. </w:t>
      </w:r>
      <w:r>
        <w:rPr>
          <w:b/>
        </w:rPr>
        <w:t xml:space="preserve">Evidence / basis: </w:t>
      </w:r>
      <w:r>
        <w:t>Standard geometric identity or proposed engineering metric; not evidence that the OLP engineer used this exact equation.</w:t>
      </w:r>
    </w:p>
    <w:p>
      <w:r>
        <w:rPr>
          <w:b/>
        </w:rPr>
        <w:t xml:space="preserve">Implementation: </w:t>
      </w:r>
      <w:r>
        <w:t>Handle near-parallel tangent/axis and maintain sign continuity.</w:t>
      </w:r>
    </w:p>
    <w:p>
      <w:pPr>
        <w:pStyle w:val="Heading3"/>
      </w:pPr>
      <w:r>
        <w:t>F33. Complete orthogonal tool frame</w:t>
      </w:r>
    </w:p>
    <w:p>
      <w:pPr>
        <w:spacing w:after="60"/>
        <w:ind w:left="259"/>
      </w:pPr>
      <w:r>
        <w:rPr>
          <w:rFonts w:ascii="Cambria Math" w:hAnsi="Cambria Math"/>
          <w:b/>
          <w:sz w:val="20"/>
        </w:rPr>
        <w:t>y_hat = normalize(a_hat × x_hat)</w:t>
      </w:r>
    </w:p>
    <w:p>
      <w:r>
        <w:rPr>
          <w:b/>
        </w:rPr>
        <w:t xml:space="preserve">Simple meaning: </w:t>
      </w:r>
      <w:r>
        <w:t>Create a second axis so the tool orientation is fully defined.</w:t>
      </w:r>
    </w:p>
    <w:p>
      <w:r>
        <w:rPr>
          <w:b/>
        </w:rPr>
        <w:t xml:space="preserve">Technical meaning: </w:t>
      </w:r>
      <w:r>
        <w:t>Construct right-handed frame from pointing axis and projected tangent.</w:t>
      </w:r>
    </w:p>
    <w:p>
      <w:r>
        <w:rPr>
          <w:b/>
        </w:rPr>
        <w:t xml:space="preserve">Confidence: </w:t>
      </w:r>
      <w:r>
        <w:t xml:space="preserve">Medium — frame convention must match robot.. </w:t>
      </w:r>
      <w:r>
        <w:rPr>
          <w:b/>
        </w:rPr>
        <w:t xml:space="preserve">Evidence / basis: </w:t>
      </w:r>
      <w:r>
        <w:t>Standard geometric identity or proposed engineering metric; not evidence that the OLP engineer used this exact equation.</w:t>
      </w:r>
    </w:p>
    <w:p>
      <w:r>
        <w:rPr>
          <w:b/>
        </w:rPr>
        <w:t xml:space="preserve">Implementation: </w:t>
      </w:r>
      <w:r>
        <w:t>Verify determinant/handedness and axis order before quaternion conversion.</w:t>
      </w:r>
    </w:p>
    <w:p>
      <w:pPr>
        <w:pStyle w:val="Heading3"/>
      </w:pPr>
      <w:r>
        <w:t>F34. Rotation matrix</w:t>
      </w:r>
    </w:p>
    <w:p>
      <w:pPr>
        <w:spacing w:after="60"/>
        <w:ind w:left="259"/>
      </w:pPr>
      <w:r>
        <w:rPr>
          <w:rFonts w:ascii="Cambria Math" w:hAnsi="Cambria Math"/>
          <w:b/>
          <w:sz w:val="20"/>
        </w:rPr>
        <w:t>R = [ x_hat  y_hat  a_hat ] (columns)</w:t>
      </w:r>
    </w:p>
    <w:p>
      <w:r>
        <w:rPr>
          <w:b/>
        </w:rPr>
        <w:t xml:space="preserve">Simple meaning: </w:t>
      </w:r>
      <w:r>
        <w:t>Package the three tool axes into an orientation.</w:t>
      </w:r>
    </w:p>
    <w:p>
      <w:r>
        <w:rPr>
          <w:b/>
        </w:rPr>
        <w:t xml:space="preserve">Technical meaning: </w:t>
      </w:r>
      <w:r>
        <w:t>Rotation matrix whose columns are the chosen local axes.</w:t>
      </w:r>
    </w:p>
    <w:p>
      <w:r>
        <w:rPr>
          <w:b/>
        </w:rPr>
        <w:t xml:space="preserve">Confidence: </w:t>
      </w:r>
      <w:r>
        <w:t xml:space="preserve">Medium — only correct for the assumed tool-axis convention.. </w:t>
      </w:r>
      <w:r>
        <w:rPr>
          <w:b/>
        </w:rPr>
        <w:t xml:space="preserve">Evidence / basis: </w:t>
      </w:r>
      <w:r>
        <w:t>Standard geometric identity or proposed engineering metric; not evidence that the OLP engineer used this exact equation.</w:t>
      </w:r>
    </w:p>
    <w:p>
      <w:r>
        <w:rPr>
          <w:b/>
        </w:rPr>
        <w:t xml:space="preserve">Implementation: </w:t>
      </w:r>
      <w:r>
        <w:t>Convert to the robot's required representation and validate with known poses.</w:t>
      </w:r>
    </w:p>
    <w:p>
      <w:pPr>
        <w:pStyle w:val="Heading3"/>
      </w:pPr>
      <w:r>
        <w:t>F35. Angular difference</w:t>
      </w:r>
    </w:p>
    <w:p>
      <w:pPr>
        <w:spacing w:after="60"/>
        <w:ind w:left="259"/>
      </w:pPr>
      <w:r>
        <w:rPr>
          <w:rFonts w:ascii="Cambria Math" w:hAnsi="Cambria Math"/>
          <w:b/>
          <w:sz w:val="20"/>
        </w:rPr>
        <w:t>θ = acos(clamp(a_i · a_(i+1), −1, 1))</w:t>
      </w:r>
    </w:p>
    <w:p>
      <w:r>
        <w:rPr>
          <w:b/>
        </w:rPr>
        <w:t xml:space="preserve">Simple meaning: </w:t>
      </w:r>
      <w:r>
        <w:t>Measure how much the pointing direction changes.</w:t>
      </w:r>
    </w:p>
    <w:p>
      <w:r>
        <w:rPr>
          <w:b/>
        </w:rPr>
        <w:t xml:space="preserve">Technical meaning: </w:t>
      </w:r>
      <w:r>
        <w:t>Angle between unit pointing vectors.</w:t>
      </w:r>
    </w:p>
    <w:p>
      <w:r>
        <w:rPr>
          <w:b/>
        </w:rPr>
        <w:t xml:space="preserve">Confidence: </w:t>
      </w:r>
      <w:r>
        <w:t xml:space="preserve">High as a metric.. </w:t>
      </w:r>
      <w:r>
        <w:rPr>
          <w:b/>
        </w:rPr>
        <w:t xml:space="preserve">Evidence / basis: </w:t>
      </w:r>
      <w:r>
        <w:t>Standard geometric identity or proposed engineering metric; not evidence that the OLP engineer used this exact equation.</w:t>
      </w:r>
    </w:p>
    <w:p>
      <w:r>
        <w:rPr>
          <w:b/>
        </w:rPr>
        <w:t xml:space="preserve">Implementation: </w:t>
      </w:r>
      <w:r>
        <w:t>This measures pointing-axis change, not necessarily full roll/pitch/yaw change.</w:t>
      </w:r>
    </w:p>
    <w:p>
      <w:pPr>
        <w:pStyle w:val="Heading3"/>
      </w:pPr>
      <w:r>
        <w:t>F36. Segment length</w:t>
      </w:r>
    </w:p>
    <w:p>
      <w:pPr>
        <w:spacing w:after="60"/>
        <w:ind w:left="259"/>
      </w:pPr>
      <w:r>
        <w:rPr>
          <w:rFonts w:ascii="Cambria Math" w:hAnsi="Cambria Math"/>
          <w:b/>
          <w:sz w:val="20"/>
        </w:rPr>
        <w:t>ℓ_i = ||q_(i+1) − q_i||</w:t>
      </w:r>
    </w:p>
    <w:p>
      <w:r>
        <w:rPr>
          <w:b/>
        </w:rPr>
        <w:t xml:space="preserve">Simple meaning: </w:t>
      </w:r>
      <w:r>
        <w:t>Length of a small move.</w:t>
      </w:r>
    </w:p>
    <w:p>
      <w:r>
        <w:rPr>
          <w:b/>
        </w:rPr>
        <w:t xml:space="preserve">Technical meaning: </w:t>
      </w:r>
      <w:r>
        <w:t>Euclidean distance between consecutive waypoints.</w:t>
      </w:r>
    </w:p>
    <w:p>
      <w:r>
        <w:rPr>
          <w:b/>
        </w:rPr>
        <w:t xml:space="preserve">Confidence: </w:t>
      </w:r>
      <w:r>
        <w:t xml:space="preserve">High — standard identity.. </w:t>
      </w:r>
      <w:r>
        <w:rPr>
          <w:b/>
        </w:rPr>
        <w:t xml:space="preserve">Evidence / basis: </w:t>
      </w:r>
      <w:r>
        <w:t>Standard geometric identity or proposed engineering metric; not evidence that the OLP engineer used this exact equation.</w:t>
      </w:r>
    </w:p>
    <w:p>
      <w:r>
        <w:rPr>
          <w:b/>
        </w:rPr>
        <w:t xml:space="preserve">Implementation: </w:t>
      </w:r>
      <w:r>
        <w:t>Robot motion path may not be straight for joint moves.</w:t>
      </w:r>
    </w:p>
    <w:p>
      <w:pPr>
        <w:pStyle w:val="Heading3"/>
      </w:pPr>
      <w:r>
        <w:t>F37. Total polyline length</w:t>
      </w:r>
    </w:p>
    <w:p>
      <w:pPr>
        <w:spacing w:after="60"/>
        <w:ind w:left="259"/>
      </w:pPr>
      <w:r>
        <w:rPr>
          <w:rFonts w:ascii="Cambria Math" w:hAnsi="Cambria Math"/>
          <w:b/>
          <w:sz w:val="20"/>
        </w:rPr>
        <w:t>L = Σ ℓ_i</w:t>
      </w:r>
    </w:p>
    <w:p>
      <w:r>
        <w:rPr>
          <w:b/>
        </w:rPr>
        <w:t xml:space="preserve">Simple meaning: </w:t>
      </w:r>
      <w:r>
        <w:t>Add all small move lengths to estimate total path length.</w:t>
      </w:r>
    </w:p>
    <w:p>
      <w:r>
        <w:rPr>
          <w:b/>
        </w:rPr>
        <w:t xml:space="preserve">Technical meaning: </w:t>
      </w:r>
      <w:r>
        <w:t>Discrete arc-length estimate of the waypoint polyline.</w:t>
      </w:r>
    </w:p>
    <w:p>
      <w:r>
        <w:rPr>
          <w:b/>
        </w:rPr>
        <w:t xml:space="preserve">Confidence: </w:t>
      </w:r>
      <w:r>
        <w:t xml:space="preserve">High as a metric.. </w:t>
      </w:r>
      <w:r>
        <w:rPr>
          <w:b/>
        </w:rPr>
        <w:t xml:space="preserve">Evidence / basis: </w:t>
      </w:r>
      <w:r>
        <w:t>Standard geometric identity or proposed engineering metric; not evidence that the OLP engineer used this exact equation.</w:t>
      </w:r>
    </w:p>
    <w:p>
      <w:r>
        <w:rPr>
          <w:b/>
        </w:rPr>
        <w:t xml:space="preserve">Implementation: </w:t>
      </w:r>
      <w:r>
        <w:t>Separate painting length from travel length.</w:t>
      </w:r>
    </w:p>
    <w:p>
      <w:pPr>
        <w:pStyle w:val="Heading3"/>
      </w:pPr>
      <w:r>
        <w:t>F38. Arc-length resampling</w:t>
      </w:r>
    </w:p>
    <w:p>
      <w:pPr>
        <w:spacing w:after="60"/>
        <w:ind w:left="259"/>
      </w:pPr>
      <w:r>
        <w:rPr>
          <w:rFonts w:ascii="Cambria Math" w:hAnsi="Cambria Math"/>
          <w:b/>
          <w:sz w:val="20"/>
        </w:rPr>
        <w:t>s_j = j δs; choose q(s_j) along the polyline/curve</w:t>
      </w:r>
    </w:p>
    <w:p>
      <w:r>
        <w:rPr>
          <w:b/>
        </w:rPr>
        <w:t xml:space="preserve">Simple meaning: </w:t>
      </w:r>
      <w:r>
        <w:t>Put points at consistent distances along a path.</w:t>
      </w:r>
    </w:p>
    <w:p>
      <w:r>
        <w:rPr>
          <w:b/>
        </w:rPr>
        <w:t xml:space="preserve">Technical meaning: </w:t>
      </w:r>
      <w:r>
        <w:t>Resample by cumulative arc length with spacing δs.</w:t>
      </w:r>
    </w:p>
    <w:p>
      <w:r>
        <w:rPr>
          <w:b/>
        </w:rPr>
        <w:t xml:space="preserve">Confidence: </w:t>
      </w:r>
      <w:r>
        <w:t xml:space="preserve">High as a method; δs is process-specific.. </w:t>
      </w:r>
      <w:r>
        <w:rPr>
          <w:b/>
        </w:rPr>
        <w:t xml:space="preserve">Evidence / basis: </w:t>
      </w:r>
      <w:r>
        <w:t>Standard geometric identity or proposed engineering metric; not evidence that the OLP engineer used this exact equation.</w:t>
      </w:r>
    </w:p>
    <w:p>
      <w:r>
        <w:rPr>
          <w:b/>
        </w:rPr>
        <w:t xml:space="preserve">Implementation: </w:t>
      </w:r>
      <w:r>
        <w:t>Do not use equal point index spacing when the original points are nonuniform.</w:t>
      </w:r>
    </w:p>
    <w:p>
      <w:pPr>
        <w:pStyle w:val="Heading3"/>
      </w:pPr>
      <w:r>
        <w:t>F39. Neighboring lane pitch</w:t>
      </w:r>
    </w:p>
    <w:p>
      <w:pPr>
        <w:spacing w:after="60"/>
        <w:ind w:left="259"/>
      </w:pPr>
      <w:r>
        <w:rPr>
          <w:rFonts w:ascii="Cambria Math" w:hAnsi="Cambria Math"/>
          <w:b/>
          <w:sz w:val="20"/>
        </w:rPr>
        <w:t>Δ_k ≈ |(r − p) · s_hat|</w:t>
      </w:r>
    </w:p>
    <w:p>
      <w:r>
        <w:rPr>
          <w:b/>
        </w:rPr>
        <w:t xml:space="preserve">Simple meaning: </w:t>
      </w:r>
      <w:r>
        <w:t>Measure sideways separation between two passes.</w:t>
      </w:r>
    </w:p>
    <w:p>
      <w:r>
        <w:rPr>
          <w:b/>
        </w:rPr>
        <w:t xml:space="preserve">Technical meaning: </w:t>
      </w:r>
      <w:r>
        <w:t>Projection of inter-pass displacement onto the local spacing direction.</w:t>
      </w:r>
    </w:p>
    <w:p>
      <w:r>
        <w:rPr>
          <w:b/>
        </w:rPr>
        <w:t xml:space="preserve">Confidence: </w:t>
      </w:r>
      <w:r>
        <w:t xml:space="preserve">Medium — valid when local frames align.. </w:t>
      </w:r>
      <w:r>
        <w:rPr>
          <w:b/>
        </w:rPr>
        <w:t xml:space="preserve">Evidence / basis: </w:t>
      </w:r>
      <w:r>
        <w:t>Standard geometric identity or proposed engineering metric; not evidence that the OLP engineer used this exact equation.</w:t>
      </w:r>
    </w:p>
    <w:p>
      <w:r>
        <w:rPr>
          <w:b/>
        </w:rPr>
        <w:t xml:space="preserve">Implementation: </w:t>
      </w:r>
      <w:r>
        <w:t>Use corresponding points/regions and local spacing directions on curved surfaces.</w:t>
      </w:r>
    </w:p>
    <w:p>
      <w:pPr>
        <w:pStyle w:val="Heading3"/>
      </w:pPr>
      <w:r>
        <w:t>F40. Pitch from spray width and overlap</w:t>
      </w:r>
    </w:p>
    <w:p>
      <w:pPr>
        <w:spacing w:after="60"/>
        <w:ind w:left="259"/>
      </w:pPr>
      <w:r>
        <w:rPr>
          <w:rFonts w:ascii="Cambria Math" w:hAnsi="Cambria Math"/>
          <w:b/>
          <w:sz w:val="20"/>
        </w:rPr>
        <w:t>Δ = w_eff (1 − o)</w:t>
      </w:r>
    </w:p>
    <w:p>
      <w:r>
        <w:rPr>
          <w:b/>
        </w:rPr>
        <w:t xml:space="preserve">Simple meaning: </w:t>
      </w:r>
      <w:r>
        <w:t>Choose lane spacing from effective width and desired overlap.</w:t>
      </w:r>
    </w:p>
    <w:p>
      <w:r>
        <w:rPr>
          <w:b/>
        </w:rPr>
        <w:t xml:space="preserve">Technical meaning: </w:t>
      </w:r>
      <w:r>
        <w:t>Pitch from effective process width w_eff and overlap fraction o∈[0,1).</w:t>
      </w:r>
    </w:p>
    <w:p>
      <w:r>
        <w:rPr>
          <w:b/>
        </w:rPr>
        <w:t xml:space="preserve">Confidence: </w:t>
      </w:r>
      <w:r>
        <w:t xml:space="preserve">Low until width/overlap are known for the actual process.. </w:t>
      </w:r>
      <w:r>
        <w:rPr>
          <w:b/>
        </w:rPr>
        <w:t xml:space="preserve">Evidence / basis: </w:t>
      </w:r>
      <w:r>
        <w:t>Standard geometric identity or proposed engineering metric; not evidence that the OLP engineer used this exact equation.</w:t>
      </w:r>
    </w:p>
    <w:p>
      <w:r>
        <w:rPr>
          <w:b/>
        </w:rPr>
        <w:t xml:space="preserve">Implementation: </w:t>
      </w:r>
      <w:r>
        <w:t>Do not infer effective spray width from mesh geometry alone.</w:t>
      </w:r>
    </w:p>
    <w:p>
      <w:r>
        <w:rPr>
          <w:b/>
        </w:rPr>
        <w:t xml:space="preserve">Caution: </w:t>
      </w:r>
      <w:r>
        <w:t>Treat as a candidate equation; verify assumptions and calibrate parameters against actual reference pairs.</w:t>
      </w:r>
    </w:p>
    <w:p>
      <w:pPr>
        <w:pStyle w:val="Heading3"/>
      </w:pPr>
      <w:r>
        <w:t>F41. Alternating raster direction</w:t>
      </w:r>
    </w:p>
    <w:p>
      <w:pPr>
        <w:spacing w:after="60"/>
        <w:ind w:left="259"/>
      </w:pPr>
      <w:r>
        <w:rPr>
          <w:rFonts w:ascii="Cambria Math" w:hAnsi="Cambria Math"/>
          <w:b/>
          <w:sz w:val="20"/>
        </w:rPr>
        <w:t>d_k = (−1)^k d</w:t>
      </w:r>
    </w:p>
    <w:p>
      <w:r>
        <w:rPr>
          <w:b/>
        </w:rPr>
        <w:t xml:space="preserve">Simple meaning: </w:t>
      </w:r>
      <w:r>
        <w:t>Reverse every second pass.</w:t>
      </w:r>
    </w:p>
    <w:p>
      <w:r>
        <w:rPr>
          <w:b/>
        </w:rPr>
        <w:t xml:space="preserve">Technical meaning: </w:t>
      </w:r>
      <w:r>
        <w:t>Serpentine traversal direction for lanes in one coherent raster region.</w:t>
      </w:r>
    </w:p>
    <w:p>
      <w:r>
        <w:rPr>
          <w:b/>
        </w:rPr>
        <w:t xml:space="preserve">Confidence: </w:t>
      </w:r>
      <w:r>
        <w:t xml:space="preserve">High for specific observed regions; Medium globally.. </w:t>
      </w:r>
      <w:r>
        <w:rPr>
          <w:b/>
        </w:rPr>
        <w:t xml:space="preserve">Evidence / basis: </w:t>
      </w:r>
      <w:r>
        <w:t>Standard geometric identity or proposed engineering metric; not evidence that the OLP engineer used this exact equation.</w:t>
      </w:r>
    </w:p>
    <w:p>
      <w:r>
        <w:rPr>
          <w:b/>
        </w:rPr>
        <w:t xml:space="preserve">Implementation: </w:t>
      </w:r>
      <w:r>
        <w:t>Reset lane index per region and insert safe transitions between regions.</w:t>
      </w:r>
    </w:p>
    <w:p>
      <w:pPr>
        <w:pStyle w:val="Heading3"/>
      </w:pPr>
      <w:r>
        <w:t>F42. RMS surface deviation</w:t>
      </w:r>
    </w:p>
    <w:p>
      <w:pPr>
        <w:spacing w:after="60"/>
        <w:ind w:left="259"/>
      </w:pPr>
      <w:r>
        <w:rPr>
          <w:rFonts w:ascii="Cambria Math" w:hAnsi="Cambria Math"/>
          <w:b/>
          <w:sz w:val="20"/>
        </w:rPr>
        <w:t>E_RMS = sqrt((1/n) Σ dist(q_i,M)²)</w:t>
      </w:r>
    </w:p>
    <w:p>
      <w:r>
        <w:rPr>
          <w:b/>
        </w:rPr>
        <w:t xml:space="preserve">Simple meaning: </w:t>
      </w:r>
      <w:r>
        <w:t>Typical distance of the path from the target surface.</w:t>
      </w:r>
    </w:p>
    <w:p>
      <w:r>
        <w:rPr>
          <w:b/>
        </w:rPr>
        <w:t xml:space="preserve">Technical meaning: </w:t>
      </w:r>
      <w:r>
        <w:t>Root-mean-square point-to-mesh distance.</w:t>
      </w:r>
    </w:p>
    <w:p>
      <w:r>
        <w:rPr>
          <w:b/>
        </w:rPr>
        <w:t xml:space="preserve">Confidence: </w:t>
      </w:r>
      <w:r>
        <w:t xml:space="preserve">High as a metric.. </w:t>
      </w:r>
      <w:r>
        <w:rPr>
          <w:b/>
        </w:rPr>
        <w:t xml:space="preserve">Evidence / basis: </w:t>
      </w:r>
      <w:r>
        <w:t>Standard geometric identity or proposed engineering metric; not evidence that the OLP engineer used this exact equation.</w:t>
      </w:r>
    </w:p>
    <w:p>
      <w:r>
        <w:rPr>
          <w:b/>
        </w:rPr>
        <w:t xml:space="preserve">Implementation: </w:t>
      </w:r>
      <w:r>
        <w:t>Pair with maximum deviation; RMS alone can hide local outliers.</w:t>
      </w:r>
    </w:p>
    <w:p>
      <w:pPr>
        <w:pStyle w:val="Heading3"/>
      </w:pPr>
      <w:r>
        <w:t>F43. Maximum surface deviation</w:t>
      </w:r>
    </w:p>
    <w:p>
      <w:pPr>
        <w:spacing w:after="60"/>
        <w:ind w:left="259"/>
      </w:pPr>
      <w:r>
        <w:rPr>
          <w:rFonts w:ascii="Cambria Math" w:hAnsi="Cambria Math"/>
          <w:b/>
          <w:sz w:val="20"/>
        </w:rPr>
        <w:t>E_max,surf = max_i dist(q_i,M)</w:t>
      </w:r>
    </w:p>
    <w:p>
      <w:r>
        <w:rPr>
          <w:b/>
        </w:rPr>
        <w:t xml:space="preserve">Simple meaning: </w:t>
      </w:r>
      <w:r>
        <w:t>Largest departure from the target surface.</w:t>
      </w:r>
    </w:p>
    <w:p>
      <w:r>
        <w:rPr>
          <w:b/>
        </w:rPr>
        <w:t xml:space="preserve">Technical meaning: </w:t>
      </w:r>
      <w:r>
        <w:t>Worst-case point-to-mesh distance.</w:t>
      </w:r>
    </w:p>
    <w:p>
      <w:r>
        <w:rPr>
          <w:b/>
        </w:rPr>
        <w:t xml:space="preserve">Confidence: </w:t>
      </w:r>
      <w:r>
        <w:t xml:space="preserve">High as a metric.. </w:t>
      </w:r>
      <w:r>
        <w:rPr>
          <w:b/>
        </w:rPr>
        <w:t xml:space="preserve">Evidence / basis: </w:t>
      </w:r>
      <w:r>
        <w:t>Standard geometric identity or proposed engineering metric; not evidence that the OLP engineer used this exact equation.</w:t>
      </w:r>
    </w:p>
    <w:p>
      <w:r>
        <w:rPr>
          <w:b/>
        </w:rPr>
        <w:t xml:space="preserve">Implementation: </w:t>
      </w:r>
      <w:r>
        <w:t>Check both positive/negative offset and nearby-surface ambiguity.</w:t>
      </w:r>
    </w:p>
    <w:p>
      <w:pPr>
        <w:pStyle w:val="Heading3"/>
      </w:pPr>
      <w:r>
        <w:t>F44. Orientation continuity</w:t>
      </w:r>
    </w:p>
    <w:p>
      <w:pPr>
        <w:spacing w:after="60"/>
        <w:ind w:left="259"/>
      </w:pPr>
      <w:r>
        <w:rPr>
          <w:rFonts w:ascii="Cambria Math" w:hAnsi="Cambria Math"/>
          <w:b/>
          <w:sz w:val="20"/>
        </w:rPr>
        <w:t>θ_i = acos(clamp(a_i · a_(i+1), −1, 1))</w:t>
      </w:r>
    </w:p>
    <w:p>
      <w:r>
        <w:rPr>
          <w:b/>
        </w:rPr>
        <w:t xml:space="preserve">Simple meaning: </w:t>
      </w:r>
      <w:r>
        <w:t>Check if the gun pointing direction changes abruptly.</w:t>
      </w:r>
    </w:p>
    <w:p>
      <w:r>
        <w:rPr>
          <w:b/>
        </w:rPr>
        <w:t xml:space="preserve">Technical meaning: </w:t>
      </w:r>
      <w:r>
        <w:t>Adjacent pointing-axis angular change.</w:t>
      </w:r>
    </w:p>
    <w:p>
      <w:r>
        <w:rPr>
          <w:b/>
        </w:rPr>
        <w:t xml:space="preserve">Confidence: </w:t>
      </w:r>
      <w:r>
        <w:t xml:space="preserve">High for axis continuity; incomplete for full 3D orientation.. </w:t>
      </w:r>
      <w:r>
        <w:rPr>
          <w:b/>
        </w:rPr>
        <w:t xml:space="preserve">Evidence / basis: </w:t>
      </w:r>
      <w:r>
        <w:t>Standard geometric identity or proposed engineering metric; not evidence that the OLP engineer used this exact equation.</w:t>
      </w:r>
    </w:p>
    <w:p>
      <w:r>
        <w:rPr>
          <w:b/>
        </w:rPr>
        <w:t xml:space="preserve">Implementation: </w:t>
      </w:r>
      <w:r>
        <w:t>Also compare full rotations with relative rotation R_iᵀR_(i+1).</w:t>
      </w:r>
    </w:p>
    <w:p>
      <w:pPr>
        <w:pStyle w:val="Heading3"/>
      </w:pPr>
      <w:r>
        <w:t>F45. Maximum orientation jump</w:t>
      </w:r>
    </w:p>
    <w:p>
      <w:pPr>
        <w:spacing w:after="60"/>
        <w:ind w:left="259"/>
      </w:pPr>
      <w:r>
        <w:rPr>
          <w:rFonts w:ascii="Cambria Math" w:hAnsi="Cambria Math"/>
          <w:b/>
          <w:sz w:val="20"/>
        </w:rPr>
        <w:t>θ_max = max_i θ_i</w:t>
      </w:r>
    </w:p>
    <w:p>
      <w:r>
        <w:rPr>
          <w:b/>
        </w:rPr>
        <w:t xml:space="preserve">Simple meaning: </w:t>
      </w:r>
      <w:r>
        <w:t>Find the biggest adjacent orientation change.</w:t>
      </w:r>
    </w:p>
    <w:p>
      <w:r>
        <w:rPr>
          <w:b/>
        </w:rPr>
        <w:t xml:space="preserve">Technical meaning: </w:t>
      </w:r>
      <w:r>
        <w:t>Maximum local axis-angle jump across the path.</w:t>
      </w:r>
    </w:p>
    <w:p>
      <w:r>
        <w:rPr>
          <w:b/>
        </w:rPr>
        <w:t xml:space="preserve">Confidence: </w:t>
      </w:r>
      <w:r>
        <w:t xml:space="preserve">High as a metric.. </w:t>
      </w:r>
      <w:r>
        <w:rPr>
          <w:b/>
        </w:rPr>
        <w:t xml:space="preserve">Evidence / basis: </w:t>
      </w:r>
      <w:r>
        <w:t>Standard geometric identity or proposed engineering metric; not evidence that the OLP engineer used this exact equation.</w:t>
      </w:r>
    </w:p>
    <w:p>
      <w:r>
        <w:rPr>
          <w:b/>
        </w:rPr>
        <w:t xml:space="preserve">Implementation: </w:t>
      </w:r>
      <w:r>
        <w:t>Threshold depends on robot capability and process quality.</w:t>
      </w:r>
    </w:p>
    <w:p>
      <w:pPr>
        <w:pStyle w:val="Heading3"/>
      </w:pPr>
      <w:r>
        <w:t>F46. Coverage ratio</w:t>
      </w:r>
    </w:p>
    <w:p>
      <w:pPr>
        <w:spacing w:after="60"/>
        <w:ind w:left="259"/>
      </w:pPr>
      <w:r>
        <w:rPr>
          <w:rFonts w:ascii="Cambria Math" w:hAnsi="Cambria Math"/>
          <w:b/>
          <w:sz w:val="20"/>
        </w:rPr>
        <w:t>C = A_covered / A_target</w:t>
      </w:r>
    </w:p>
    <w:p>
      <w:r>
        <w:rPr>
          <w:b/>
        </w:rPr>
        <w:t xml:space="preserve">Simple meaning: </w:t>
      </w:r>
      <w:r>
        <w:t>Estimate what fraction of the target area is reached by the process footprint.</w:t>
      </w:r>
    </w:p>
    <w:p>
      <w:r>
        <w:rPr>
          <w:b/>
        </w:rPr>
        <w:t xml:space="preserve">Technical meaning: </w:t>
      </w:r>
      <w:r>
        <w:t>Coverage ratio computed using a defined effective footprint and target area.</w:t>
      </w:r>
    </w:p>
    <w:p>
      <w:r>
        <w:rPr>
          <w:b/>
        </w:rPr>
        <w:t xml:space="preserve">Confidence: </w:t>
      </w:r>
      <w:r>
        <w:t xml:space="preserve">Low until footprint and target-region definition are validated.. </w:t>
      </w:r>
      <w:r>
        <w:rPr>
          <w:b/>
        </w:rPr>
        <w:t xml:space="preserve">Evidence / basis: </w:t>
      </w:r>
      <w:r>
        <w:t>Standard geometric identity or proposed engineering metric; not evidence that the OLP engineer used this exact equation.</w:t>
      </w:r>
    </w:p>
    <w:p>
      <w:r>
        <w:rPr>
          <w:b/>
        </w:rPr>
        <w:t xml:space="preserve">Implementation: </w:t>
      </w:r>
      <w:r>
        <w:t>A geometric path alone cannot determine true paint coverage without process footprint assumptions.</w:t>
      </w:r>
    </w:p>
    <w:p>
      <w:r>
        <w:rPr>
          <w:b/>
        </w:rPr>
        <w:t xml:space="preserve">Caution: </w:t>
      </w:r>
      <w:r>
        <w:t>Treat as a candidate equation; verify assumptions and calibrate parameters against actual reference pairs.</w:t>
      </w:r>
    </w:p>
    <w:p>
      <w:pPr>
        <w:pStyle w:val="Heading3"/>
      </w:pPr>
      <w:r>
        <w:t>F47. Collision clearance</w:t>
      </w:r>
    </w:p>
    <w:p>
      <w:pPr>
        <w:spacing w:after="60"/>
        <w:ind w:left="259"/>
      </w:pPr>
      <w:r>
        <w:rPr>
          <w:rFonts w:ascii="Cambria Math" w:hAnsi="Cambria Math"/>
          <w:b/>
          <w:sz w:val="20"/>
        </w:rPr>
        <w:t>c_i = dist(T_i, O); c_min = min_i c_i</w:t>
      </w:r>
    </w:p>
    <w:p>
      <w:r>
        <w:rPr>
          <w:b/>
        </w:rPr>
        <w:t xml:space="preserve">Simple meaning: </w:t>
      </w:r>
      <w:r>
        <w:t>Measure the gap between the robot/tool and obstacles.</w:t>
      </w:r>
    </w:p>
    <w:p>
      <w:r>
        <w:rPr>
          <w:b/>
        </w:rPr>
        <w:t xml:space="preserve">Technical meaning: </w:t>
      </w:r>
      <w:r>
        <w:t>Minimum distance between robot/tool geometry T and obstacle geometry O along sampled configurations.</w:t>
      </w:r>
    </w:p>
    <w:p>
      <w:r>
        <w:rPr>
          <w:b/>
        </w:rPr>
        <w:t xml:space="preserve">Confidence: </w:t>
      </w:r>
      <w:r>
        <w:t xml:space="preserve">High as a metric concept; implementation requires robot geometry.. </w:t>
      </w:r>
      <w:r>
        <w:rPr>
          <w:b/>
        </w:rPr>
        <w:t xml:space="preserve">Evidence / basis: </w:t>
      </w:r>
      <w:r>
        <w:t>Standard geometric identity or proposed engineering metric; not evidence that the OLP engineer used this exact equation.</w:t>
      </w:r>
    </w:p>
    <w:p>
      <w:r>
        <w:rPr>
          <w:b/>
        </w:rPr>
        <w:t xml:space="preserve">Implementation: </w:t>
      </w:r>
      <w:r>
        <w:t>Checking only the TCP point is insufficient; swept robot links and controller motion need validation.</w:t>
      </w:r>
    </w:p>
    <w:p>
      <w:pPr>
        <w:pStyle w:val="Heading1"/>
      </w:pPr>
      <w:r>
        <w:t>6. Confidence matrix</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088"/>
            <w:vAlign w:val="center"/>
            <w:shd w:fill="245A81"/>
          </w:tcPr>
          <w:p>
            <w:pPr>
              <w:spacing w:after="20"/>
            </w:pPr>
            <w:r/>
            <w:r>
              <w:rPr>
                <w:rFonts w:ascii="Aptos" w:hAnsi="Aptos"/>
                <w:b/>
                <w:color w:val="FFFFFF"/>
                <w:sz w:val="15"/>
              </w:rPr>
              <w:t>Rule / component</w:t>
            </w:r>
          </w:p>
        </w:tc>
        <w:tc>
          <w:tcPr>
            <w:tcW w:type="dxa" w:w="1656"/>
            <w:vAlign w:val="center"/>
            <w:shd w:fill="245A81"/>
          </w:tcPr>
          <w:p>
            <w:pPr>
              <w:spacing w:after="20"/>
            </w:pPr>
            <w:r/>
            <w:r>
              <w:rPr>
                <w:rFonts w:ascii="Aptos" w:hAnsi="Aptos"/>
                <w:b/>
                <w:color w:val="FFFFFF"/>
                <w:sz w:val="15"/>
              </w:rPr>
              <w:t>Confidence</w:t>
            </w:r>
          </w:p>
        </w:tc>
        <w:tc>
          <w:tcPr>
            <w:tcW w:type="dxa" w:w="3024"/>
            <w:vAlign w:val="center"/>
            <w:shd w:fill="245A81"/>
          </w:tcPr>
          <w:p>
            <w:pPr>
              <w:spacing w:after="20"/>
            </w:pPr>
            <w:r/>
            <w:r>
              <w:rPr>
                <w:rFonts w:ascii="Aptos" w:hAnsi="Aptos"/>
                <w:b/>
                <w:color w:val="FFFFFF"/>
                <w:sz w:val="15"/>
              </w:rPr>
              <w:t>Why</w:t>
            </w:r>
          </w:p>
        </w:tc>
        <w:tc>
          <w:tcPr>
            <w:tcW w:type="dxa" w:w="3024"/>
            <w:vAlign w:val="center"/>
            <w:shd w:fill="245A81"/>
          </w:tcPr>
          <w:p>
            <w:pPr>
              <w:spacing w:after="20"/>
            </w:pPr>
            <w:r/>
            <w:r>
              <w:rPr>
                <w:rFonts w:ascii="Aptos" w:hAnsi="Aptos"/>
                <w:b/>
                <w:color w:val="FFFFFF"/>
                <w:sz w:val="15"/>
              </w:rPr>
              <w:t>What raises confidence</w:t>
            </w:r>
          </w:p>
        </w:tc>
      </w:tr>
      <w:tr>
        <w:tc>
          <w:tcPr>
            <w:tcW w:type="dxa" w:w="2088"/>
            <w:vAlign w:val="center"/>
            <w:shd w:fill="F2F6FA"/>
          </w:tcPr>
          <w:p>
            <w:pPr>
              <w:spacing w:after="20"/>
            </w:pPr>
            <w:r/>
            <w:r>
              <w:rPr>
                <w:rFonts w:ascii="Aptos" w:hAnsi="Aptos"/>
                <w:b w:val="0"/>
                <w:sz w:val="15"/>
              </w:rPr>
              <w:t>Execution-order parsing</w:t>
            </w:r>
          </w:p>
        </w:tc>
        <w:tc>
          <w:tcPr>
            <w:tcW w:type="dxa" w:w="1656"/>
            <w:vAlign w:val="center"/>
            <w:shd w:fill="F2F6FA"/>
          </w:tcPr>
          <w:p>
            <w:pPr>
              <w:spacing w:after="20"/>
            </w:pPr>
            <w:r/>
            <w:r>
              <w:rPr>
                <w:rFonts w:ascii="Aptos" w:hAnsi="Aptos"/>
                <w:b w:val="0"/>
                <w:sz w:val="15"/>
              </w:rPr>
              <w:t>High</w:t>
            </w:r>
          </w:p>
        </w:tc>
        <w:tc>
          <w:tcPr>
            <w:tcW w:type="dxa" w:w="3024"/>
            <w:vAlign w:val="center"/>
            <w:shd w:fill="F2F6FA"/>
          </w:tcPr>
          <w:p>
            <w:pPr>
              <w:spacing w:after="20"/>
            </w:pPr>
            <w:r/>
            <w:r>
              <w:rPr>
                <w:rFonts w:ascii="Aptos" w:hAnsi="Aptos"/>
                <w:b w:val="0"/>
                <w:sz w:val="15"/>
              </w:rPr>
              <w:t>FANUC and DÜRR analysis explicitly show declarations and execution order differ.</w:t>
            </w:r>
          </w:p>
        </w:tc>
        <w:tc>
          <w:tcPr>
            <w:tcW w:type="dxa" w:w="3024"/>
            <w:vAlign w:val="center"/>
            <w:shd w:fill="F2F6FA"/>
          </w:tcPr>
          <w:p>
            <w:pPr>
              <w:spacing w:after="20"/>
            </w:pPr>
            <w:r/>
            <w:r>
              <w:rPr>
                <w:rFonts w:ascii="Aptos" w:hAnsi="Aptos"/>
                <w:b w:val="0"/>
                <w:sz w:val="15"/>
              </w:rPr>
              <w:t>Automated parser tests against the original programs.</w:t>
            </w:r>
          </w:p>
        </w:tc>
      </w:tr>
      <w:tr>
        <w:tc>
          <w:tcPr>
            <w:tcW w:type="dxa" w:w="2088"/>
            <w:vAlign w:val="center"/>
          </w:tcPr>
          <w:p>
            <w:pPr>
              <w:spacing w:after="20"/>
            </w:pPr>
            <w:r/>
            <w:r>
              <w:rPr>
                <w:rFonts w:ascii="Aptos" w:hAnsi="Aptos"/>
                <w:b w:val="0"/>
                <w:sz w:val="15"/>
              </w:rPr>
              <w:t>Region-specific planning</w:t>
            </w:r>
          </w:p>
        </w:tc>
        <w:tc>
          <w:tcPr>
            <w:tcW w:type="dxa" w:w="1656"/>
            <w:vAlign w:val="center"/>
          </w:tcPr>
          <w:p>
            <w:pPr>
              <w:spacing w:after="20"/>
            </w:pPr>
            <w:r/>
            <w:r>
              <w:rPr>
                <w:rFonts w:ascii="Aptos" w:hAnsi="Aptos"/>
                <w:b w:val="0"/>
                <w:sz w:val="15"/>
              </w:rPr>
              <w:t>High for existence; Medium for automation</w:t>
            </w:r>
          </w:p>
        </w:tc>
        <w:tc>
          <w:tcPr>
            <w:tcW w:type="dxa" w:w="3024"/>
            <w:vAlign w:val="center"/>
          </w:tcPr>
          <w:p>
            <w:pPr>
              <w:spacing w:after="20"/>
            </w:pPr>
            <w:r/>
            <w:r>
              <w:rPr>
                <w:rFonts w:ascii="Aptos" w:hAnsi="Aptos"/>
                <w:b w:val="0"/>
                <w:sz w:val="15"/>
              </w:rPr>
              <w:t>ABB procedures and reference image show separate regions/behaviors.</w:t>
            </w:r>
          </w:p>
        </w:tc>
        <w:tc>
          <w:tcPr>
            <w:tcW w:type="dxa" w:w="3024"/>
            <w:vAlign w:val="center"/>
          </w:tcPr>
          <w:p>
            <w:pPr>
              <w:spacing w:after="20"/>
            </w:pPr>
            <w:r/>
            <w:r>
              <w:rPr>
                <w:rFonts w:ascii="Aptos" w:hAnsi="Aptos"/>
                <w:b w:val="0"/>
                <w:sz w:val="15"/>
              </w:rPr>
              <w:t>Compare automatically found regions with annotated references.</w:t>
            </w:r>
          </w:p>
        </w:tc>
      </w:tr>
      <w:tr>
        <w:tc>
          <w:tcPr>
            <w:tcW w:type="dxa" w:w="2088"/>
            <w:vAlign w:val="center"/>
            <w:shd w:fill="F2F6FA"/>
          </w:tcPr>
          <w:p>
            <w:pPr>
              <w:spacing w:after="20"/>
            </w:pPr>
            <w:r/>
            <w:r>
              <w:rPr>
                <w:rFonts w:ascii="Aptos" w:hAnsi="Aptos"/>
                <w:b w:val="0"/>
                <w:sz w:val="15"/>
              </w:rPr>
              <w:t>Serpentine traversal</w:t>
            </w:r>
          </w:p>
        </w:tc>
        <w:tc>
          <w:tcPr>
            <w:tcW w:type="dxa" w:w="1656"/>
            <w:vAlign w:val="center"/>
            <w:shd w:fill="F2F6FA"/>
          </w:tcPr>
          <w:p>
            <w:pPr>
              <w:spacing w:after="20"/>
            </w:pPr>
            <w:r/>
            <w:r>
              <w:rPr>
                <w:rFonts w:ascii="Aptos" w:hAnsi="Aptos"/>
                <w:b w:val="0"/>
                <w:sz w:val="15"/>
              </w:rPr>
              <w:t>High in observed raster regions</w:t>
            </w:r>
          </w:p>
        </w:tc>
        <w:tc>
          <w:tcPr>
            <w:tcW w:type="dxa" w:w="3024"/>
            <w:vAlign w:val="center"/>
            <w:shd w:fill="F2F6FA"/>
          </w:tcPr>
          <w:p>
            <w:pPr>
              <w:spacing w:after="20"/>
            </w:pPr>
            <w:r/>
            <w:r>
              <w:rPr>
                <w:rFonts w:ascii="Aptos" w:hAnsi="Aptos"/>
                <w:b w:val="0"/>
                <w:sz w:val="15"/>
              </w:rPr>
              <w:t>ABB hood and DÜRR Aleta lanes alternate direction.</w:t>
            </w:r>
          </w:p>
        </w:tc>
        <w:tc>
          <w:tcPr>
            <w:tcW w:type="dxa" w:w="3024"/>
            <w:vAlign w:val="center"/>
            <w:shd w:fill="F2F6FA"/>
          </w:tcPr>
          <w:p>
            <w:pPr>
              <w:spacing w:after="20"/>
            </w:pPr>
            <w:r/>
            <w:r>
              <w:rPr>
                <w:rFonts w:ascii="Aptos" w:hAnsi="Aptos"/>
                <w:b w:val="0"/>
                <w:sz w:val="15"/>
              </w:rPr>
              <w:t>Reconstruct the full ordered trajectories in their original frames.</w:t>
            </w:r>
          </w:p>
        </w:tc>
      </w:tr>
      <w:tr>
        <w:tc>
          <w:tcPr>
            <w:tcW w:type="dxa" w:w="2088"/>
            <w:vAlign w:val="center"/>
          </w:tcPr>
          <w:p>
            <w:pPr>
              <w:spacing w:after="20"/>
            </w:pPr>
            <w:r/>
            <w:r>
              <w:rPr>
                <w:rFonts w:ascii="Aptos" w:hAnsi="Aptos"/>
                <w:b w:val="0"/>
                <w:sz w:val="15"/>
              </w:rPr>
              <w:t>150 mm lane pitch</w:t>
            </w:r>
          </w:p>
        </w:tc>
        <w:tc>
          <w:tcPr>
            <w:tcW w:type="dxa" w:w="1656"/>
            <w:vAlign w:val="center"/>
          </w:tcPr>
          <w:p>
            <w:pPr>
              <w:spacing w:after="20"/>
            </w:pPr>
            <w:r/>
            <w:r>
              <w:rPr>
                <w:rFonts w:ascii="Aptos" w:hAnsi="Aptos"/>
                <w:b w:val="0"/>
                <w:sz w:val="15"/>
              </w:rPr>
              <w:t>High for reported DÜRR region only</w:t>
            </w:r>
          </w:p>
        </w:tc>
        <w:tc>
          <w:tcPr>
            <w:tcW w:type="dxa" w:w="3024"/>
            <w:vAlign w:val="center"/>
          </w:tcPr>
          <w:p>
            <w:pPr>
              <w:spacing w:after="20"/>
            </w:pPr>
            <w:r/>
            <w:r>
              <w:rPr>
                <w:rFonts w:ascii="Aptos" w:hAnsi="Aptos"/>
                <w:b w:val="0"/>
                <w:sz w:val="15"/>
              </w:rPr>
              <w:t>Reported lane X coordinates differ by approximately 150 mm.</w:t>
            </w:r>
          </w:p>
        </w:tc>
        <w:tc>
          <w:tcPr>
            <w:tcW w:type="dxa" w:w="3024"/>
            <w:vAlign w:val="center"/>
          </w:tcPr>
          <w:p>
            <w:pPr>
              <w:spacing w:after="20"/>
            </w:pPr>
            <w:r/>
            <w:r>
              <w:rPr>
                <w:rFonts w:ascii="Aptos" w:hAnsi="Aptos"/>
                <w:b w:val="0"/>
                <w:sz w:val="15"/>
              </w:rPr>
              <w:t>Recompute from raw targets and confirm units/frame.</w:t>
            </w:r>
          </w:p>
        </w:tc>
      </w:tr>
      <w:tr>
        <w:tc>
          <w:tcPr>
            <w:tcW w:type="dxa" w:w="2088"/>
            <w:vAlign w:val="center"/>
            <w:shd w:fill="F2F6FA"/>
          </w:tcPr>
          <w:p>
            <w:pPr>
              <w:spacing w:after="20"/>
            </w:pPr>
            <w:r/>
            <w:r>
              <w:rPr>
                <w:rFonts w:ascii="Aptos" w:hAnsi="Aptos"/>
                <w:b w:val="0"/>
                <w:sz w:val="15"/>
              </w:rPr>
              <w:t>Universal lane pitch</w:t>
            </w:r>
          </w:p>
        </w:tc>
        <w:tc>
          <w:tcPr>
            <w:tcW w:type="dxa" w:w="1656"/>
            <w:vAlign w:val="center"/>
            <w:shd w:fill="F2F6FA"/>
          </w:tcPr>
          <w:p>
            <w:pPr>
              <w:spacing w:after="20"/>
            </w:pPr>
            <w:r/>
            <w:r>
              <w:rPr>
                <w:rFonts w:ascii="Aptos" w:hAnsi="Aptos"/>
                <w:b w:val="0"/>
                <w:sz w:val="15"/>
              </w:rPr>
              <w:t>Low</w:t>
            </w:r>
          </w:p>
        </w:tc>
        <w:tc>
          <w:tcPr>
            <w:tcW w:type="dxa" w:w="3024"/>
            <w:vAlign w:val="center"/>
            <w:shd w:fill="F2F6FA"/>
          </w:tcPr>
          <w:p>
            <w:pPr>
              <w:spacing w:after="20"/>
            </w:pPr>
            <w:r/>
            <w:r>
              <w:rPr>
                <w:rFonts w:ascii="Aptos" w:hAnsi="Aptos"/>
                <w:b w:val="0"/>
                <w:sz w:val="15"/>
              </w:rPr>
              <w:t>No evidence that all parts/processes use the same width or overlap.</w:t>
            </w:r>
          </w:p>
        </w:tc>
        <w:tc>
          <w:tcPr>
            <w:tcW w:type="dxa" w:w="3024"/>
            <w:vAlign w:val="center"/>
            <w:shd w:fill="F2F6FA"/>
          </w:tcPr>
          <w:p>
            <w:pPr>
              <w:spacing w:after="20"/>
            </w:pPr>
            <w:r/>
            <w:r>
              <w:rPr>
                <w:rFonts w:ascii="Aptos" w:hAnsi="Aptos"/>
                <w:b w:val="0"/>
                <w:sz w:val="15"/>
              </w:rPr>
              <w:t>Use process parameters and multiple independent OLP examples.</w:t>
            </w:r>
          </w:p>
        </w:tc>
      </w:tr>
      <w:tr>
        <w:tc>
          <w:tcPr>
            <w:tcW w:type="dxa" w:w="2088"/>
            <w:vAlign w:val="center"/>
          </w:tcPr>
          <w:p>
            <w:pPr>
              <w:spacing w:after="20"/>
            </w:pPr>
            <w:r/>
            <w:r>
              <w:rPr>
                <w:rFonts w:ascii="Aptos" w:hAnsi="Aptos"/>
                <w:b w:val="0"/>
                <w:sz w:val="15"/>
              </w:rPr>
              <w:t>Smooth curvature-following</w:t>
            </w:r>
          </w:p>
        </w:tc>
        <w:tc>
          <w:tcPr>
            <w:tcW w:type="dxa" w:w="1656"/>
            <w:vAlign w:val="center"/>
          </w:tcPr>
          <w:p>
            <w:pPr>
              <w:spacing w:after="20"/>
            </w:pPr>
            <w:r/>
            <w:r>
              <w:rPr>
                <w:rFonts w:ascii="Aptos" w:hAnsi="Aptos"/>
                <w:b w:val="0"/>
                <w:sz w:val="15"/>
              </w:rPr>
              <w:t>Medium</w:t>
            </w:r>
          </w:p>
        </w:tc>
        <w:tc>
          <w:tcPr>
            <w:tcW w:type="dxa" w:w="3024"/>
            <w:vAlign w:val="center"/>
          </w:tcPr>
          <w:p>
            <w:pPr>
              <w:spacing w:after="20"/>
            </w:pPr>
            <w:r/>
            <w:r>
              <w:rPr>
                <w:rFonts w:ascii="Aptos" w:hAnsi="Aptos"/>
                <w:b w:val="0"/>
                <w:sz w:val="15"/>
              </w:rPr>
              <w:t>Intent is established, but no quantified smoothing tolerance is provided.</w:t>
            </w:r>
          </w:p>
        </w:tc>
        <w:tc>
          <w:tcPr>
            <w:tcW w:type="dxa" w:w="3024"/>
            <w:vAlign w:val="center"/>
          </w:tcPr>
          <w:p>
            <w:pPr>
              <w:spacing w:after="20"/>
            </w:pPr>
            <w:r/>
            <w:r>
              <w:rPr>
                <w:rFonts w:ascii="Aptos" w:hAnsi="Aptos"/>
                <w:b w:val="0"/>
                <w:sz w:val="15"/>
              </w:rPr>
              <w:t>Reference-to-generated comparison over multiple mesh resolutions.</w:t>
            </w:r>
          </w:p>
        </w:tc>
      </w:tr>
      <w:tr>
        <w:tc>
          <w:tcPr>
            <w:tcW w:type="dxa" w:w="2088"/>
            <w:vAlign w:val="center"/>
            <w:shd w:fill="F2F6FA"/>
          </w:tcPr>
          <w:p>
            <w:pPr>
              <w:spacing w:after="20"/>
            </w:pPr>
            <w:r/>
            <w:r>
              <w:rPr>
                <w:rFonts w:ascii="Aptos" w:hAnsi="Aptos"/>
                <w:b w:val="0"/>
                <w:sz w:val="15"/>
              </w:rPr>
              <w:t>Normals-based orientation</w:t>
            </w:r>
          </w:p>
        </w:tc>
        <w:tc>
          <w:tcPr>
            <w:tcW w:type="dxa" w:w="1656"/>
            <w:vAlign w:val="center"/>
            <w:shd w:fill="F2F6FA"/>
          </w:tcPr>
          <w:p>
            <w:pPr>
              <w:spacing w:after="20"/>
            </w:pPr>
            <w:r/>
            <w:r>
              <w:rPr>
                <w:rFonts w:ascii="Aptos" w:hAnsi="Aptos"/>
                <w:b w:val="0"/>
                <w:sz w:val="15"/>
              </w:rPr>
              <w:t>Medium</w:t>
            </w:r>
          </w:p>
        </w:tc>
        <w:tc>
          <w:tcPr>
            <w:tcW w:type="dxa" w:w="3024"/>
            <w:vAlign w:val="center"/>
            <w:shd w:fill="F2F6FA"/>
          </w:tcPr>
          <w:p>
            <w:pPr>
              <w:spacing w:after="20"/>
            </w:pPr>
            <w:r/>
            <w:r>
              <w:rPr>
                <w:rFonts w:ascii="Aptos" w:hAnsi="Aptos"/>
                <w:b w:val="0"/>
                <w:sz w:val="15"/>
              </w:rPr>
              <w:t>References contain orientation values; normal-based reconstruction is a proposed method.</w:t>
            </w:r>
          </w:p>
        </w:tc>
        <w:tc>
          <w:tcPr>
            <w:tcW w:type="dxa" w:w="3024"/>
            <w:vAlign w:val="center"/>
            <w:shd w:fill="F2F6FA"/>
          </w:tcPr>
          <w:p>
            <w:pPr>
              <w:spacing w:after="20"/>
            </w:pPr>
            <w:r/>
            <w:r>
              <w:rPr>
                <w:rFonts w:ascii="Aptos" w:hAnsi="Aptos"/>
                <w:b w:val="0"/>
                <w:sz w:val="15"/>
              </w:rPr>
              <w:t>Compare generated tool frames to reference poses and validate tool convention.</w:t>
            </w:r>
          </w:p>
        </w:tc>
      </w:tr>
      <w:tr>
        <w:tc>
          <w:tcPr>
            <w:tcW w:type="dxa" w:w="2088"/>
            <w:vAlign w:val="center"/>
          </w:tcPr>
          <w:p>
            <w:pPr>
              <w:spacing w:after="20"/>
            </w:pPr>
            <w:r/>
            <w:r>
              <w:rPr>
                <w:rFonts w:ascii="Aptos" w:hAnsi="Aptos"/>
                <w:b w:val="0"/>
                <w:sz w:val="15"/>
              </w:rPr>
              <w:t>Spray coverage model</w:t>
            </w:r>
          </w:p>
        </w:tc>
        <w:tc>
          <w:tcPr>
            <w:tcW w:type="dxa" w:w="1656"/>
            <w:vAlign w:val="center"/>
          </w:tcPr>
          <w:p>
            <w:pPr>
              <w:spacing w:after="20"/>
            </w:pPr>
            <w:r/>
            <w:r>
              <w:rPr>
                <w:rFonts w:ascii="Aptos" w:hAnsi="Aptos"/>
                <w:b w:val="0"/>
                <w:sz w:val="15"/>
              </w:rPr>
              <w:t>Low until calibrated</w:t>
            </w:r>
          </w:p>
        </w:tc>
        <w:tc>
          <w:tcPr>
            <w:tcW w:type="dxa" w:w="3024"/>
            <w:vAlign w:val="center"/>
          </w:tcPr>
          <w:p>
            <w:pPr>
              <w:spacing w:after="20"/>
            </w:pPr>
            <w:r/>
            <w:r>
              <w:rPr>
                <w:rFonts w:ascii="Aptos" w:hAnsi="Aptos"/>
                <w:b w:val="0"/>
                <w:sz w:val="15"/>
              </w:rPr>
              <w:t>Path locations alone do not specify real spray footprint or deposition.</w:t>
            </w:r>
          </w:p>
        </w:tc>
        <w:tc>
          <w:tcPr>
            <w:tcW w:type="dxa" w:w="3024"/>
            <w:vAlign w:val="center"/>
          </w:tcPr>
          <w:p>
            <w:pPr>
              <w:spacing w:after="20"/>
            </w:pPr>
            <w:r/>
            <w:r>
              <w:rPr>
                <w:rFonts w:ascii="Aptos" w:hAnsi="Aptos"/>
                <w:b w:val="0"/>
                <w:sz w:val="15"/>
              </w:rPr>
              <w:t>Process data, validated effective width, and measured coating results.</w:t>
            </w:r>
          </w:p>
        </w:tc>
      </w:tr>
      <w:tr>
        <w:tc>
          <w:tcPr>
            <w:tcW w:type="dxa" w:w="2088"/>
            <w:vAlign w:val="center"/>
            <w:shd w:fill="F2F6FA"/>
          </w:tcPr>
          <w:p>
            <w:pPr>
              <w:spacing w:after="20"/>
            </w:pPr>
            <w:r/>
            <w:r>
              <w:rPr>
                <w:rFonts w:ascii="Aptos" w:hAnsi="Aptos"/>
                <w:b w:val="0"/>
                <w:sz w:val="15"/>
              </w:rPr>
              <w:t>Collision/reachability</w:t>
            </w:r>
          </w:p>
        </w:tc>
        <w:tc>
          <w:tcPr>
            <w:tcW w:type="dxa" w:w="1656"/>
            <w:vAlign w:val="center"/>
            <w:shd w:fill="F2F6FA"/>
          </w:tcPr>
          <w:p>
            <w:pPr>
              <w:spacing w:after="20"/>
            </w:pPr>
            <w:r/>
            <w:r>
              <w:rPr>
                <w:rFonts w:ascii="Aptos" w:hAnsi="Aptos"/>
                <w:b w:val="0"/>
                <w:sz w:val="15"/>
              </w:rPr>
              <w:t>Not established by path pattern alone</w:t>
            </w:r>
          </w:p>
        </w:tc>
        <w:tc>
          <w:tcPr>
            <w:tcW w:type="dxa" w:w="3024"/>
            <w:vAlign w:val="center"/>
            <w:shd w:fill="F2F6FA"/>
          </w:tcPr>
          <w:p>
            <w:pPr>
              <w:spacing w:after="20"/>
            </w:pPr>
            <w:r/>
            <w:r>
              <w:rPr>
                <w:rFonts w:ascii="Aptos" w:hAnsi="Aptos"/>
                <w:b w:val="0"/>
                <w:sz w:val="15"/>
              </w:rPr>
              <w:t>Reference paths do not prove all robot configurations are safe in this implementation.</w:t>
            </w:r>
          </w:p>
        </w:tc>
        <w:tc>
          <w:tcPr>
            <w:tcW w:type="dxa" w:w="3024"/>
            <w:vAlign w:val="center"/>
            <w:shd w:fill="F2F6FA"/>
          </w:tcPr>
          <w:p>
            <w:pPr>
              <w:spacing w:after="20"/>
            </w:pPr>
            <w:r/>
            <w:r>
              <w:rPr>
                <w:rFonts w:ascii="Aptos" w:hAnsi="Aptos"/>
                <w:b w:val="0"/>
                <w:sz w:val="15"/>
              </w:rPr>
              <w:t>Robot model, tool geometry, kinematics and offline/physical validation.</w:t>
            </w:r>
          </w:p>
        </w:tc>
      </w:tr>
    </w:tbl>
    <w:p/>
    <w:p>
      <w:pPr>
        <w:pStyle w:val="Heading1"/>
      </w:pPr>
      <w:r>
        <w:t>7. Recommended implementation architecture</w:t>
      </w:r>
    </w:p>
    <w:p>
      <w:pPr>
        <w:pStyle w:val="ListNumber"/>
        <w:spacing w:after="40"/>
      </w:pPr>
      <w:r>
        <w:t>Reference parser: read the source program’s execution instructions and resolve target positions, orientations, speeds, process states, frames, and external axes.</w:t>
      </w:r>
    </w:p>
    <w:p>
      <w:pPr>
        <w:pStyle w:val="ListNumber"/>
        <w:spacing w:after="40"/>
      </w:pPr>
      <w:r>
        <w:t>Coordinate normalization: map mesh and reference data into a common declared frame and unit system; retain transform provenance.</w:t>
      </w:r>
    </w:p>
    <w:p>
      <w:pPr>
        <w:pStyle w:val="ListNumber"/>
        <w:spacing w:after="40"/>
      </w:pPr>
      <w:r>
        <w:t>Region manager: represent target regions, boundaries, protected edges, local frames, and region-specific settings.</w:t>
      </w:r>
    </w:p>
    <w:p>
      <w:pPr>
        <w:pStyle w:val="ListNumber"/>
        <w:spacing w:after="40"/>
      </w:pPr>
      <w:r>
        <w:t>Direction estimator: select a primary tangent direction per region using a reference path or a stable geometry-derived estimate.</w:t>
      </w:r>
    </w:p>
    <w:p>
      <w:pPr>
        <w:pStyle w:val="ListNumber"/>
        <w:spacing w:after="40"/>
      </w:pPr>
      <w:r>
        <w:t>Lane planner: generate lane offsets using a configurable pitch and a clearly defined endpoint/boundary policy.</w:t>
      </w:r>
    </w:p>
    <w:p>
      <w:pPr>
        <w:pStyle w:val="ListNumber"/>
        <w:spacing w:after="40"/>
      </w:pPr>
      <w:r>
        <w:t>Surface intersection / projection: generate 3D lane geometry on the target mesh without merging unrelated surfaces.</w:t>
      </w:r>
    </w:p>
    <w:p>
      <w:pPr>
        <w:pStyle w:val="ListNumber"/>
        <w:spacing w:after="40"/>
      </w:pPr>
      <w:r>
        <w:t>Curve conditioner: resample and smooth trajectories while enforcing a maximum surface-deviation bound.</w:t>
      </w:r>
    </w:p>
    <w:p>
      <w:pPr>
        <w:pStyle w:val="ListNumber"/>
        <w:spacing w:after="40"/>
      </w:pPr>
      <w:r>
        <w:t>Orientation builder: calculate stable surface normals and tool frames, with explicit controller/tool convention settings.</w:t>
      </w:r>
    </w:p>
    <w:p>
      <w:pPr>
        <w:pStyle w:val="ListNumber"/>
        <w:spacing w:after="40"/>
      </w:pPr>
      <w:r>
        <w:t>Transition planner: generate separate approach, retract, lane connector, and region-to-region travel moves.</w:t>
      </w:r>
    </w:p>
    <w:p>
      <w:pPr>
        <w:pStyle w:val="ListNumber"/>
        <w:spacing w:after="40"/>
      </w:pPr>
      <w:r>
        <w:t>Process-state planner: apply gun/brush enable states, speeds, waits, and motion types to the correct segments.</w:t>
      </w:r>
    </w:p>
    <w:p>
      <w:pPr>
        <w:pStyle w:val="ListNumber"/>
        <w:spacing w:after="40"/>
      </w:pPr>
      <w:r>
        <w:t>Validator: calculate geometric, orientation, coverage, collision, and reachability checks; report errors rather than silently hiding them.</w:t>
      </w:r>
    </w:p>
    <w:p>
      <w:pPr>
        <w:pStyle w:val="ListNumber"/>
        <w:spacing w:after="40"/>
      </w:pPr>
      <w:r>
        <w:t>Exporter: preserve the existing export formats and semantics; include mode metadata only where compatibility is defined.</w:t>
      </w:r>
    </w:p>
    <w:p>
      <w:pPr>
        <w:pStyle w:val="Heading1"/>
      </w:pPr>
      <w:r>
        <w:t>8. Pseudocode for the proposed Mesh Flow planner</w:t>
      </w:r>
    </w:p>
    <w:p>
      <w:r>
        <w:rPr>
          <w:rFonts w:ascii="Consolas" w:hAnsi="Consolas"/>
          <w:sz w:val="17"/>
        </w:rPr>
        <w:t>INPUT: target mesh M, selected regions R, process settings P, optional reference OLP programs</w:t>
        <w:br/>
        <w:t>1. Validate mesh, units, transforms, region selections, and process settings.</w:t>
        <w:br/>
        <w:t>2. If reference programs exist:</w:t>
        <w:br/>
        <w:t xml:space="preserve">      parse executed instruction order and reconstruct typed motion segments.</w:t>
        <w:br/>
        <w:t xml:space="preserve">      estimate region-local directions, lane pitch, orientation conventions, and process states.</w:t>
        <w:br/>
        <w:t>3. For each region r in R:</w:t>
        <w:br/>
        <w:t xml:space="preserve">      establish a stable local scan frame.</w:t>
        <w:br/>
        <w:t xml:space="preserve">      choose/estimate primary pass direction d and spacing direction s.</w:t>
        <w:br/>
        <w:t xml:space="preserve">      select lane pitch Δ from explicit process settings or validated region reference.</w:t>
        <w:br/>
        <w:t xml:space="preserve">      generate lane planes/curves over the region bounds.</w:t>
        <w:br/>
        <w:t xml:space="preserve">      intersect/project lanes onto M and split at boundaries or disconnected surface components.</w:t>
        <w:br/>
        <w:t xml:space="preserve">      order lanes in a serpentine pattern where appropriate.</w:t>
        <w:br/>
        <w:t xml:space="preserve">      resample curves by arc length.</w:t>
        <w:br/>
        <w:t xml:space="preserve">      smooth subject to surface-error and protected-feature constraints.</w:t>
        <w:br/>
        <w:t xml:space="preserve">      calculate tool orientation using validated surface/tool-frame conventions.</w:t>
        <w:br/>
        <w:t>4. Insert nonpainting approach/retract/transition moves between segments and regions.</w:t>
        <w:br/>
        <w:t>5. Apply process states, speeds, tool changes, and supported external-axis behavior.</w:t>
        <w:br/>
        <w:t>6. Validate standoff, surface deviation, lane spacing, orientation jumps, coverage,</w:t>
        <w:br/>
        <w:t xml:space="preserve">   collisions, reachability, and export/controller constraints.</w:t>
        <w:br/>
        <w:t>7. Export only if all hard checks pass; include a diagnostic report.</w:t>
        <w:br/>
        <w:t>OUTPUT: typed, ordered path segments plus validation report.</w:t>
      </w:r>
    </w:p>
    <w:p>
      <w:pPr>
        <w:pStyle w:val="Heading1"/>
      </w:pPr>
      <w:r>
        <w:t>9. Validation and acceptance criteria</w:t>
      </w:r>
    </w:p>
    <w:p>
      <w:r>
        <w:t>Thresholds below are placeholders until the process owner supplies acceptable tolerances. Do not treat these example categories as already-approved production limits.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656"/>
            <w:vAlign w:val="center"/>
            <w:shd w:fill="245A81"/>
          </w:tcPr>
          <w:p>
            <w:pPr>
              <w:spacing w:after="20"/>
            </w:pPr>
            <w:r/>
            <w:r>
              <w:rPr>
                <w:rFonts w:ascii="Aptos" w:hAnsi="Aptos"/>
                <w:b/>
                <w:color w:val="FFFFFF"/>
                <w:sz w:val="15"/>
              </w:rPr>
              <w:t>Test</w:t>
            </w:r>
          </w:p>
        </w:tc>
        <w:tc>
          <w:tcPr>
            <w:tcW w:type="dxa" w:w="2520"/>
            <w:vAlign w:val="center"/>
            <w:shd w:fill="245A81"/>
          </w:tcPr>
          <w:p>
            <w:pPr>
              <w:spacing w:after="20"/>
            </w:pPr>
            <w:r/>
            <w:r>
              <w:rPr>
                <w:rFonts w:ascii="Aptos" w:hAnsi="Aptos"/>
                <w:b/>
                <w:color w:val="FFFFFF"/>
                <w:sz w:val="15"/>
              </w:rPr>
              <w:t>Metric / method</w:t>
            </w:r>
          </w:p>
        </w:tc>
        <w:tc>
          <w:tcPr>
            <w:tcW w:type="dxa" w:w="2952"/>
            <w:vAlign w:val="center"/>
            <w:shd w:fill="245A81"/>
          </w:tcPr>
          <w:p>
            <w:pPr>
              <w:spacing w:after="20"/>
            </w:pPr>
            <w:r/>
            <w:r>
              <w:rPr>
                <w:rFonts w:ascii="Aptos" w:hAnsi="Aptos"/>
                <w:b/>
                <w:color w:val="FFFFFF"/>
                <w:sz w:val="15"/>
              </w:rPr>
              <w:t>Pass criterion</w:t>
            </w:r>
          </w:p>
        </w:tc>
        <w:tc>
          <w:tcPr>
            <w:tcW w:type="dxa" w:w="2664"/>
            <w:vAlign w:val="center"/>
            <w:shd w:fill="245A81"/>
          </w:tcPr>
          <w:p>
            <w:pPr>
              <w:spacing w:after="20"/>
            </w:pPr>
            <w:r/>
            <w:r>
              <w:rPr>
                <w:rFonts w:ascii="Aptos" w:hAnsi="Aptos"/>
                <w:b/>
                <w:color w:val="FFFFFF"/>
                <w:sz w:val="15"/>
              </w:rPr>
              <w:t>Required evidence</w:t>
            </w:r>
          </w:p>
        </w:tc>
      </w:tr>
      <w:tr>
        <w:tc>
          <w:tcPr>
            <w:tcW w:type="dxa" w:w="1656"/>
            <w:vAlign w:val="center"/>
            <w:shd w:fill="F2F6FA"/>
          </w:tcPr>
          <w:p>
            <w:pPr>
              <w:spacing w:after="20"/>
            </w:pPr>
            <w:r/>
            <w:r>
              <w:rPr>
                <w:rFonts w:ascii="Aptos" w:hAnsi="Aptos"/>
                <w:b w:val="0"/>
                <w:sz w:val="15"/>
              </w:rPr>
              <w:t>Execution order</w:t>
            </w:r>
          </w:p>
        </w:tc>
        <w:tc>
          <w:tcPr>
            <w:tcW w:type="dxa" w:w="2520"/>
            <w:vAlign w:val="center"/>
            <w:shd w:fill="F2F6FA"/>
          </w:tcPr>
          <w:p>
            <w:pPr>
              <w:spacing w:after="20"/>
            </w:pPr>
            <w:r/>
            <w:r>
              <w:rPr>
                <w:rFonts w:ascii="Aptos" w:hAnsi="Aptos"/>
                <w:b w:val="0"/>
                <w:sz w:val="15"/>
              </w:rPr>
              <w:t>Compare parsed move sequence to source instructions.</w:t>
            </w:r>
          </w:p>
        </w:tc>
        <w:tc>
          <w:tcPr>
            <w:tcW w:type="dxa" w:w="2952"/>
            <w:vAlign w:val="center"/>
            <w:shd w:fill="F2F6FA"/>
          </w:tcPr>
          <w:p>
            <w:pPr>
              <w:spacing w:after="20"/>
            </w:pPr>
            <w:r/>
            <w:r>
              <w:rPr>
                <w:rFonts w:ascii="Aptos" w:hAnsi="Aptos"/>
                <w:b w:val="0"/>
                <w:sz w:val="15"/>
              </w:rPr>
              <w:t>Exact order for all supported instructions; unknown instructions flagged.</w:t>
            </w:r>
          </w:p>
        </w:tc>
        <w:tc>
          <w:tcPr>
            <w:tcW w:type="dxa" w:w="2664"/>
            <w:vAlign w:val="center"/>
            <w:shd w:fill="F2F6FA"/>
          </w:tcPr>
          <w:p>
            <w:pPr>
              <w:spacing w:after="20"/>
            </w:pPr>
            <w:r/>
            <w:r>
              <w:rPr>
                <w:rFonts w:ascii="Aptos" w:hAnsi="Aptos"/>
                <w:b w:val="0"/>
                <w:sz w:val="15"/>
              </w:rPr>
              <w:t>Golden parser fixtures for ABB, FANUC, and DÜRR examples.</w:t>
            </w:r>
          </w:p>
        </w:tc>
      </w:tr>
      <w:tr>
        <w:tc>
          <w:tcPr>
            <w:tcW w:type="dxa" w:w="1656"/>
            <w:vAlign w:val="center"/>
          </w:tcPr>
          <w:p>
            <w:pPr>
              <w:spacing w:after="20"/>
            </w:pPr>
            <w:r/>
            <w:r>
              <w:rPr>
                <w:rFonts w:ascii="Aptos" w:hAnsi="Aptos"/>
                <w:b w:val="0"/>
                <w:sz w:val="15"/>
              </w:rPr>
              <w:t>Coordinate integrity</w:t>
            </w:r>
          </w:p>
        </w:tc>
        <w:tc>
          <w:tcPr>
            <w:tcW w:type="dxa" w:w="2520"/>
            <w:vAlign w:val="center"/>
          </w:tcPr>
          <w:p>
            <w:pPr>
              <w:spacing w:after="20"/>
            </w:pPr>
            <w:r/>
            <w:r>
              <w:rPr>
                <w:rFonts w:ascii="Aptos" w:hAnsi="Aptos"/>
                <w:b w:val="0"/>
                <w:sz w:val="15"/>
              </w:rPr>
              <w:t>Round-trip transforms; unit and handedness checks.</w:t>
            </w:r>
          </w:p>
        </w:tc>
        <w:tc>
          <w:tcPr>
            <w:tcW w:type="dxa" w:w="2952"/>
            <w:vAlign w:val="center"/>
          </w:tcPr>
          <w:p>
            <w:pPr>
              <w:spacing w:after="20"/>
            </w:pPr>
            <w:r/>
            <w:r>
              <w:rPr>
                <w:rFonts w:ascii="Aptos" w:hAnsi="Aptos"/>
                <w:b w:val="0"/>
                <w:sz w:val="15"/>
              </w:rPr>
              <w:t>Within a declared numerical tolerance; no silent unit conversion.</w:t>
            </w:r>
          </w:p>
        </w:tc>
        <w:tc>
          <w:tcPr>
            <w:tcW w:type="dxa" w:w="2664"/>
            <w:vAlign w:val="center"/>
          </w:tcPr>
          <w:p>
            <w:pPr>
              <w:spacing w:after="20"/>
            </w:pPr>
            <w:r/>
            <w:r>
              <w:rPr>
                <w:rFonts w:ascii="Aptos" w:hAnsi="Aptos"/>
                <w:b w:val="0"/>
                <w:sz w:val="15"/>
              </w:rPr>
              <w:t>Known target points and transform tests.</w:t>
            </w:r>
          </w:p>
        </w:tc>
      </w:tr>
      <w:tr>
        <w:tc>
          <w:tcPr>
            <w:tcW w:type="dxa" w:w="1656"/>
            <w:vAlign w:val="center"/>
            <w:shd w:fill="F2F6FA"/>
          </w:tcPr>
          <w:p>
            <w:pPr>
              <w:spacing w:after="20"/>
            </w:pPr>
            <w:r/>
            <w:r>
              <w:rPr>
                <w:rFonts w:ascii="Aptos" w:hAnsi="Aptos"/>
                <w:b w:val="0"/>
                <w:sz w:val="15"/>
              </w:rPr>
              <w:t>Lane pitch</w:t>
            </w:r>
          </w:p>
        </w:tc>
        <w:tc>
          <w:tcPr>
            <w:tcW w:type="dxa" w:w="2520"/>
            <w:vAlign w:val="center"/>
            <w:shd w:fill="F2F6FA"/>
          </w:tcPr>
          <w:p>
            <w:pPr>
              <w:spacing w:after="20"/>
            </w:pPr>
            <w:r/>
            <w:r>
              <w:rPr>
                <w:rFonts w:ascii="Aptos" w:hAnsi="Aptos"/>
                <w:b w:val="0"/>
                <w:sz w:val="15"/>
              </w:rPr>
              <w:t>Project neighboring lane separation onto local spacing direction.</w:t>
            </w:r>
          </w:p>
        </w:tc>
        <w:tc>
          <w:tcPr>
            <w:tcW w:type="dxa" w:w="2952"/>
            <w:vAlign w:val="center"/>
            <w:shd w:fill="F2F6FA"/>
          </w:tcPr>
          <w:p>
            <w:pPr>
              <w:spacing w:after="20"/>
            </w:pPr>
            <w:r/>
            <w:r>
              <w:rPr>
                <w:rFonts w:ascii="Aptos" w:hAnsi="Aptos"/>
                <w:b w:val="0"/>
                <w:sz w:val="15"/>
              </w:rPr>
              <w:t>Matches configured pitch within tolerance in stable regions.</w:t>
            </w:r>
          </w:p>
        </w:tc>
        <w:tc>
          <w:tcPr>
            <w:tcW w:type="dxa" w:w="2664"/>
            <w:vAlign w:val="center"/>
            <w:shd w:fill="F2F6FA"/>
          </w:tcPr>
          <w:p>
            <w:pPr>
              <w:spacing w:after="20"/>
            </w:pPr>
            <w:r/>
            <w:r>
              <w:rPr>
                <w:rFonts w:ascii="Aptos" w:hAnsi="Aptos"/>
                <w:b w:val="0"/>
                <w:sz w:val="15"/>
              </w:rPr>
              <w:t>Raw reference coordinates and documented pitch setting.</w:t>
            </w:r>
          </w:p>
        </w:tc>
      </w:tr>
      <w:tr>
        <w:tc>
          <w:tcPr>
            <w:tcW w:type="dxa" w:w="1656"/>
            <w:vAlign w:val="center"/>
          </w:tcPr>
          <w:p>
            <w:pPr>
              <w:spacing w:after="20"/>
            </w:pPr>
            <w:r/>
            <w:r>
              <w:rPr>
                <w:rFonts w:ascii="Aptos" w:hAnsi="Aptos"/>
                <w:b w:val="0"/>
                <w:sz w:val="15"/>
              </w:rPr>
              <w:t>Surface conformity</w:t>
            </w:r>
          </w:p>
        </w:tc>
        <w:tc>
          <w:tcPr>
            <w:tcW w:type="dxa" w:w="2520"/>
            <w:vAlign w:val="center"/>
          </w:tcPr>
          <w:p>
            <w:pPr>
              <w:spacing w:after="20"/>
            </w:pPr>
            <w:r/>
            <w:r>
              <w:rPr>
                <w:rFonts w:ascii="Aptos" w:hAnsi="Aptos"/>
                <w:b w:val="0"/>
                <w:sz w:val="15"/>
              </w:rPr>
              <w:t>RMS and maximum point-to-mesh deviation.</w:t>
            </w:r>
          </w:p>
        </w:tc>
        <w:tc>
          <w:tcPr>
            <w:tcW w:type="dxa" w:w="2952"/>
            <w:vAlign w:val="center"/>
          </w:tcPr>
          <w:p>
            <w:pPr>
              <w:spacing w:after="20"/>
            </w:pPr>
            <w:r/>
            <w:r>
              <w:rPr>
                <w:rFonts w:ascii="Aptos" w:hAnsi="Aptos"/>
                <w:b w:val="0"/>
                <w:sz w:val="15"/>
              </w:rPr>
              <w:t>Below process-approved tolerances; protected features preserved.</w:t>
            </w:r>
          </w:p>
        </w:tc>
        <w:tc>
          <w:tcPr>
            <w:tcW w:type="dxa" w:w="2664"/>
            <w:vAlign w:val="center"/>
          </w:tcPr>
          <w:p>
            <w:pPr>
              <w:spacing w:after="20"/>
            </w:pPr>
            <w:r/>
            <w:r>
              <w:rPr>
                <w:rFonts w:ascii="Aptos" w:hAnsi="Aptos"/>
                <w:b w:val="0"/>
                <w:sz w:val="15"/>
              </w:rPr>
              <w:t>Multiple meshes, including coarse/noisy meshes.</w:t>
            </w:r>
          </w:p>
        </w:tc>
      </w:tr>
      <w:tr>
        <w:tc>
          <w:tcPr>
            <w:tcW w:type="dxa" w:w="1656"/>
            <w:vAlign w:val="center"/>
            <w:shd w:fill="F2F6FA"/>
          </w:tcPr>
          <w:p>
            <w:pPr>
              <w:spacing w:after="20"/>
            </w:pPr>
            <w:r/>
            <w:r>
              <w:rPr>
                <w:rFonts w:ascii="Aptos" w:hAnsi="Aptos"/>
                <w:b w:val="0"/>
                <w:sz w:val="15"/>
              </w:rPr>
              <w:t>Smoothness</w:t>
            </w:r>
          </w:p>
        </w:tc>
        <w:tc>
          <w:tcPr>
            <w:tcW w:type="dxa" w:w="2520"/>
            <w:vAlign w:val="center"/>
            <w:shd w:fill="F2F6FA"/>
          </w:tcPr>
          <w:p>
            <w:pPr>
              <w:spacing w:after="20"/>
            </w:pPr>
            <w:r/>
            <w:r>
              <w:rPr>
                <w:rFonts w:ascii="Aptos" w:hAnsi="Aptos"/>
                <w:b w:val="0"/>
                <w:sz w:val="15"/>
              </w:rPr>
              <w:t>Curvature proxy, second-difference score, and maximum local change.</w:t>
            </w:r>
          </w:p>
        </w:tc>
        <w:tc>
          <w:tcPr>
            <w:tcW w:type="dxa" w:w="2952"/>
            <w:vAlign w:val="center"/>
            <w:shd w:fill="F2F6FA"/>
          </w:tcPr>
          <w:p>
            <w:pPr>
              <w:spacing w:after="20"/>
            </w:pPr>
            <w:r/>
            <w:r>
              <w:rPr>
                <w:rFonts w:ascii="Aptos" w:hAnsi="Aptos"/>
                <w:b w:val="0"/>
                <w:sz w:val="15"/>
              </w:rPr>
              <w:t>No unexpected spikes; meaningful curvature retained.</w:t>
            </w:r>
          </w:p>
        </w:tc>
        <w:tc>
          <w:tcPr>
            <w:tcW w:type="dxa" w:w="2664"/>
            <w:vAlign w:val="center"/>
            <w:shd w:fill="F2F6FA"/>
          </w:tcPr>
          <w:p>
            <w:pPr>
              <w:spacing w:after="20"/>
            </w:pPr>
            <w:r/>
            <w:r>
              <w:rPr>
                <w:rFonts w:ascii="Aptos" w:hAnsi="Aptos"/>
                <w:b w:val="0"/>
                <w:sz w:val="15"/>
              </w:rPr>
              <w:t>Reference comparisons at multiple mesh resolutions.</w:t>
            </w:r>
          </w:p>
        </w:tc>
      </w:tr>
      <w:tr>
        <w:tc>
          <w:tcPr>
            <w:tcW w:type="dxa" w:w="1656"/>
            <w:vAlign w:val="center"/>
          </w:tcPr>
          <w:p>
            <w:pPr>
              <w:spacing w:after="20"/>
            </w:pPr>
            <w:r/>
            <w:r>
              <w:rPr>
                <w:rFonts w:ascii="Aptos" w:hAnsi="Aptos"/>
                <w:b w:val="0"/>
                <w:sz w:val="15"/>
              </w:rPr>
              <w:t>Tool orientation</w:t>
            </w:r>
          </w:p>
        </w:tc>
        <w:tc>
          <w:tcPr>
            <w:tcW w:type="dxa" w:w="2520"/>
            <w:vAlign w:val="center"/>
          </w:tcPr>
          <w:p>
            <w:pPr>
              <w:spacing w:after="20"/>
            </w:pPr>
            <w:r/>
            <w:r>
              <w:rPr>
                <w:rFonts w:ascii="Aptos" w:hAnsi="Aptos"/>
                <w:b w:val="0"/>
                <w:sz w:val="15"/>
              </w:rPr>
              <w:t>Pointing-axis and full-rotation angular differences.</w:t>
            </w:r>
          </w:p>
        </w:tc>
        <w:tc>
          <w:tcPr>
            <w:tcW w:type="dxa" w:w="2952"/>
            <w:vAlign w:val="center"/>
          </w:tcPr>
          <w:p>
            <w:pPr>
              <w:spacing w:after="20"/>
            </w:pPr>
            <w:r/>
            <w:r>
              <w:rPr>
                <w:rFonts w:ascii="Aptos" w:hAnsi="Aptos"/>
                <w:b w:val="0"/>
                <w:sz w:val="15"/>
              </w:rPr>
              <w:t>Within controller/process limits; no unexplained flips.</w:t>
            </w:r>
          </w:p>
        </w:tc>
        <w:tc>
          <w:tcPr>
            <w:tcW w:type="dxa" w:w="2664"/>
            <w:vAlign w:val="center"/>
          </w:tcPr>
          <w:p>
            <w:pPr>
              <w:spacing w:after="20"/>
            </w:pPr>
            <w:r/>
            <w:r>
              <w:rPr>
                <w:rFonts w:ascii="Aptos" w:hAnsi="Aptos"/>
                <w:b w:val="0"/>
                <w:sz w:val="15"/>
              </w:rPr>
              <w:t>Known reference poses and verified tool-axis convention.</w:t>
            </w:r>
          </w:p>
        </w:tc>
      </w:tr>
      <w:tr>
        <w:tc>
          <w:tcPr>
            <w:tcW w:type="dxa" w:w="1656"/>
            <w:vAlign w:val="center"/>
            <w:shd w:fill="F2F6FA"/>
          </w:tcPr>
          <w:p>
            <w:pPr>
              <w:spacing w:after="20"/>
            </w:pPr>
            <w:r/>
            <w:r>
              <w:rPr>
                <w:rFonts w:ascii="Aptos" w:hAnsi="Aptos"/>
                <w:b w:val="0"/>
                <w:sz w:val="15"/>
              </w:rPr>
              <w:t>Standoff</w:t>
            </w:r>
          </w:p>
        </w:tc>
        <w:tc>
          <w:tcPr>
            <w:tcW w:type="dxa" w:w="2520"/>
            <w:vAlign w:val="center"/>
            <w:shd w:fill="F2F6FA"/>
          </w:tcPr>
          <w:p>
            <w:pPr>
              <w:spacing w:after="20"/>
            </w:pPr>
            <w:r/>
            <w:r>
              <w:rPr>
                <w:rFonts w:ascii="Aptos" w:hAnsi="Aptos"/>
                <w:b w:val="0"/>
                <w:sz w:val="15"/>
              </w:rPr>
              <w:t>TCP-to-target distance along the trajectory.</w:t>
            </w:r>
          </w:p>
        </w:tc>
        <w:tc>
          <w:tcPr>
            <w:tcW w:type="dxa" w:w="2952"/>
            <w:vAlign w:val="center"/>
            <w:shd w:fill="F2F6FA"/>
          </w:tcPr>
          <w:p>
            <w:pPr>
              <w:spacing w:after="20"/>
            </w:pPr>
            <w:r/>
            <w:r>
              <w:rPr>
                <w:rFonts w:ascii="Aptos" w:hAnsi="Aptos"/>
                <w:b w:val="0"/>
                <w:sz w:val="15"/>
              </w:rPr>
              <w:t>Within process-approved range.</w:t>
            </w:r>
          </w:p>
        </w:tc>
        <w:tc>
          <w:tcPr>
            <w:tcW w:type="dxa" w:w="2664"/>
            <w:vAlign w:val="center"/>
            <w:shd w:fill="F2F6FA"/>
          </w:tcPr>
          <w:p>
            <w:pPr>
              <w:spacing w:after="20"/>
            </w:pPr>
            <w:r/>
            <w:r>
              <w:rPr>
                <w:rFonts w:ascii="Aptos" w:hAnsi="Aptos"/>
                <w:b w:val="0"/>
                <w:sz w:val="15"/>
              </w:rPr>
              <w:t>Calibrated TCP and target surface.</w:t>
            </w:r>
          </w:p>
        </w:tc>
      </w:tr>
      <w:tr>
        <w:tc>
          <w:tcPr>
            <w:tcW w:type="dxa" w:w="1656"/>
            <w:vAlign w:val="center"/>
          </w:tcPr>
          <w:p>
            <w:pPr>
              <w:spacing w:after="20"/>
            </w:pPr>
            <w:r/>
            <w:r>
              <w:rPr>
                <w:rFonts w:ascii="Aptos" w:hAnsi="Aptos"/>
                <w:b w:val="0"/>
                <w:sz w:val="15"/>
              </w:rPr>
              <w:t>Coverage</w:t>
            </w:r>
          </w:p>
        </w:tc>
        <w:tc>
          <w:tcPr>
            <w:tcW w:type="dxa" w:w="2520"/>
            <w:vAlign w:val="center"/>
          </w:tcPr>
          <w:p>
            <w:pPr>
              <w:spacing w:after="20"/>
            </w:pPr>
            <w:r/>
            <w:r>
              <w:rPr>
                <w:rFonts w:ascii="Aptos" w:hAnsi="Aptos"/>
                <w:b w:val="0"/>
                <w:sz w:val="15"/>
              </w:rPr>
              <w:t>Footprint-based covered area / target area.</w:t>
            </w:r>
          </w:p>
        </w:tc>
        <w:tc>
          <w:tcPr>
            <w:tcW w:type="dxa" w:w="2952"/>
            <w:vAlign w:val="center"/>
          </w:tcPr>
          <w:p>
            <w:pPr>
              <w:spacing w:after="20"/>
            </w:pPr>
            <w:r/>
            <w:r>
              <w:rPr>
                <w:rFonts w:ascii="Aptos" w:hAnsi="Aptos"/>
                <w:b w:val="0"/>
                <w:sz w:val="15"/>
              </w:rPr>
              <w:t>Meets required coverage with allowed overlap.</w:t>
            </w:r>
          </w:p>
        </w:tc>
        <w:tc>
          <w:tcPr>
            <w:tcW w:type="dxa" w:w="2664"/>
            <w:vAlign w:val="center"/>
          </w:tcPr>
          <w:p>
            <w:pPr>
              <w:spacing w:after="20"/>
            </w:pPr>
            <w:r/>
            <w:r>
              <w:rPr>
                <w:rFonts w:ascii="Aptos" w:hAnsi="Aptos"/>
                <w:b w:val="0"/>
                <w:sz w:val="15"/>
              </w:rPr>
              <w:t>Validated footprint model or measured coating evidence.</w:t>
            </w:r>
          </w:p>
        </w:tc>
      </w:tr>
      <w:tr>
        <w:tc>
          <w:tcPr>
            <w:tcW w:type="dxa" w:w="1656"/>
            <w:vAlign w:val="center"/>
            <w:shd w:fill="F2F6FA"/>
          </w:tcPr>
          <w:p>
            <w:pPr>
              <w:spacing w:after="20"/>
            </w:pPr>
            <w:r/>
            <w:r>
              <w:rPr>
                <w:rFonts w:ascii="Aptos" w:hAnsi="Aptos"/>
                <w:b w:val="0"/>
                <w:sz w:val="15"/>
              </w:rPr>
              <w:t>Collision and reachability</w:t>
            </w:r>
          </w:p>
        </w:tc>
        <w:tc>
          <w:tcPr>
            <w:tcW w:type="dxa" w:w="2520"/>
            <w:vAlign w:val="center"/>
            <w:shd w:fill="F2F6FA"/>
          </w:tcPr>
          <w:p>
            <w:pPr>
              <w:spacing w:after="20"/>
            </w:pPr>
            <w:r/>
            <w:r>
              <w:rPr>
                <w:rFonts w:ascii="Aptos" w:hAnsi="Aptos"/>
                <w:b w:val="0"/>
                <w:sz w:val="15"/>
              </w:rPr>
              <w:t>Robot/tool swept geometry and inverse kinematics.</w:t>
            </w:r>
          </w:p>
        </w:tc>
        <w:tc>
          <w:tcPr>
            <w:tcW w:type="dxa" w:w="2952"/>
            <w:vAlign w:val="center"/>
            <w:shd w:fill="F2F6FA"/>
          </w:tcPr>
          <w:p>
            <w:pPr>
              <w:spacing w:after="20"/>
            </w:pPr>
            <w:r/>
            <w:r>
              <w:rPr>
                <w:rFonts w:ascii="Aptos" w:hAnsi="Aptos"/>
                <w:b w:val="0"/>
                <w:sz w:val="15"/>
              </w:rPr>
              <w:t>No hard collisions; all required poses reachable.</w:t>
            </w:r>
          </w:p>
        </w:tc>
        <w:tc>
          <w:tcPr>
            <w:tcW w:type="dxa" w:w="2664"/>
            <w:vAlign w:val="center"/>
            <w:shd w:fill="F2F6FA"/>
          </w:tcPr>
          <w:p>
            <w:pPr>
              <w:spacing w:after="20"/>
            </w:pPr>
            <w:r/>
            <w:r>
              <w:rPr>
                <w:rFonts w:ascii="Aptos" w:hAnsi="Aptos"/>
                <w:b w:val="0"/>
                <w:sz w:val="15"/>
              </w:rPr>
              <w:t>Robot model, tool geometry, controller/offline simulation.</w:t>
            </w:r>
          </w:p>
        </w:tc>
      </w:tr>
      <w:tr>
        <w:tc>
          <w:tcPr>
            <w:tcW w:type="dxa" w:w="1656"/>
            <w:vAlign w:val="center"/>
          </w:tcPr>
          <w:p>
            <w:pPr>
              <w:spacing w:after="20"/>
            </w:pPr>
            <w:r/>
            <w:r>
              <w:rPr>
                <w:rFonts w:ascii="Aptos" w:hAnsi="Aptos"/>
                <w:b w:val="0"/>
                <w:sz w:val="15"/>
              </w:rPr>
              <w:t>Process states</w:t>
            </w:r>
          </w:p>
        </w:tc>
        <w:tc>
          <w:tcPr>
            <w:tcW w:type="dxa" w:w="2520"/>
            <w:vAlign w:val="center"/>
          </w:tcPr>
          <w:p>
            <w:pPr>
              <w:spacing w:after="20"/>
            </w:pPr>
            <w:r/>
            <w:r>
              <w:rPr>
                <w:rFonts w:ascii="Aptos" w:hAnsi="Aptos"/>
                <w:b w:val="0"/>
                <w:sz w:val="15"/>
              </w:rPr>
              <w:t>Gun/brush/speed state at each segment.</w:t>
            </w:r>
          </w:p>
        </w:tc>
        <w:tc>
          <w:tcPr>
            <w:tcW w:type="dxa" w:w="2952"/>
            <w:vAlign w:val="center"/>
          </w:tcPr>
          <w:p>
            <w:pPr>
              <w:spacing w:after="20"/>
            </w:pPr>
            <w:r/>
            <w:r>
              <w:rPr>
                <w:rFonts w:ascii="Aptos" w:hAnsi="Aptos"/>
                <w:b w:val="0"/>
                <w:sz w:val="15"/>
              </w:rPr>
              <w:t>No unintended paint-on transitions; supported state changes preserved.</w:t>
            </w:r>
          </w:p>
        </w:tc>
        <w:tc>
          <w:tcPr>
            <w:tcW w:type="dxa" w:w="2664"/>
            <w:vAlign w:val="center"/>
          </w:tcPr>
          <w:p>
            <w:pPr>
              <w:spacing w:after="20"/>
            </w:pPr>
            <w:r/>
            <w:r>
              <w:rPr>
                <w:rFonts w:ascii="Aptos" w:hAnsi="Aptos"/>
                <w:b w:val="0"/>
                <w:sz w:val="15"/>
              </w:rPr>
              <w:t>Source program and exported program comparison.</w:t>
            </w:r>
          </w:p>
        </w:tc>
      </w:tr>
      <w:tr>
        <w:tc>
          <w:tcPr>
            <w:tcW w:type="dxa" w:w="1656"/>
            <w:vAlign w:val="center"/>
            <w:shd w:fill="F2F6FA"/>
          </w:tcPr>
          <w:p>
            <w:pPr>
              <w:spacing w:after="20"/>
            </w:pPr>
            <w:r/>
            <w:r>
              <w:rPr>
                <w:rFonts w:ascii="Aptos" w:hAnsi="Aptos"/>
                <w:b w:val="0"/>
                <w:sz w:val="15"/>
              </w:rPr>
              <w:t>Regression</w:t>
            </w:r>
          </w:p>
        </w:tc>
        <w:tc>
          <w:tcPr>
            <w:tcW w:type="dxa" w:w="2520"/>
            <w:vAlign w:val="center"/>
            <w:shd w:fill="F2F6FA"/>
          </w:tcPr>
          <w:p>
            <w:pPr>
              <w:spacing w:after="20"/>
            </w:pPr>
            <w:r/>
            <w:r>
              <w:rPr>
                <w:rFonts w:ascii="Aptos" w:hAnsi="Aptos"/>
                <w:b w:val="0"/>
                <w:sz w:val="15"/>
              </w:rPr>
              <w:t>Run fixed reference and synthetic mesh suite.</w:t>
            </w:r>
          </w:p>
        </w:tc>
        <w:tc>
          <w:tcPr>
            <w:tcW w:type="dxa" w:w="2952"/>
            <w:vAlign w:val="center"/>
            <w:shd w:fill="F2F6FA"/>
          </w:tcPr>
          <w:p>
            <w:pPr>
              <w:spacing w:after="20"/>
            </w:pPr>
            <w:r/>
            <w:r>
              <w:rPr>
                <w:rFonts w:ascii="Aptos" w:hAnsi="Aptos"/>
                <w:b w:val="0"/>
                <w:sz w:val="15"/>
              </w:rPr>
              <w:t>No regression in existing modes; Mode 1–3 unchanged.</w:t>
            </w:r>
          </w:p>
        </w:tc>
        <w:tc>
          <w:tcPr>
            <w:tcW w:type="dxa" w:w="2664"/>
            <w:vAlign w:val="center"/>
            <w:shd w:fill="F2F6FA"/>
          </w:tcPr>
          <w:p>
            <w:pPr>
              <w:spacing w:after="20"/>
            </w:pPr>
            <w:r/>
            <w:r>
              <w:rPr>
                <w:rFonts w:ascii="Aptos" w:hAnsi="Aptos"/>
                <w:b w:val="0"/>
                <w:sz w:val="15"/>
              </w:rPr>
              <w:t>Automated test report and baseline artifacts.</w:t>
            </w:r>
          </w:p>
        </w:tc>
      </w:tr>
      <w:tr>
        <w:tc>
          <w:tcPr>
            <w:tcW w:type="dxa" w:w="1656"/>
            <w:vAlign w:val="center"/>
          </w:tcPr>
          <w:p>
            <w:pPr>
              <w:spacing w:after="20"/>
            </w:pPr>
            <w:r/>
            <w:r>
              <w:rPr>
                <w:rFonts w:ascii="Aptos" w:hAnsi="Aptos"/>
                <w:b w:val="0"/>
                <w:sz w:val="15"/>
              </w:rPr>
              <w:t>Export compatibility</w:t>
            </w:r>
          </w:p>
        </w:tc>
        <w:tc>
          <w:tcPr>
            <w:tcW w:type="dxa" w:w="2520"/>
            <w:vAlign w:val="center"/>
          </w:tcPr>
          <w:p>
            <w:pPr>
              <w:spacing w:after="20"/>
            </w:pPr>
            <w:r/>
            <w:r>
              <w:rPr>
                <w:rFonts w:ascii="Aptos" w:hAnsi="Aptos"/>
                <w:b w:val="0"/>
                <w:sz w:val="15"/>
              </w:rPr>
              <w:t>Load generated files in target downstream application.</w:t>
            </w:r>
          </w:p>
        </w:tc>
        <w:tc>
          <w:tcPr>
            <w:tcW w:type="dxa" w:w="2952"/>
            <w:vAlign w:val="center"/>
          </w:tcPr>
          <w:p>
            <w:pPr>
              <w:spacing w:after="20"/>
            </w:pPr>
            <w:r/>
            <w:r>
              <w:rPr>
                <w:rFonts w:ascii="Aptos" w:hAnsi="Aptos"/>
                <w:b w:val="0"/>
                <w:sz w:val="15"/>
              </w:rPr>
              <w:t>Syntax, frame, orientation, and motion semantics accepted.</w:t>
            </w:r>
          </w:p>
        </w:tc>
        <w:tc>
          <w:tcPr>
            <w:tcW w:type="dxa" w:w="2664"/>
            <w:vAlign w:val="center"/>
          </w:tcPr>
          <w:p>
            <w:pPr>
              <w:spacing w:after="20"/>
            </w:pPr>
            <w:r/>
            <w:r>
              <w:rPr>
                <w:rFonts w:ascii="Aptos" w:hAnsi="Aptos"/>
                <w:b w:val="0"/>
                <w:sz w:val="15"/>
              </w:rPr>
              <w:t>Importer/simulator checks; physical validation before production.</w:t>
            </w:r>
          </w:p>
        </w:tc>
      </w:tr>
    </w:tbl>
    <w:p/>
    <w:p>
      <w:pPr>
        <w:pStyle w:val="Heading1"/>
      </w:pPr>
      <w:r>
        <w:t>10. Implementation roadmap</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245A81"/>
          </w:tcPr>
          <w:p>
            <w:pPr>
              <w:spacing w:after="20"/>
            </w:pPr>
            <w:r/>
            <w:r>
              <w:rPr>
                <w:rFonts w:ascii="Aptos" w:hAnsi="Aptos"/>
                <w:b/>
                <w:color w:val="FFFFFF"/>
                <w:sz w:val="15"/>
              </w:rPr>
              <w:t>Phase</w:t>
            </w:r>
          </w:p>
        </w:tc>
        <w:tc>
          <w:tcPr>
            <w:tcW w:type="dxa" w:w="4464"/>
            <w:vAlign w:val="center"/>
            <w:shd w:fill="245A81"/>
          </w:tcPr>
          <w:p>
            <w:pPr>
              <w:spacing w:after="20"/>
            </w:pPr>
            <w:r/>
            <w:r>
              <w:rPr>
                <w:rFonts w:ascii="Aptos" w:hAnsi="Aptos"/>
                <w:b/>
                <w:color w:val="FFFFFF"/>
                <w:sz w:val="15"/>
              </w:rPr>
              <w:t>Work</w:t>
            </w:r>
          </w:p>
        </w:tc>
        <w:tc>
          <w:tcPr>
            <w:tcW w:type="dxa" w:w="3384"/>
            <w:vAlign w:val="center"/>
            <w:shd w:fill="245A81"/>
          </w:tcPr>
          <w:p>
            <w:pPr>
              <w:spacing w:after="20"/>
            </w:pPr>
            <w:r/>
            <w:r>
              <w:rPr>
                <w:rFonts w:ascii="Aptos" w:hAnsi="Aptos"/>
                <w:b/>
                <w:color w:val="FFFFFF"/>
                <w:sz w:val="15"/>
              </w:rPr>
              <w:t>Deliverable / exit gate</w:t>
            </w:r>
          </w:p>
        </w:tc>
      </w:tr>
      <w:tr>
        <w:tc>
          <w:tcPr>
            <w:tcW w:type="dxa" w:w="1944"/>
            <w:vAlign w:val="center"/>
            <w:shd w:fill="F2F6FA"/>
          </w:tcPr>
          <w:p>
            <w:pPr>
              <w:spacing w:after="20"/>
            </w:pPr>
            <w:r/>
            <w:r>
              <w:rPr>
                <w:rFonts w:ascii="Aptos" w:hAnsi="Aptos"/>
                <w:b w:val="0"/>
                <w:sz w:val="15"/>
              </w:rPr>
              <w:t>0. Baseline and rename audit</w:t>
            </w:r>
          </w:p>
        </w:tc>
        <w:tc>
          <w:tcPr>
            <w:tcW w:type="dxa" w:w="4464"/>
            <w:vAlign w:val="center"/>
            <w:shd w:fill="F2F6FA"/>
          </w:tcPr>
          <w:p>
            <w:pPr>
              <w:spacing w:after="20"/>
            </w:pPr>
            <w:r/>
            <w:r>
              <w:rPr>
                <w:rFonts w:ascii="Aptos" w:hAnsi="Aptos"/>
                <w:b w:val="0"/>
                <w:sz w:val="15"/>
              </w:rPr>
              <w:t>Search Mode 4 display strings, identifiers, factory/dispatch, config persistence, exports, docs, and tests. Capture current behavior.</w:t>
            </w:r>
          </w:p>
        </w:tc>
        <w:tc>
          <w:tcPr>
            <w:tcW w:type="dxa" w:w="3384"/>
            <w:vAlign w:val="center"/>
            <w:shd w:fill="F2F6FA"/>
          </w:tcPr>
          <w:p>
            <w:pPr>
              <w:spacing w:after="20"/>
            </w:pPr>
            <w:r/>
            <w:r>
              <w:rPr>
                <w:rFonts w:ascii="Aptos" w:hAnsi="Aptos"/>
                <w:b w:val="0"/>
                <w:sz w:val="15"/>
              </w:rPr>
              <w:t>Rename map and baseline regression report; no algorithm change yet.</w:t>
            </w:r>
          </w:p>
        </w:tc>
      </w:tr>
      <w:tr>
        <w:tc>
          <w:tcPr>
            <w:tcW w:type="dxa" w:w="1944"/>
            <w:vAlign w:val="center"/>
          </w:tcPr>
          <w:p>
            <w:pPr>
              <w:spacing w:after="20"/>
            </w:pPr>
            <w:r/>
            <w:r>
              <w:rPr>
                <w:rFonts w:ascii="Aptos" w:hAnsi="Aptos"/>
                <w:b w:val="0"/>
                <w:sz w:val="15"/>
              </w:rPr>
              <w:t>1. Reference normalization</w:t>
            </w:r>
          </w:p>
        </w:tc>
        <w:tc>
          <w:tcPr>
            <w:tcW w:type="dxa" w:w="4464"/>
            <w:vAlign w:val="center"/>
          </w:tcPr>
          <w:p>
            <w:pPr>
              <w:spacing w:after="20"/>
            </w:pPr>
            <w:r/>
            <w:r>
              <w:rPr>
                <w:rFonts w:ascii="Aptos" w:hAnsi="Aptos"/>
                <w:b w:val="0"/>
                <w:sz w:val="15"/>
              </w:rPr>
              <w:t>Parse execution order for the selected ABB/FANUC/DÜRR programs; normalize frames, units, orientation representations and process states.</w:t>
            </w:r>
          </w:p>
        </w:tc>
        <w:tc>
          <w:tcPr>
            <w:tcW w:type="dxa" w:w="3384"/>
            <w:vAlign w:val="center"/>
          </w:tcPr>
          <w:p>
            <w:pPr>
              <w:spacing w:after="20"/>
            </w:pPr>
            <w:r/>
            <w:r>
              <w:rPr>
                <w:rFonts w:ascii="Aptos" w:hAnsi="Aptos"/>
                <w:b w:val="0"/>
                <w:sz w:val="15"/>
              </w:rPr>
              <w:t>Ordered, typed reference trajectories with parser tests.</w:t>
            </w:r>
          </w:p>
        </w:tc>
      </w:tr>
      <w:tr>
        <w:tc>
          <w:tcPr>
            <w:tcW w:type="dxa" w:w="1944"/>
            <w:vAlign w:val="center"/>
            <w:shd w:fill="F2F6FA"/>
          </w:tcPr>
          <w:p>
            <w:pPr>
              <w:spacing w:after="20"/>
            </w:pPr>
            <w:r/>
            <w:r>
              <w:rPr>
                <w:rFonts w:ascii="Aptos" w:hAnsi="Aptos"/>
                <w:b w:val="0"/>
                <w:sz w:val="15"/>
              </w:rPr>
              <w:t>2. Reference metrics</w:t>
            </w:r>
          </w:p>
        </w:tc>
        <w:tc>
          <w:tcPr>
            <w:tcW w:type="dxa" w:w="4464"/>
            <w:vAlign w:val="center"/>
            <w:shd w:fill="F2F6FA"/>
          </w:tcPr>
          <w:p>
            <w:pPr>
              <w:spacing w:after="20"/>
            </w:pPr>
            <w:r/>
            <w:r>
              <w:rPr>
                <w:rFonts w:ascii="Aptos" w:hAnsi="Aptos"/>
                <w:b w:val="0"/>
                <w:sz w:val="15"/>
              </w:rPr>
              <w:t>Measure region directions, lane pitch, direction alternation, curvature, orientation change, transitions, and deviations.</w:t>
            </w:r>
          </w:p>
        </w:tc>
        <w:tc>
          <w:tcPr>
            <w:tcW w:type="dxa" w:w="3384"/>
            <w:vAlign w:val="center"/>
            <w:shd w:fill="F2F6FA"/>
          </w:tcPr>
          <w:p>
            <w:pPr>
              <w:spacing w:after="20"/>
            </w:pPr>
            <w:r/>
            <w:r>
              <w:rPr>
                <w:rFonts w:ascii="Aptos" w:hAnsi="Aptos"/>
                <w:b w:val="0"/>
                <w:sz w:val="15"/>
              </w:rPr>
              <w:t>Machine-readable reference metrics and annotated comparison.</w:t>
            </w:r>
          </w:p>
        </w:tc>
      </w:tr>
      <w:tr>
        <w:tc>
          <w:tcPr>
            <w:tcW w:type="dxa" w:w="1944"/>
            <w:vAlign w:val="center"/>
          </w:tcPr>
          <w:p>
            <w:pPr>
              <w:spacing w:after="20"/>
            </w:pPr>
            <w:r/>
            <w:r>
              <w:rPr>
                <w:rFonts w:ascii="Aptos" w:hAnsi="Aptos"/>
                <w:b w:val="0"/>
                <w:sz w:val="15"/>
              </w:rPr>
              <w:t>3. Minimal Mesh Flow core</w:t>
            </w:r>
          </w:p>
        </w:tc>
        <w:tc>
          <w:tcPr>
            <w:tcW w:type="dxa" w:w="4464"/>
            <w:vAlign w:val="center"/>
          </w:tcPr>
          <w:p>
            <w:pPr>
              <w:spacing w:after="20"/>
            </w:pPr>
            <w:r/>
            <w:r>
              <w:rPr>
                <w:rFonts w:ascii="Aptos" w:hAnsi="Aptos"/>
                <w:b w:val="0"/>
                <w:sz w:val="15"/>
              </w:rPr>
              <w:t>Implement region-local scan frame, lane generation, surface conformity, and serpentine ordering behind a feature flag.</w:t>
            </w:r>
          </w:p>
        </w:tc>
        <w:tc>
          <w:tcPr>
            <w:tcW w:type="dxa" w:w="3384"/>
            <w:vAlign w:val="center"/>
          </w:tcPr>
          <w:p>
            <w:pPr>
              <w:spacing w:after="20"/>
            </w:pPr>
            <w:r/>
            <w:r>
              <w:rPr>
                <w:rFonts w:ascii="Aptos" w:hAnsi="Aptos"/>
                <w:b w:val="0"/>
                <w:sz w:val="15"/>
              </w:rPr>
              <w:t>Synthetic meshes and reference-like geometry pass tests.</w:t>
            </w:r>
          </w:p>
        </w:tc>
      </w:tr>
      <w:tr>
        <w:tc>
          <w:tcPr>
            <w:tcW w:type="dxa" w:w="1944"/>
            <w:vAlign w:val="center"/>
            <w:shd w:fill="F2F6FA"/>
          </w:tcPr>
          <w:p>
            <w:pPr>
              <w:spacing w:after="20"/>
            </w:pPr>
            <w:r/>
            <w:r>
              <w:rPr>
                <w:rFonts w:ascii="Aptos" w:hAnsi="Aptos"/>
                <w:b w:val="0"/>
                <w:sz w:val="15"/>
              </w:rPr>
              <w:t>4. Curve and orientation conditioning</w:t>
            </w:r>
          </w:p>
        </w:tc>
        <w:tc>
          <w:tcPr>
            <w:tcW w:type="dxa" w:w="4464"/>
            <w:vAlign w:val="center"/>
            <w:shd w:fill="F2F6FA"/>
          </w:tcPr>
          <w:p>
            <w:pPr>
              <w:spacing w:after="20"/>
            </w:pPr>
            <w:r/>
            <w:r>
              <w:rPr>
                <w:rFonts w:ascii="Aptos" w:hAnsi="Aptos"/>
                <w:b w:val="0"/>
                <w:sz w:val="15"/>
              </w:rPr>
              <w:t>Add arc-length resampling, constrained smoothing, normal handling, and orientation continuity.</w:t>
            </w:r>
          </w:p>
        </w:tc>
        <w:tc>
          <w:tcPr>
            <w:tcW w:type="dxa" w:w="3384"/>
            <w:vAlign w:val="center"/>
            <w:shd w:fill="F2F6FA"/>
          </w:tcPr>
          <w:p>
            <w:pPr>
              <w:spacing w:after="20"/>
            </w:pPr>
            <w:r/>
            <w:r>
              <w:rPr>
                <w:rFonts w:ascii="Aptos" w:hAnsi="Aptos"/>
                <w:b w:val="0"/>
                <w:sz w:val="15"/>
              </w:rPr>
              <w:t>Quantified surface/orientation error report.</w:t>
            </w:r>
          </w:p>
        </w:tc>
      </w:tr>
      <w:tr>
        <w:tc>
          <w:tcPr>
            <w:tcW w:type="dxa" w:w="1944"/>
            <w:vAlign w:val="center"/>
          </w:tcPr>
          <w:p>
            <w:pPr>
              <w:spacing w:after="20"/>
            </w:pPr>
            <w:r/>
            <w:r>
              <w:rPr>
                <w:rFonts w:ascii="Aptos" w:hAnsi="Aptos"/>
                <w:b w:val="0"/>
                <w:sz w:val="15"/>
              </w:rPr>
              <w:t>5. Transitions and process semantics</w:t>
            </w:r>
          </w:p>
        </w:tc>
        <w:tc>
          <w:tcPr>
            <w:tcW w:type="dxa" w:w="4464"/>
            <w:vAlign w:val="center"/>
          </w:tcPr>
          <w:p>
            <w:pPr>
              <w:spacing w:after="20"/>
            </w:pPr>
            <w:r/>
            <w:r>
              <w:rPr>
                <w:rFonts w:ascii="Aptos" w:hAnsi="Aptos"/>
                <w:b w:val="0"/>
                <w:sz w:val="15"/>
              </w:rPr>
              <w:t>Separate paint and transit segments; preserve gun/brush states, speeds, and relevant external axes.</w:t>
            </w:r>
          </w:p>
        </w:tc>
        <w:tc>
          <w:tcPr>
            <w:tcW w:type="dxa" w:w="3384"/>
            <w:vAlign w:val="center"/>
          </w:tcPr>
          <w:p>
            <w:pPr>
              <w:spacing w:after="20"/>
            </w:pPr>
            <w:r/>
            <w:r>
              <w:rPr>
                <w:rFonts w:ascii="Aptos" w:hAnsi="Aptos"/>
                <w:b w:val="0"/>
                <w:sz w:val="15"/>
              </w:rPr>
              <w:t>No unintended painting connectors; export semantics verified.</w:t>
            </w:r>
          </w:p>
        </w:tc>
      </w:tr>
      <w:tr>
        <w:tc>
          <w:tcPr>
            <w:tcW w:type="dxa" w:w="1944"/>
            <w:vAlign w:val="center"/>
            <w:shd w:fill="F2F6FA"/>
          </w:tcPr>
          <w:p>
            <w:pPr>
              <w:spacing w:after="20"/>
            </w:pPr>
            <w:r/>
            <w:r>
              <w:rPr>
                <w:rFonts w:ascii="Aptos" w:hAnsi="Aptos"/>
                <w:b w:val="0"/>
                <w:sz w:val="15"/>
              </w:rPr>
              <w:t>6. Safety and export validation</w:t>
            </w:r>
          </w:p>
        </w:tc>
        <w:tc>
          <w:tcPr>
            <w:tcW w:type="dxa" w:w="4464"/>
            <w:vAlign w:val="center"/>
            <w:shd w:fill="F2F6FA"/>
          </w:tcPr>
          <w:p>
            <w:pPr>
              <w:spacing w:after="20"/>
            </w:pPr>
            <w:r/>
            <w:r>
              <w:rPr>
                <w:rFonts w:ascii="Aptos" w:hAnsi="Aptos"/>
                <w:b w:val="0"/>
                <w:sz w:val="15"/>
              </w:rPr>
              <w:t>Add standoff, collision, reachability, coverage, and controller checks where supported.</w:t>
            </w:r>
          </w:p>
        </w:tc>
        <w:tc>
          <w:tcPr>
            <w:tcW w:type="dxa" w:w="3384"/>
            <w:vAlign w:val="center"/>
            <w:shd w:fill="F2F6FA"/>
          </w:tcPr>
          <w:p>
            <w:pPr>
              <w:spacing w:after="20"/>
            </w:pPr>
            <w:r/>
            <w:r>
              <w:rPr>
                <w:rFonts w:ascii="Aptos" w:hAnsi="Aptos"/>
                <w:b w:val="0"/>
                <w:sz w:val="15"/>
              </w:rPr>
              <w:t>Hard-failure behavior and simulator evidence.</w:t>
            </w:r>
          </w:p>
        </w:tc>
      </w:tr>
      <w:tr>
        <w:tc>
          <w:tcPr>
            <w:tcW w:type="dxa" w:w="1944"/>
            <w:vAlign w:val="center"/>
          </w:tcPr>
          <w:p>
            <w:pPr>
              <w:spacing w:after="20"/>
            </w:pPr>
            <w:r/>
            <w:r>
              <w:rPr>
                <w:rFonts w:ascii="Aptos" w:hAnsi="Aptos"/>
                <w:b w:val="0"/>
                <w:sz w:val="15"/>
              </w:rPr>
              <w:t>7. Controlled comparison</w:t>
            </w:r>
          </w:p>
        </w:tc>
        <w:tc>
          <w:tcPr>
            <w:tcW w:type="dxa" w:w="4464"/>
            <w:vAlign w:val="center"/>
          </w:tcPr>
          <w:p>
            <w:pPr>
              <w:spacing w:after="20"/>
            </w:pPr>
            <w:r/>
            <w:r>
              <w:rPr>
                <w:rFonts w:ascii="Aptos" w:hAnsi="Aptos"/>
                <w:b w:val="0"/>
                <w:sz w:val="15"/>
              </w:rPr>
              <w:t>Compare generated paths with engineer references on multiple parts and mesh resolutions.</w:t>
            </w:r>
          </w:p>
        </w:tc>
        <w:tc>
          <w:tcPr>
            <w:tcW w:type="dxa" w:w="3384"/>
            <w:vAlign w:val="center"/>
          </w:tcPr>
          <w:p>
            <w:pPr>
              <w:spacing w:after="20"/>
            </w:pPr>
            <w:r/>
            <w:r>
              <w:rPr>
                <w:rFonts w:ascii="Aptos" w:hAnsi="Aptos"/>
                <w:b w:val="0"/>
                <w:sz w:val="15"/>
              </w:rPr>
              <w:t>Acceptance report with tolerances, residual gaps, and confidence updates.</w:t>
            </w:r>
          </w:p>
        </w:tc>
      </w:tr>
      <w:tr>
        <w:tc>
          <w:tcPr>
            <w:tcW w:type="dxa" w:w="1944"/>
            <w:vAlign w:val="center"/>
            <w:shd w:fill="F2F6FA"/>
          </w:tcPr>
          <w:p>
            <w:pPr>
              <w:spacing w:after="20"/>
            </w:pPr>
            <w:r/>
            <w:r>
              <w:rPr>
                <w:rFonts w:ascii="Aptos" w:hAnsi="Aptos"/>
                <w:b w:val="0"/>
                <w:sz w:val="15"/>
              </w:rPr>
              <w:t>8. Rename rollout</w:t>
            </w:r>
          </w:p>
        </w:tc>
        <w:tc>
          <w:tcPr>
            <w:tcW w:type="dxa" w:w="4464"/>
            <w:vAlign w:val="center"/>
            <w:shd w:fill="F2F6FA"/>
          </w:tcPr>
          <w:p>
            <w:pPr>
              <w:spacing w:after="20"/>
            </w:pPr>
            <w:r/>
            <w:r>
              <w:rPr>
                <w:rFonts w:ascii="Aptos" w:hAnsi="Aptos"/>
                <w:b w:val="0"/>
                <w:sz w:val="15"/>
              </w:rPr>
              <w:t>Apply the approved user-facing name and canonical identifier with legacy compatibility where needed.</w:t>
            </w:r>
          </w:p>
        </w:tc>
        <w:tc>
          <w:tcPr>
            <w:tcW w:type="dxa" w:w="3384"/>
            <w:vAlign w:val="center"/>
            <w:shd w:fill="F2F6FA"/>
          </w:tcPr>
          <w:p>
            <w:pPr>
              <w:spacing w:after="20"/>
            </w:pPr>
            <w:r/>
            <w:r>
              <w:rPr>
                <w:rFonts w:ascii="Aptos" w:hAnsi="Aptos"/>
                <w:b w:val="0"/>
                <w:sz w:val="15"/>
              </w:rPr>
              <w:t>Tests, docs, saved-project compatibility, and release notes updated.</w:t>
            </w:r>
          </w:p>
        </w:tc>
      </w:tr>
    </w:tbl>
    <w:p/>
    <w:p>
      <w:pPr>
        <w:pStyle w:val="Heading1"/>
      </w:pPr>
      <w:r>
        <w:t>11. Key risks and mitigations</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245A81"/>
          </w:tcPr>
          <w:p>
            <w:pPr>
              <w:spacing w:after="20"/>
            </w:pPr>
            <w:r/>
            <w:r>
              <w:rPr>
                <w:rFonts w:ascii="Aptos" w:hAnsi="Aptos"/>
                <w:b/>
                <w:color w:val="FFFFFF"/>
                <w:sz w:val="15"/>
              </w:rPr>
              <w:t>Risk</w:t>
            </w:r>
          </w:p>
        </w:tc>
        <w:tc>
          <w:tcPr>
            <w:tcW w:type="dxa" w:w="3096"/>
            <w:vAlign w:val="center"/>
            <w:shd w:fill="245A81"/>
          </w:tcPr>
          <w:p>
            <w:pPr>
              <w:spacing w:after="20"/>
            </w:pPr>
            <w:r/>
            <w:r>
              <w:rPr>
                <w:rFonts w:ascii="Aptos" w:hAnsi="Aptos"/>
                <w:b/>
                <w:color w:val="FFFFFF"/>
                <w:sz w:val="15"/>
              </w:rPr>
              <w:t>Why it matters</w:t>
            </w:r>
          </w:p>
        </w:tc>
        <w:tc>
          <w:tcPr>
            <w:tcW w:type="dxa" w:w="4464"/>
            <w:vAlign w:val="center"/>
            <w:shd w:fill="245A81"/>
          </w:tcPr>
          <w:p>
            <w:pPr>
              <w:spacing w:after="20"/>
            </w:pPr>
            <w:r/>
            <w:r>
              <w:rPr>
                <w:rFonts w:ascii="Aptos" w:hAnsi="Aptos"/>
                <w:b/>
                <w:color w:val="FFFFFF"/>
                <w:sz w:val="15"/>
              </w:rPr>
              <w:t>Mitigation</w:t>
            </w:r>
          </w:p>
        </w:tc>
      </w:tr>
      <w:tr>
        <w:tc>
          <w:tcPr>
            <w:tcW w:type="dxa" w:w="2232"/>
            <w:vAlign w:val="center"/>
            <w:shd w:fill="F2F6FA"/>
          </w:tcPr>
          <w:p>
            <w:pPr>
              <w:spacing w:after="20"/>
            </w:pPr>
            <w:r/>
            <w:r>
              <w:rPr>
                <w:rFonts w:ascii="Aptos" w:hAnsi="Aptos"/>
                <w:b w:val="0"/>
                <w:sz w:val="15"/>
              </w:rPr>
              <w:t>Wrong frame or units</w:t>
            </w:r>
          </w:p>
        </w:tc>
        <w:tc>
          <w:tcPr>
            <w:tcW w:type="dxa" w:w="3096"/>
            <w:vAlign w:val="center"/>
            <w:shd w:fill="F2F6FA"/>
          </w:tcPr>
          <w:p>
            <w:pPr>
              <w:spacing w:after="20"/>
            </w:pPr>
            <w:r/>
            <w:r>
              <w:rPr>
                <w:rFonts w:ascii="Aptos" w:hAnsi="Aptos"/>
                <w:b w:val="0"/>
                <w:sz w:val="15"/>
              </w:rPr>
              <w:t>A mathematically correct path can be physically misplaced.</w:t>
            </w:r>
          </w:p>
        </w:tc>
        <w:tc>
          <w:tcPr>
            <w:tcW w:type="dxa" w:w="4464"/>
            <w:vAlign w:val="center"/>
            <w:shd w:fill="F2F6FA"/>
          </w:tcPr>
          <w:p>
            <w:pPr>
              <w:spacing w:after="20"/>
            </w:pPr>
            <w:r/>
            <w:r>
              <w:rPr>
                <w:rFonts w:ascii="Aptos" w:hAnsi="Aptos"/>
                <w:b w:val="0"/>
                <w:sz w:val="15"/>
              </w:rPr>
              <w:t>Explicit frame metadata, unit validation, known-point tests.</w:t>
            </w:r>
          </w:p>
        </w:tc>
      </w:tr>
      <w:tr>
        <w:tc>
          <w:tcPr>
            <w:tcW w:type="dxa" w:w="2232"/>
            <w:vAlign w:val="center"/>
          </w:tcPr>
          <w:p>
            <w:pPr>
              <w:spacing w:after="20"/>
            </w:pPr>
            <w:r/>
            <w:r>
              <w:rPr>
                <w:rFonts w:ascii="Aptos" w:hAnsi="Aptos"/>
                <w:b w:val="0"/>
                <w:sz w:val="15"/>
              </w:rPr>
              <w:t>Global raster across multiple regions</w:t>
            </w:r>
          </w:p>
        </w:tc>
        <w:tc>
          <w:tcPr>
            <w:tcW w:type="dxa" w:w="3096"/>
            <w:vAlign w:val="center"/>
          </w:tcPr>
          <w:p>
            <w:pPr>
              <w:spacing w:after="20"/>
            </w:pPr>
            <w:r/>
            <w:r>
              <w:rPr>
                <w:rFonts w:ascii="Aptos" w:hAnsi="Aptos"/>
                <w:b w:val="0"/>
                <w:sz w:val="15"/>
              </w:rPr>
              <w:t>Can create bad transitions or miss side/hood-specific behavior.</w:t>
            </w:r>
          </w:p>
        </w:tc>
        <w:tc>
          <w:tcPr>
            <w:tcW w:type="dxa" w:w="4464"/>
            <w:vAlign w:val="center"/>
          </w:tcPr>
          <w:p>
            <w:pPr>
              <w:spacing w:after="20"/>
            </w:pPr>
            <w:r/>
            <w:r>
              <w:rPr>
                <w:rFonts w:ascii="Aptos" w:hAnsi="Aptos"/>
                <w:b w:val="0"/>
                <w:sz w:val="15"/>
              </w:rPr>
              <w:t>Region-local directions and separate transition planning.</w:t>
            </w:r>
          </w:p>
        </w:tc>
      </w:tr>
      <w:tr>
        <w:tc>
          <w:tcPr>
            <w:tcW w:type="dxa" w:w="2232"/>
            <w:vAlign w:val="center"/>
            <w:shd w:fill="F2F6FA"/>
          </w:tcPr>
          <w:p>
            <w:pPr>
              <w:spacing w:after="20"/>
            </w:pPr>
            <w:r/>
            <w:r>
              <w:rPr>
                <w:rFonts w:ascii="Aptos" w:hAnsi="Aptos"/>
                <w:b w:val="0"/>
                <w:sz w:val="15"/>
              </w:rPr>
              <w:t>Mesh noise causes path waviness</w:t>
            </w:r>
          </w:p>
        </w:tc>
        <w:tc>
          <w:tcPr>
            <w:tcW w:type="dxa" w:w="3096"/>
            <w:vAlign w:val="center"/>
            <w:shd w:fill="F2F6FA"/>
          </w:tcPr>
          <w:p>
            <w:pPr>
              <w:spacing w:after="20"/>
            </w:pPr>
            <w:r/>
            <w:r>
              <w:rPr>
                <w:rFonts w:ascii="Aptos" w:hAnsi="Aptos"/>
                <w:b w:val="0"/>
                <w:sz w:val="15"/>
              </w:rPr>
              <w:t>TCP may oscillate and paint quality can degrade.</w:t>
            </w:r>
          </w:p>
        </w:tc>
        <w:tc>
          <w:tcPr>
            <w:tcW w:type="dxa" w:w="4464"/>
            <w:vAlign w:val="center"/>
            <w:shd w:fill="F2F6FA"/>
          </w:tcPr>
          <w:p>
            <w:pPr>
              <w:spacing w:after="20"/>
            </w:pPr>
            <w:r/>
            <w:r>
              <w:rPr>
                <w:rFonts w:ascii="Aptos" w:hAnsi="Aptos"/>
                <w:b w:val="0"/>
                <w:sz w:val="15"/>
              </w:rPr>
              <w:t>Constrained smoothing and resolution-robustness tests.</w:t>
            </w:r>
          </w:p>
        </w:tc>
      </w:tr>
      <w:tr>
        <w:tc>
          <w:tcPr>
            <w:tcW w:type="dxa" w:w="2232"/>
            <w:vAlign w:val="center"/>
          </w:tcPr>
          <w:p>
            <w:pPr>
              <w:spacing w:after="20"/>
            </w:pPr>
            <w:r/>
            <w:r>
              <w:rPr>
                <w:rFonts w:ascii="Aptos" w:hAnsi="Aptos"/>
                <w:b w:val="0"/>
                <w:sz w:val="15"/>
              </w:rPr>
              <w:t>Over-smoothing erases details</w:t>
            </w:r>
          </w:p>
        </w:tc>
        <w:tc>
          <w:tcPr>
            <w:tcW w:type="dxa" w:w="3096"/>
            <w:vAlign w:val="center"/>
          </w:tcPr>
          <w:p>
            <w:pPr>
              <w:spacing w:after="20"/>
            </w:pPr>
            <w:r/>
            <w:r>
              <w:rPr>
                <w:rFonts w:ascii="Aptos" w:hAnsi="Aptos"/>
                <w:b w:val="0"/>
                <w:sz w:val="15"/>
              </w:rPr>
              <w:t>Edges, recesses, and boundary coverage may be lost.</w:t>
            </w:r>
          </w:p>
        </w:tc>
        <w:tc>
          <w:tcPr>
            <w:tcW w:type="dxa" w:w="4464"/>
            <w:vAlign w:val="center"/>
          </w:tcPr>
          <w:p>
            <w:pPr>
              <w:spacing w:after="20"/>
            </w:pPr>
            <w:r/>
            <w:r>
              <w:rPr>
                <w:rFonts w:ascii="Aptos" w:hAnsi="Aptos"/>
                <w:b w:val="0"/>
                <w:sz w:val="15"/>
              </w:rPr>
              <w:t>Protected features, maximum deviation bounds, region-aware smoothing.</w:t>
            </w:r>
          </w:p>
        </w:tc>
      </w:tr>
      <w:tr>
        <w:tc>
          <w:tcPr>
            <w:tcW w:type="dxa" w:w="2232"/>
            <w:vAlign w:val="center"/>
            <w:shd w:fill="F2F6FA"/>
          </w:tcPr>
          <w:p>
            <w:pPr>
              <w:spacing w:after="20"/>
            </w:pPr>
            <w:r/>
            <w:r>
              <w:rPr>
                <w:rFonts w:ascii="Aptos" w:hAnsi="Aptos"/>
                <w:b w:val="0"/>
                <w:sz w:val="15"/>
              </w:rPr>
              <w:t>Normal flips or unstable tool frames</w:t>
            </w:r>
          </w:p>
        </w:tc>
        <w:tc>
          <w:tcPr>
            <w:tcW w:type="dxa" w:w="3096"/>
            <w:vAlign w:val="center"/>
            <w:shd w:fill="F2F6FA"/>
          </w:tcPr>
          <w:p>
            <w:pPr>
              <w:spacing w:after="20"/>
            </w:pPr>
            <w:r/>
            <w:r>
              <w:rPr>
                <w:rFonts w:ascii="Aptos" w:hAnsi="Aptos"/>
                <w:b w:val="0"/>
                <w:sz w:val="15"/>
              </w:rPr>
              <w:t>Can cause sudden tool rotation or incorrect gun pointing.</w:t>
            </w:r>
          </w:p>
        </w:tc>
        <w:tc>
          <w:tcPr>
            <w:tcW w:type="dxa" w:w="4464"/>
            <w:vAlign w:val="center"/>
            <w:shd w:fill="F2F6FA"/>
          </w:tcPr>
          <w:p>
            <w:pPr>
              <w:spacing w:after="20"/>
            </w:pPr>
            <w:r/>
            <w:r>
              <w:rPr>
                <w:rFonts w:ascii="Aptos" w:hAnsi="Aptos"/>
                <w:b w:val="0"/>
                <w:sz w:val="15"/>
              </w:rPr>
              <w:t>Normal orientation checks, continuity constraints, controller convention tests.</w:t>
            </w:r>
          </w:p>
        </w:tc>
      </w:tr>
      <w:tr>
        <w:tc>
          <w:tcPr>
            <w:tcW w:type="dxa" w:w="2232"/>
            <w:vAlign w:val="center"/>
          </w:tcPr>
          <w:p>
            <w:pPr>
              <w:spacing w:after="20"/>
            </w:pPr>
            <w:r/>
            <w:r>
              <w:rPr>
                <w:rFonts w:ascii="Aptos" w:hAnsi="Aptos"/>
                <w:b w:val="0"/>
                <w:sz w:val="15"/>
              </w:rPr>
              <w:t>Assuming 150 mm is universal</w:t>
            </w:r>
          </w:p>
        </w:tc>
        <w:tc>
          <w:tcPr>
            <w:tcW w:type="dxa" w:w="3096"/>
            <w:vAlign w:val="center"/>
          </w:tcPr>
          <w:p>
            <w:pPr>
              <w:spacing w:after="20"/>
            </w:pPr>
            <w:r/>
            <w:r>
              <w:rPr>
                <w:rFonts w:ascii="Aptos" w:hAnsi="Aptos"/>
                <w:b w:val="0"/>
                <w:sz w:val="15"/>
              </w:rPr>
              <w:t>Spacing may be unsuitable for another gun or surface.</w:t>
            </w:r>
          </w:p>
        </w:tc>
        <w:tc>
          <w:tcPr>
            <w:tcW w:type="dxa" w:w="4464"/>
            <w:vAlign w:val="center"/>
          </w:tcPr>
          <w:p>
            <w:pPr>
              <w:spacing w:after="20"/>
            </w:pPr>
            <w:r/>
            <w:r>
              <w:rPr>
                <w:rFonts w:ascii="Aptos" w:hAnsi="Aptos"/>
                <w:b w:val="0"/>
                <w:sz w:val="15"/>
              </w:rPr>
              <w:t>Treat it as a measured DÜRR-region observation only; use configurable pitch.</w:t>
            </w:r>
          </w:p>
        </w:tc>
      </w:tr>
      <w:tr>
        <w:tc>
          <w:tcPr>
            <w:tcW w:type="dxa" w:w="2232"/>
            <w:vAlign w:val="center"/>
            <w:shd w:fill="F2F6FA"/>
          </w:tcPr>
          <w:p>
            <w:pPr>
              <w:spacing w:after="20"/>
            </w:pPr>
            <w:r/>
            <w:r>
              <w:rPr>
                <w:rFonts w:ascii="Aptos" w:hAnsi="Aptos"/>
                <w:b w:val="0"/>
                <w:sz w:val="15"/>
              </w:rPr>
              <w:t>Sorting target IDs as motion order</w:t>
            </w:r>
          </w:p>
        </w:tc>
        <w:tc>
          <w:tcPr>
            <w:tcW w:type="dxa" w:w="3096"/>
            <w:vAlign w:val="center"/>
            <w:shd w:fill="F2F6FA"/>
          </w:tcPr>
          <w:p>
            <w:pPr>
              <w:spacing w:after="20"/>
            </w:pPr>
            <w:r/>
            <w:r>
              <w:rPr>
                <w:rFonts w:ascii="Aptos" w:hAnsi="Aptos"/>
                <w:b w:val="0"/>
                <w:sz w:val="15"/>
              </w:rPr>
              <w:t>Generated path may be scrambled.</w:t>
            </w:r>
          </w:p>
        </w:tc>
        <w:tc>
          <w:tcPr>
            <w:tcW w:type="dxa" w:w="4464"/>
            <w:vAlign w:val="center"/>
            <w:shd w:fill="F2F6FA"/>
          </w:tcPr>
          <w:p>
            <w:pPr>
              <w:spacing w:after="20"/>
            </w:pPr>
            <w:r/>
            <w:r>
              <w:rPr>
                <w:rFonts w:ascii="Aptos" w:hAnsi="Aptos"/>
                <w:b w:val="0"/>
                <w:sz w:val="15"/>
              </w:rPr>
              <w:t>Parse executed instructions and test exact order.</w:t>
            </w:r>
          </w:p>
        </w:tc>
      </w:tr>
      <w:tr>
        <w:tc>
          <w:tcPr>
            <w:tcW w:type="dxa" w:w="2232"/>
            <w:vAlign w:val="center"/>
          </w:tcPr>
          <w:p>
            <w:pPr>
              <w:spacing w:after="20"/>
            </w:pPr>
            <w:r/>
            <w:r>
              <w:rPr>
                <w:rFonts w:ascii="Aptos" w:hAnsi="Aptos"/>
                <w:b w:val="0"/>
                <w:sz w:val="15"/>
              </w:rPr>
              <w:t>Renaming only the UI label</w:t>
            </w:r>
          </w:p>
        </w:tc>
        <w:tc>
          <w:tcPr>
            <w:tcW w:type="dxa" w:w="3096"/>
            <w:vAlign w:val="center"/>
          </w:tcPr>
          <w:p>
            <w:pPr>
              <w:spacing w:after="20"/>
            </w:pPr>
            <w:r/>
            <w:r>
              <w:rPr>
                <w:rFonts w:ascii="Aptos" w:hAnsi="Aptos"/>
                <w:b w:val="0"/>
                <w:sz w:val="15"/>
              </w:rPr>
              <w:t>Internal dispatch or persisted settings may still use the old identity.</w:t>
            </w:r>
          </w:p>
        </w:tc>
        <w:tc>
          <w:tcPr>
            <w:tcW w:type="dxa" w:w="4464"/>
            <w:vAlign w:val="center"/>
          </w:tcPr>
          <w:p>
            <w:pPr>
              <w:spacing w:after="20"/>
            </w:pPr>
            <w:r/>
            <w:r>
              <w:rPr>
                <w:rFonts w:ascii="Aptos" w:hAnsi="Aptos"/>
                <w:b w:val="0"/>
                <w:sz w:val="15"/>
              </w:rPr>
              <w:t>Audit UI, identifier, registry, config migration, exports, docs and tests together.</w:t>
            </w:r>
          </w:p>
        </w:tc>
      </w:tr>
      <w:tr>
        <w:tc>
          <w:tcPr>
            <w:tcW w:type="dxa" w:w="2232"/>
            <w:vAlign w:val="center"/>
            <w:shd w:fill="F2F6FA"/>
          </w:tcPr>
          <w:p>
            <w:pPr>
              <w:spacing w:after="20"/>
            </w:pPr>
            <w:r/>
            <w:r>
              <w:rPr>
                <w:rFonts w:ascii="Aptos" w:hAnsi="Aptos"/>
                <w:b w:val="0"/>
                <w:sz w:val="15"/>
              </w:rPr>
              <w:t>Claiming coverage from centerlines alone</w:t>
            </w:r>
          </w:p>
        </w:tc>
        <w:tc>
          <w:tcPr>
            <w:tcW w:type="dxa" w:w="3096"/>
            <w:vAlign w:val="center"/>
            <w:shd w:fill="F2F6FA"/>
          </w:tcPr>
          <w:p>
            <w:pPr>
              <w:spacing w:after="20"/>
            </w:pPr>
            <w:r/>
            <w:r>
              <w:rPr>
                <w:rFonts w:ascii="Aptos" w:hAnsi="Aptos"/>
                <w:b w:val="0"/>
                <w:sz w:val="15"/>
              </w:rPr>
              <w:t>Path lines do not prove real spray deposition.</w:t>
            </w:r>
          </w:p>
        </w:tc>
        <w:tc>
          <w:tcPr>
            <w:tcW w:type="dxa" w:w="4464"/>
            <w:vAlign w:val="center"/>
            <w:shd w:fill="F2F6FA"/>
          </w:tcPr>
          <w:p>
            <w:pPr>
              <w:spacing w:after="20"/>
            </w:pPr>
            <w:r/>
            <w:r>
              <w:rPr>
                <w:rFonts w:ascii="Aptos" w:hAnsi="Aptos"/>
                <w:b w:val="0"/>
                <w:sz w:val="15"/>
              </w:rPr>
              <w:t>Use calibrated footprint/process data and report coverage assumptions.</w:t>
            </w:r>
          </w:p>
        </w:tc>
      </w:tr>
    </w:tbl>
    <w:p/>
    <w:p>
      <w:pPr>
        <w:pStyle w:val="Heading1"/>
      </w:pPr>
      <w:r>
        <w:t>12. Decisions required before production implementation</w:t>
      </w:r>
    </w:p>
    <w:p>
      <w:pPr>
        <w:pStyle w:val="ListBullet"/>
        <w:spacing w:after="40"/>
      </w:pPr>
      <w:r>
        <w:t>Confirm which source of lane pitch takes precedence: explicit user setting, process width/overlap, or measured reference pitch.</w:t>
      </w:r>
    </w:p>
    <w:p>
      <w:pPr>
        <w:pStyle w:val="ListBullet"/>
        <w:spacing w:after="40"/>
      </w:pPr>
      <w:r>
        <w:t>Define target-region selection and how boundaries, holes, disconnected surfaces, and protected features are represented.</w:t>
      </w:r>
    </w:p>
    <w:p>
      <w:pPr>
        <w:pStyle w:val="ListBullet"/>
        <w:spacing w:after="40"/>
      </w:pPr>
      <w:r>
        <w:t>Confirm the robot tool/TCP frame and gun pointing axis for each supported exporter.</w:t>
      </w:r>
    </w:p>
    <w:p>
      <w:pPr>
        <w:pStyle w:val="ListBullet"/>
        <w:spacing w:after="40"/>
      </w:pPr>
      <w:r>
        <w:t>Define painting process constraints: allowable standoff range, angle limits, speed, overlap, and whether painting while turning is allowed.</w:t>
      </w:r>
    </w:p>
    <w:p>
      <w:pPr>
        <w:pStyle w:val="ListBullet"/>
        <w:spacing w:after="40"/>
      </w:pPr>
      <w:r>
        <w:t>Select hard acceptance tolerances for surface deviation, orientation jumps, collision clearance, and coverage.</w:t>
      </w:r>
    </w:p>
    <w:p>
      <w:pPr>
        <w:pStyle w:val="ListBullet"/>
        <w:spacing w:after="40"/>
      </w:pPr>
      <w:r>
        <w:t>Decide the canonical internal identifier and backward-compatibility policy for the Mesh Flow rename.</w:t>
      </w:r>
    </w:p>
    <w:p>
      <w:pPr>
        <w:pStyle w:val="ListBullet"/>
        <w:spacing w:after="40"/>
      </w:pPr>
      <w:r>
        <w:t>Provide complete original OLP files and corresponding geometry for automated, reproducible reference comparisons.</w:t>
      </w:r>
    </w:p>
    <w:p>
      <w:pPr>
        <w:pStyle w:val="Heading1"/>
      </w:pPr>
      <w:r>
        <w:t>13. Final recommendation</w:t>
      </w:r>
    </w:p>
    <w:p>
      <w:r>
        <w:t>Proceed with Mesh Flow as a region-aware, surface-adaptive raster planner—not as a promise to follow every triangle or to use a single global raster. Implement reference parsing and metrics before tuning the generator. Treat the observed serpentine pattern and the reported DÜRR lane pitch as region-specific evidence. Keep candidate optimization weights, smoothing thresholds, spray-width assumptions, and automatic segmentation explicitly unvalidated until quantitative reference comparisons are available.</w:t>
      </w:r>
    </w:p>
    <w:p>
      <w:r>
        <w:t>The safest engineering sequence is: establish exact reference execution order → normalize coordinate frames → quantify patterns → implement a minimal planner → validate geometry and orientation → preserve process states → validate exports and robot safety → apply the rename consistently. No source code was modified to create this document.</w:t>
      </w:r>
    </w:p>
    <w:p>
      <w:pPr>
        <w:pStyle w:val="Heading1"/>
      </w:pPr>
      <w:r>
        <w:t>Appendix A — Compact rule-to-formula map</w:t>
      </w:r>
    </w:p>
    <w:tbl>
      <w:tblPr>
        <w:tblStyle w:val="TableGrid"/>
        <w:tblW w:type="auto" w:w="0"/>
        <w:jc w:val="center"/>
        <w:tblLook w:firstColumn="1" w:firstRow="1" w:lastColumn="0" w:lastRow="0" w:noHBand="0" w:noVBand="1" w:val="04A0"/>
      </w:tblPr>
      <w:tblGrid>
        <w:gridCol w:w="3389"/>
        <w:gridCol w:w="3389"/>
        <w:gridCol w:w="3389"/>
      </w:tblGrid>
      <w:tr>
        <w:tc>
          <w:tcPr>
            <w:tcW w:type="dxa" w:w="2304"/>
            <w:vAlign w:val="center"/>
            <w:shd w:fill="245A81"/>
          </w:tcPr>
          <w:p>
            <w:pPr>
              <w:spacing w:after="20"/>
            </w:pPr>
            <w:r/>
            <w:r>
              <w:rPr>
                <w:rFonts w:ascii="Aptos" w:hAnsi="Aptos"/>
                <w:b/>
                <w:color w:val="FFFFFF"/>
                <w:sz w:val="16"/>
              </w:rPr>
              <w:t>Rule</w:t>
            </w:r>
          </w:p>
        </w:tc>
        <w:tc>
          <w:tcPr>
            <w:tcW w:type="dxa" w:w="2880"/>
            <w:vAlign w:val="center"/>
            <w:shd w:fill="245A81"/>
          </w:tcPr>
          <w:p>
            <w:pPr>
              <w:spacing w:after="20"/>
            </w:pPr>
            <w:r/>
            <w:r>
              <w:rPr>
                <w:rFonts w:ascii="Aptos" w:hAnsi="Aptos"/>
                <w:b/>
                <w:color w:val="FFFFFF"/>
                <w:sz w:val="16"/>
              </w:rPr>
              <w:t>Main formulas</w:t>
            </w:r>
          </w:p>
        </w:tc>
        <w:tc>
          <w:tcPr>
            <w:tcW w:type="dxa" w:w="4608"/>
            <w:vAlign w:val="center"/>
            <w:shd w:fill="245A81"/>
          </w:tcPr>
          <w:p>
            <w:pPr>
              <w:spacing w:after="20"/>
            </w:pPr>
            <w:r/>
            <w:r>
              <w:rPr>
                <w:rFonts w:ascii="Aptos" w:hAnsi="Aptos"/>
                <w:b/>
                <w:color w:val="FFFFFF"/>
                <w:sz w:val="16"/>
              </w:rPr>
              <w:t>Purpose</w:t>
            </w:r>
          </w:p>
        </w:tc>
      </w:tr>
      <w:tr>
        <w:tc>
          <w:tcPr>
            <w:tcW w:type="dxa" w:w="2304"/>
            <w:vAlign w:val="center"/>
            <w:shd w:fill="F2F6FA"/>
          </w:tcPr>
          <w:p>
            <w:pPr>
              <w:spacing w:after="20"/>
            </w:pPr>
            <w:r/>
            <w:r>
              <w:rPr>
                <w:rFonts w:ascii="Aptos" w:hAnsi="Aptos"/>
                <w:b w:val="0"/>
                <w:sz w:val="16"/>
              </w:rPr>
              <w:t>Direction/frame</w:t>
            </w:r>
          </w:p>
        </w:tc>
        <w:tc>
          <w:tcPr>
            <w:tcW w:type="dxa" w:w="2880"/>
            <w:vAlign w:val="center"/>
            <w:shd w:fill="F2F6FA"/>
          </w:tcPr>
          <w:p>
            <w:pPr>
              <w:spacing w:after="20"/>
            </w:pPr>
            <w:r/>
            <w:r>
              <w:rPr>
                <w:rFonts w:ascii="Aptos" w:hAnsi="Aptos"/>
                <w:b w:val="0"/>
                <w:sz w:val="16"/>
              </w:rPr>
              <w:t>F01–F07, F13</w:t>
            </w:r>
          </w:p>
        </w:tc>
        <w:tc>
          <w:tcPr>
            <w:tcW w:type="dxa" w:w="4608"/>
            <w:vAlign w:val="center"/>
            <w:shd w:fill="F2F6FA"/>
          </w:tcPr>
          <w:p>
            <w:pPr>
              <w:spacing w:after="20"/>
            </w:pPr>
            <w:r/>
            <w:r>
              <w:rPr>
                <w:rFonts w:ascii="Aptos" w:hAnsi="Aptos"/>
                <w:b w:val="0"/>
                <w:sz w:val="16"/>
              </w:rPr>
              <w:t>Define local travel and lateral directions.</w:t>
            </w:r>
          </w:p>
        </w:tc>
      </w:tr>
      <w:tr>
        <w:tc>
          <w:tcPr>
            <w:tcW w:type="dxa" w:w="2304"/>
            <w:vAlign w:val="center"/>
          </w:tcPr>
          <w:p>
            <w:pPr>
              <w:spacing w:after="20"/>
            </w:pPr>
            <w:r/>
            <w:r>
              <w:rPr>
                <w:rFonts w:ascii="Aptos" w:hAnsi="Aptos"/>
                <w:b w:val="0"/>
                <w:sz w:val="16"/>
              </w:rPr>
              <w:t>Lane generation</w:t>
            </w:r>
          </w:p>
        </w:tc>
        <w:tc>
          <w:tcPr>
            <w:tcW w:type="dxa" w:w="2880"/>
            <w:vAlign w:val="center"/>
          </w:tcPr>
          <w:p>
            <w:pPr>
              <w:spacing w:after="20"/>
            </w:pPr>
            <w:r/>
            <w:r>
              <w:rPr>
                <w:rFonts w:ascii="Aptos" w:hAnsi="Aptos"/>
                <w:b w:val="0"/>
                <w:sz w:val="16"/>
              </w:rPr>
              <w:t>F08–F12, F39–F41</w:t>
            </w:r>
          </w:p>
        </w:tc>
        <w:tc>
          <w:tcPr>
            <w:tcW w:type="dxa" w:w="4608"/>
            <w:vAlign w:val="center"/>
          </w:tcPr>
          <w:p>
            <w:pPr>
              <w:spacing w:after="20"/>
            </w:pPr>
            <w:r/>
            <w:r>
              <w:rPr>
                <w:rFonts w:ascii="Aptos" w:hAnsi="Aptos"/>
                <w:b w:val="0"/>
                <w:sz w:val="16"/>
              </w:rPr>
              <w:t>Place and order raster lanes.</w:t>
            </w:r>
          </w:p>
        </w:tc>
      </w:tr>
      <w:tr>
        <w:tc>
          <w:tcPr>
            <w:tcW w:type="dxa" w:w="2304"/>
            <w:vAlign w:val="center"/>
            <w:shd w:fill="F2F6FA"/>
          </w:tcPr>
          <w:p>
            <w:pPr>
              <w:spacing w:after="20"/>
            </w:pPr>
            <w:r/>
            <w:r>
              <w:rPr>
                <w:rFonts w:ascii="Aptos" w:hAnsi="Aptos"/>
                <w:b w:val="0"/>
                <w:sz w:val="16"/>
              </w:rPr>
              <w:t>Straightness and smoothing</w:t>
            </w:r>
          </w:p>
        </w:tc>
        <w:tc>
          <w:tcPr>
            <w:tcW w:type="dxa" w:w="2880"/>
            <w:vAlign w:val="center"/>
            <w:shd w:fill="F2F6FA"/>
          </w:tcPr>
          <w:p>
            <w:pPr>
              <w:spacing w:after="20"/>
            </w:pPr>
            <w:r/>
            <w:r>
              <w:rPr>
                <w:rFonts w:ascii="Aptos" w:hAnsi="Aptos"/>
                <w:b w:val="0"/>
                <w:sz w:val="16"/>
              </w:rPr>
              <w:t>F14–F23, F38</w:t>
            </w:r>
          </w:p>
        </w:tc>
        <w:tc>
          <w:tcPr>
            <w:tcW w:type="dxa" w:w="4608"/>
            <w:vAlign w:val="center"/>
            <w:shd w:fill="F2F6FA"/>
          </w:tcPr>
          <w:p>
            <w:pPr>
              <w:spacing w:after="20"/>
            </w:pPr>
            <w:r/>
            <w:r>
              <w:rPr>
                <w:rFonts w:ascii="Aptos" w:hAnsi="Aptos"/>
                <w:b w:val="0"/>
                <w:sz w:val="16"/>
              </w:rPr>
              <w:t>Measure straightness and smooth paths while respecting the surface.</w:t>
            </w:r>
          </w:p>
        </w:tc>
      </w:tr>
      <w:tr>
        <w:tc>
          <w:tcPr>
            <w:tcW w:type="dxa" w:w="2304"/>
            <w:vAlign w:val="center"/>
          </w:tcPr>
          <w:p>
            <w:pPr>
              <w:spacing w:after="20"/>
            </w:pPr>
            <w:r/>
            <w:r>
              <w:rPr>
                <w:rFonts w:ascii="Aptos" w:hAnsi="Aptos"/>
                <w:b w:val="0"/>
                <w:sz w:val="16"/>
              </w:rPr>
              <w:t>Normals, TCP and orientation</w:t>
            </w:r>
          </w:p>
        </w:tc>
        <w:tc>
          <w:tcPr>
            <w:tcW w:type="dxa" w:w="2880"/>
            <w:vAlign w:val="center"/>
          </w:tcPr>
          <w:p>
            <w:pPr>
              <w:spacing w:after="20"/>
            </w:pPr>
            <w:r/>
            <w:r>
              <w:rPr>
                <w:rFonts w:ascii="Aptos" w:hAnsi="Aptos"/>
                <w:b w:val="0"/>
                <w:sz w:val="16"/>
              </w:rPr>
              <w:t>F24–F35, F44–F45</w:t>
            </w:r>
          </w:p>
        </w:tc>
        <w:tc>
          <w:tcPr>
            <w:tcW w:type="dxa" w:w="4608"/>
            <w:vAlign w:val="center"/>
          </w:tcPr>
          <w:p>
            <w:pPr>
              <w:spacing w:after="20"/>
            </w:pPr>
            <w:r/>
            <w:r>
              <w:rPr>
                <w:rFonts w:ascii="Aptos" w:hAnsi="Aptos"/>
                <w:b w:val="0"/>
                <w:sz w:val="16"/>
              </w:rPr>
              <w:t>Construct tool positions and orientation continuity.</w:t>
            </w:r>
          </w:p>
        </w:tc>
      </w:tr>
      <w:tr>
        <w:tc>
          <w:tcPr>
            <w:tcW w:type="dxa" w:w="2304"/>
            <w:vAlign w:val="center"/>
            <w:shd w:fill="F2F6FA"/>
          </w:tcPr>
          <w:p>
            <w:pPr>
              <w:spacing w:after="20"/>
            </w:pPr>
            <w:r/>
            <w:r>
              <w:rPr>
                <w:rFonts w:ascii="Aptos" w:hAnsi="Aptos"/>
                <w:b w:val="0"/>
                <w:sz w:val="16"/>
              </w:rPr>
              <w:t>Distance and path length</w:t>
            </w:r>
          </w:p>
        </w:tc>
        <w:tc>
          <w:tcPr>
            <w:tcW w:type="dxa" w:w="2880"/>
            <w:vAlign w:val="center"/>
            <w:shd w:fill="F2F6FA"/>
          </w:tcPr>
          <w:p>
            <w:pPr>
              <w:spacing w:after="20"/>
            </w:pPr>
            <w:r/>
            <w:r>
              <w:rPr>
                <w:rFonts w:ascii="Aptos" w:hAnsi="Aptos"/>
                <w:b w:val="0"/>
                <w:sz w:val="16"/>
              </w:rPr>
              <w:t>F02, F27–F29, F36–F38</w:t>
            </w:r>
          </w:p>
        </w:tc>
        <w:tc>
          <w:tcPr>
            <w:tcW w:type="dxa" w:w="4608"/>
            <w:vAlign w:val="center"/>
            <w:shd w:fill="F2F6FA"/>
          </w:tcPr>
          <w:p>
            <w:pPr>
              <w:spacing w:after="20"/>
            </w:pPr>
            <w:r/>
            <w:r>
              <w:rPr>
                <w:rFonts w:ascii="Aptos" w:hAnsi="Aptos"/>
                <w:b w:val="0"/>
                <w:sz w:val="16"/>
              </w:rPr>
              <w:t>Measure geometric error and motion length.</w:t>
            </w:r>
          </w:p>
        </w:tc>
      </w:tr>
      <w:tr>
        <w:tc>
          <w:tcPr>
            <w:tcW w:type="dxa" w:w="2304"/>
            <w:vAlign w:val="center"/>
          </w:tcPr>
          <w:p>
            <w:pPr>
              <w:spacing w:after="20"/>
            </w:pPr>
            <w:r/>
            <w:r>
              <w:rPr>
                <w:rFonts w:ascii="Aptos" w:hAnsi="Aptos"/>
                <w:b w:val="0"/>
                <w:sz w:val="16"/>
              </w:rPr>
              <w:t>Quality and safety</w:t>
            </w:r>
          </w:p>
        </w:tc>
        <w:tc>
          <w:tcPr>
            <w:tcW w:type="dxa" w:w="2880"/>
            <w:vAlign w:val="center"/>
          </w:tcPr>
          <w:p>
            <w:pPr>
              <w:spacing w:after="20"/>
            </w:pPr>
            <w:r/>
            <w:r>
              <w:rPr>
                <w:rFonts w:ascii="Aptos" w:hAnsi="Aptos"/>
                <w:b w:val="0"/>
                <w:sz w:val="16"/>
              </w:rPr>
              <w:t>F42–F47</w:t>
            </w:r>
          </w:p>
        </w:tc>
        <w:tc>
          <w:tcPr>
            <w:tcW w:type="dxa" w:w="4608"/>
            <w:vAlign w:val="center"/>
          </w:tcPr>
          <w:p>
            <w:pPr>
              <w:spacing w:after="20"/>
            </w:pPr>
            <w:r/>
            <w:r>
              <w:rPr>
                <w:rFonts w:ascii="Aptos" w:hAnsi="Aptos"/>
                <w:b w:val="0"/>
                <w:sz w:val="16"/>
              </w:rPr>
              <w:t>Check surface error, coverage and collision clearance.</w:t>
            </w:r>
          </w:p>
        </w:tc>
      </w:tr>
    </w:tbl>
    <w:p/>
    <w:p>
      <w:pPr>
        <w:pStyle w:val="Heading1"/>
      </w:pPr>
      <w:r>
        <w:t>Appendix B — Confidence interpretation</w:t>
      </w:r>
    </w:p>
    <w:p>
      <w:r>
        <w:t>High confidence does not mean production validated. It means the supplied source analysis directly supports the observation or the equation is a standard geometric identity. Medium confidence means the method is technically plausible but depends on geometry, frame conventions, or parameters. Low confidence means the design choice requires calibration and comparative tests. Confidence should be upgraded only when reproducible tests on actual reference programs and corresponding meshes support it.</w:t>
      </w:r>
    </w:p>
    <w:p>
      <w:r>
        <w:br w:type="page"/>
      </w:r>
    </w:p>
    <w:p>
      <w:pPr>
        <w:pStyle w:val="Heading1"/>
      </w:pPr>
      <w:r>
        <w:t>14. Additional Rules from Path-Quality Review</w:t>
      </w:r>
    </w:p>
    <w:p>
      <w:r>
        <w:t>This section extends the original Mesh Flow specification with additional rules prompted by the displayed path failures. These are proposed engineering requirements, not implemented behavior. The screenshots are from the older version and are treated as evidence of failure modes, not evidence that the new design has already been implemented.</w:t>
      </w:r>
    </w:p>
    <w:p>
      <w:r>
        <w:t>Core design principle: simplify unreliable geometric detail without blindly simplifying away the actual component. A broad, gentle body curve should remain; tiny triangle-level fluctuations should not steer the toolpath; genuine boundaries and safety-relevant features must be preserved or explicitly flagged.</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shd w:fill="245A81"/>
          </w:tcPr>
          <w:p>
            <w:r>
              <w:rPr>
                <w:b/>
                <w:color w:val="FFFFFF"/>
                <w:sz w:val="16"/>
              </w:rPr>
              <w:t>ID / rule</w:t>
            </w:r>
          </w:p>
        </w:tc>
        <w:tc>
          <w:tcPr>
            <w:tcW w:type="dxa" w:w="2033"/>
            <w:shd w:fill="245A81"/>
          </w:tcPr>
          <w:p>
            <w:r>
              <w:rPr>
                <w:b/>
                <w:color w:val="FFFFFF"/>
                <w:sz w:val="16"/>
              </w:rPr>
              <w:t>Simple explanation</w:t>
            </w:r>
          </w:p>
        </w:tc>
        <w:tc>
          <w:tcPr>
            <w:tcW w:type="dxa" w:w="2033"/>
            <w:shd w:fill="245A81"/>
          </w:tcPr>
          <w:p>
            <w:r>
              <w:rPr>
                <w:b/>
                <w:color w:val="FFFFFF"/>
                <w:sz w:val="16"/>
              </w:rPr>
              <w:t>Technical requirement</w:t>
            </w:r>
          </w:p>
        </w:tc>
        <w:tc>
          <w:tcPr>
            <w:tcW w:type="dxa" w:w="2033"/>
            <w:shd w:fill="245A81"/>
          </w:tcPr>
          <w:p>
            <w:r>
              <w:rPr>
                <w:b/>
                <w:color w:val="FFFFFF"/>
                <w:sz w:val="16"/>
              </w:rPr>
              <w:t>Confidence / status</w:t>
            </w:r>
          </w:p>
        </w:tc>
        <w:tc>
          <w:tcPr>
            <w:tcW w:type="dxa" w:w="2033"/>
            <w:shd w:fill="245A81"/>
          </w:tcPr>
          <w:p>
            <w:r>
              <w:rPr>
                <w:b/>
                <w:color w:val="FFFFFF"/>
                <w:sz w:val="16"/>
              </w:rPr>
              <w:t>Implementation and validation</w:t>
            </w:r>
          </w:p>
        </w:tc>
      </w:tr>
      <w:tr>
        <w:tc>
          <w:tcPr>
            <w:tcW w:type="dxa" w:w="2033"/>
            <w:shd w:fill="F2F6FA"/>
            <w:shd w:fill="F2F6FA"/>
            <w:shd w:fill="F2F6FA"/>
            <w:shd w:fill="F2F6FA"/>
            <w:shd w:fill="F2F6FA"/>
          </w:tcPr>
          <w:p>
            <w:pPr>
              <w:spacing w:after="40"/>
            </w:pPr>
            <w:r>
              <w:rPr>
                <w:sz w:val="16"/>
              </w:rPr>
              <w:t>R11 — Mesh Quality Assessment</w:t>
            </w:r>
          </w:p>
        </w:tc>
        <w:tc>
          <w:tcPr>
            <w:tcW w:type="dxa" w:w="2033"/>
            <w:shd w:fill="F2F6FA"/>
            <w:shd w:fill="F2F6FA"/>
            <w:shd w:fill="F2F6FA"/>
            <w:shd w:fill="F2F6FA"/>
            <w:shd w:fill="F2F6FA"/>
          </w:tcPr>
          <w:p>
            <w:pPr>
              <w:spacing w:after="40"/>
            </w:pPr>
            <w:r>
              <w:rPr>
                <w:sz w:val="16"/>
              </w:rPr>
              <w:t>Detect unreliable geometry before planning.</w:t>
            </w:r>
          </w:p>
        </w:tc>
        <w:tc>
          <w:tcPr>
            <w:tcW w:type="dxa" w:w="2033"/>
            <w:shd w:fill="F2F6FA"/>
            <w:shd w:fill="F2F6FA"/>
            <w:shd w:fill="F2F6FA"/>
            <w:shd w:fill="F2F6FA"/>
            <w:shd w:fill="F2F6FA"/>
          </w:tcPr>
          <w:p>
            <w:pPr>
              <w:spacing w:after="40"/>
            </w:pPr>
            <w:r>
              <w:rPr>
                <w:sz w:val="16"/>
              </w:rPr>
              <w:t>Compute local indicators such as triangle aspect ratio, edge-length variation, normal variation, boundary proximity, connected components, and local sampling density. Treat these as indicators, not a single definitive quality score.</w:t>
            </w:r>
          </w:p>
        </w:tc>
        <w:tc>
          <w:tcPr>
            <w:tcW w:type="dxa" w:w="2033"/>
            <w:shd w:fill="F2F6FA"/>
            <w:shd w:fill="F2F6FA"/>
            <w:shd w:fill="F2F6FA"/>
            <w:shd w:fill="F2F6FA"/>
            <w:shd w:fill="F2F6FA"/>
          </w:tcPr>
          <w:p>
            <w:pPr>
              <w:spacing w:after="40"/>
            </w:pPr>
            <w:r>
              <w:rPr>
                <w:sz w:val="16"/>
              </w:rPr>
              <w:t>Medium: proposed requirement inferred from the screenshot failures; thresholds are unvalidated.</w:t>
            </w:r>
          </w:p>
        </w:tc>
        <w:tc>
          <w:tcPr>
            <w:tcW w:type="dxa" w:w="2033"/>
            <w:shd w:fill="F2F6FA"/>
            <w:shd w:fill="F2F6FA"/>
            <w:shd w:fill="F2F6FA"/>
            <w:shd w:fill="F2F6FA"/>
            <w:shd w:fill="F2F6FA"/>
          </w:tcPr>
          <w:p>
            <w:pPr>
              <w:spacing w:after="40"/>
            </w:pPr>
            <w:r>
              <w:rPr>
                <w:sz w:val="16"/>
              </w:rPr>
              <w:t>Create a per-region quality map. Validate against clean, noisy, incomplete, and mixed-quality meshes. Avoid rejecting a whole part because of one local defect.</w:t>
            </w:r>
          </w:p>
        </w:tc>
      </w:tr>
      <w:tr>
        <w:tc>
          <w:tcPr>
            <w:tcW w:type="dxa" w:w="2033"/>
          </w:tcPr>
          <w:p>
            <w:pPr>
              <w:spacing w:after="40"/>
            </w:pPr>
            <w:r>
              <w:rPr>
                <w:sz w:val="16"/>
              </w:rPr>
              <w:t>R12 — Adaptive Geometry Simplification</w:t>
            </w:r>
          </w:p>
        </w:tc>
        <w:tc>
          <w:tcPr>
            <w:tcW w:type="dxa" w:w="2033"/>
          </w:tcPr>
          <w:p>
            <w:pPr>
              <w:spacing w:after="40"/>
            </w:pPr>
            <w:r>
              <w:rPr>
                <w:sz w:val="16"/>
              </w:rPr>
              <w:t>Ignore tiny triangle fluctuations but preserve the body's overall shape.</w:t>
            </w:r>
          </w:p>
        </w:tc>
        <w:tc>
          <w:tcPr>
            <w:tcW w:type="dxa" w:w="2033"/>
          </w:tcPr>
          <w:p>
            <w:pPr>
              <w:spacing w:after="40"/>
            </w:pPr>
            <w:r>
              <w:rPr>
                <w:sz w:val="16"/>
              </w:rPr>
              <w:t>Create a scale-aware representation for planning, while retaining the original mesh for final surface-distance checks and protected features. Bound simplification error relative to the original mesh.</w:t>
            </w:r>
          </w:p>
        </w:tc>
        <w:tc>
          <w:tcPr>
            <w:tcW w:type="dxa" w:w="2033"/>
          </w:tcPr>
          <w:p>
            <w:pPr>
              <w:spacing w:after="40"/>
            </w:pPr>
            <w:r>
              <w:rPr>
                <w:sz w:val="16"/>
              </w:rPr>
              <w:t>Medium: established engineering approach; project-specific tolerances are unvalidated.</w:t>
            </w:r>
          </w:p>
        </w:tc>
        <w:tc>
          <w:tcPr>
            <w:tcW w:type="dxa" w:w="2033"/>
          </w:tcPr>
          <w:p>
            <w:pPr>
              <w:spacing w:after="40"/>
            </w:pPr>
            <w:r>
              <w:rPr>
                <w:sz w:val="16"/>
              </w:rPr>
              <w:t>Test at multiple mesh resolutions and noise levels. Compare simplified-surface deviation and protected-feature retention.</w:t>
            </w:r>
          </w:p>
        </w:tc>
      </w:tr>
      <w:tr>
        <w:tc>
          <w:tcPr>
            <w:tcW w:type="dxa" w:w="2033"/>
            <w:shd w:fill="F2F6FA"/>
            <w:shd w:fill="F2F6FA"/>
            <w:shd w:fill="F2F6FA"/>
            <w:shd w:fill="F2F6FA"/>
            <w:shd w:fill="F2F6FA"/>
          </w:tcPr>
          <w:p>
            <w:pPr>
              <w:spacing w:after="40"/>
            </w:pPr>
            <w:r>
              <w:rPr>
                <w:sz w:val="16"/>
              </w:rPr>
              <w:t>R13 — Straightness Priority</w:t>
            </w:r>
          </w:p>
        </w:tc>
        <w:tc>
          <w:tcPr>
            <w:tcW w:type="dxa" w:w="2033"/>
            <w:shd w:fill="F2F6FA"/>
            <w:shd w:fill="F2F6FA"/>
            <w:shd w:fill="F2F6FA"/>
            <w:shd w:fill="F2F6FA"/>
            <w:shd w:fill="F2F6FA"/>
          </w:tcPr>
          <w:p>
            <w:pPr>
              <w:spacing w:after="40"/>
            </w:pPr>
            <w:r>
              <w:rPr>
                <w:sz w:val="16"/>
              </w:rPr>
              <w:t>Prefer straight passes unless meaningful body curvature requires a bend.</w:t>
            </w:r>
          </w:p>
        </w:tc>
        <w:tc>
          <w:tcPr>
            <w:tcW w:type="dxa" w:w="2033"/>
            <w:shd w:fill="F2F6FA"/>
            <w:shd w:fill="F2F6FA"/>
            <w:shd w:fill="F2F6FA"/>
            <w:shd w:fill="F2F6FA"/>
            <w:shd w:fill="F2F6FA"/>
          </w:tcPr>
          <w:p>
            <w:pPr>
              <w:spacing w:after="40"/>
            </w:pPr>
            <w:r>
              <w:rPr>
                <w:sz w:val="16"/>
              </w:rPr>
              <w:t>Optimize pass direction and path shape to minimize lateral deviation from a nominal straight line, subject to surface-conformity, standoff, boundary, and safety constraints.</w:t>
            </w:r>
          </w:p>
        </w:tc>
        <w:tc>
          <w:tcPr>
            <w:tcW w:type="dxa" w:w="2033"/>
            <w:shd w:fill="F2F6FA"/>
            <w:shd w:fill="F2F6FA"/>
            <w:shd w:fill="F2F6FA"/>
            <w:shd w:fill="F2F6FA"/>
            <w:shd w:fill="F2F6FA"/>
          </w:tcPr>
          <w:p>
            <w:pPr>
              <w:spacing w:after="40"/>
            </w:pPr>
            <w:r>
              <w:rPr>
                <w:sz w:val="16"/>
              </w:rPr>
              <w:t>Medium: directly reflects the stated design goal; weights/tolerances are unvalidated.</w:t>
            </w:r>
          </w:p>
        </w:tc>
        <w:tc>
          <w:tcPr>
            <w:tcW w:type="dxa" w:w="2033"/>
            <w:shd w:fill="F2F6FA"/>
            <w:shd w:fill="F2F6FA"/>
            <w:shd w:fill="F2F6FA"/>
            <w:shd w:fill="F2F6FA"/>
            <w:shd w:fill="F2F6FA"/>
          </w:tcPr>
          <w:p>
            <w:pPr>
              <w:spacing w:after="40"/>
            </w:pPr>
            <w:r>
              <w:rPr>
                <w:sz w:val="16"/>
              </w:rPr>
              <w:t>Measure maximum and RMS line deviation together with surface deviation. Do not flatten genuinely curved areas just to improve straightness.</w:t>
            </w:r>
          </w:p>
        </w:tc>
      </w:tr>
      <w:tr>
        <w:tc>
          <w:tcPr>
            <w:tcW w:type="dxa" w:w="2033"/>
          </w:tcPr>
          <w:p>
            <w:pPr>
              <w:spacing w:after="40"/>
            </w:pPr>
            <w:r>
              <w:rPr>
                <w:sz w:val="16"/>
              </w:rPr>
              <w:t>R14 — Curvature-Limited Smoothing</w:t>
            </w:r>
          </w:p>
        </w:tc>
        <w:tc>
          <w:tcPr>
            <w:tcW w:type="dxa" w:w="2033"/>
          </w:tcPr>
          <w:p>
            <w:pPr>
              <w:spacing w:after="40"/>
            </w:pPr>
            <w:r>
              <w:rPr>
                <w:sz w:val="16"/>
              </w:rPr>
              <w:t>Remove spikes and sudden bends without making every pass flat.</w:t>
            </w:r>
          </w:p>
        </w:tc>
        <w:tc>
          <w:tcPr>
            <w:tcW w:type="dxa" w:w="2033"/>
          </w:tcPr>
          <w:p>
            <w:pPr>
              <w:spacing w:after="40"/>
            </w:pPr>
            <w:r>
              <w:rPr>
                <w:sz w:val="16"/>
              </w:rPr>
              <w:t>Apply curve conditioning with limits on curvature and curvature change, while enforcing maximum deviation from the target surface and protecting boundaries/features.</w:t>
            </w:r>
          </w:p>
        </w:tc>
        <w:tc>
          <w:tcPr>
            <w:tcW w:type="dxa" w:w="2033"/>
          </w:tcPr>
          <w:p>
            <w:pPr>
              <w:spacing w:after="40"/>
            </w:pPr>
            <w:r>
              <w:rPr>
                <w:sz w:val="16"/>
              </w:rPr>
              <w:t>Medium: candidate method; numeric thresholds need reference-based calibration.</w:t>
            </w:r>
          </w:p>
        </w:tc>
        <w:tc>
          <w:tcPr>
            <w:tcW w:type="dxa" w:w="2033"/>
          </w:tcPr>
          <w:p>
            <w:pPr>
              <w:spacing w:after="40"/>
            </w:pPr>
            <w:r>
              <w:rPr>
                <w:sz w:val="16"/>
              </w:rPr>
              <w:t>Test for both under-smoothing (wiggles remain) and over-smoothing (real shape is lost). Resample by arc length before comparing curvature.</w:t>
            </w:r>
          </w:p>
        </w:tc>
      </w:tr>
      <w:tr>
        <w:tc>
          <w:tcPr>
            <w:tcW w:type="dxa" w:w="2033"/>
            <w:shd w:fill="F2F6FA"/>
            <w:shd w:fill="F2F6FA"/>
            <w:shd w:fill="F2F6FA"/>
            <w:shd w:fill="F2F6FA"/>
            <w:shd w:fill="F2F6FA"/>
          </w:tcPr>
          <w:p>
            <w:pPr>
              <w:spacing w:after="40"/>
            </w:pPr>
            <w:r>
              <w:rPr>
                <w:sz w:val="16"/>
              </w:rPr>
              <w:t>R15 — Path Regularity</w:t>
            </w:r>
          </w:p>
        </w:tc>
        <w:tc>
          <w:tcPr>
            <w:tcW w:type="dxa" w:w="2033"/>
            <w:shd w:fill="F2F6FA"/>
            <w:shd w:fill="F2F6FA"/>
            <w:shd w:fill="F2F6FA"/>
            <w:shd w:fill="F2F6FA"/>
            <w:shd w:fill="F2F6FA"/>
          </w:tcPr>
          <w:p>
            <w:pPr>
              <w:spacing w:after="40"/>
            </w:pPr>
            <w:r>
              <w:rPr>
                <w:sz w:val="16"/>
              </w:rPr>
              <w:t>Keep neighboring passes consistent where the surface allows.</w:t>
            </w:r>
          </w:p>
        </w:tc>
        <w:tc>
          <w:tcPr>
            <w:tcW w:type="dxa" w:w="2033"/>
            <w:shd w:fill="F2F6FA"/>
            <w:shd w:fill="F2F6FA"/>
            <w:shd w:fill="F2F6FA"/>
            <w:shd w:fill="F2F6FA"/>
            <w:shd w:fill="F2F6FA"/>
          </w:tcPr>
          <w:p>
            <w:pPr>
              <w:spacing w:after="40"/>
            </w:pPr>
            <w:r>
              <w:rPr>
                <w:sz w:val="16"/>
              </w:rPr>
              <w:t>Evaluate pass pitch, direction consistency, pass length, endpoint behavior, and local curvature. Permit justified variation near boundaries and transitions.</w:t>
            </w:r>
          </w:p>
        </w:tc>
        <w:tc>
          <w:tcPr>
            <w:tcW w:type="dxa" w:w="2033"/>
            <w:shd w:fill="F2F6FA"/>
            <w:shd w:fill="F2F6FA"/>
            <w:shd w:fill="F2F6FA"/>
            <w:shd w:fill="F2F6FA"/>
            <w:shd w:fill="F2F6FA"/>
          </w:tcPr>
          <w:p>
            <w:pPr>
              <w:spacing w:after="40"/>
            </w:pPr>
            <w:r>
              <w:rPr>
                <w:sz w:val="16"/>
              </w:rPr>
              <w:t>Medium: supported by observed raster patterns, but not universal across all regions.</w:t>
            </w:r>
          </w:p>
        </w:tc>
        <w:tc>
          <w:tcPr>
            <w:tcW w:type="dxa" w:w="2033"/>
            <w:shd w:fill="F2F6FA"/>
            <w:shd w:fill="F2F6FA"/>
            <w:shd w:fill="F2F6FA"/>
            <w:shd w:fill="F2F6FA"/>
            <w:shd w:fill="F2F6FA"/>
          </w:tcPr>
          <w:p>
            <w:pPr>
              <w:spacing w:after="40"/>
            </w:pPr>
            <w:r>
              <w:rPr>
                <w:sz w:val="16"/>
              </w:rPr>
              <w:t>Report lane-spacing variation and abrupt endpoint/length changes. Compare only corresponding regions and coordinate frames.</w:t>
            </w:r>
          </w:p>
        </w:tc>
      </w:tr>
      <w:tr>
        <w:tc>
          <w:tcPr>
            <w:tcW w:type="dxa" w:w="2033"/>
          </w:tcPr>
          <w:p>
            <w:pPr>
              <w:spacing w:after="40"/>
            </w:pPr>
            <w:r>
              <w:rPr>
                <w:sz w:val="16"/>
              </w:rPr>
              <w:t>R16 — Boundary-Aware Generation</w:t>
            </w:r>
          </w:p>
        </w:tc>
        <w:tc>
          <w:tcPr>
            <w:tcW w:type="dxa" w:w="2033"/>
          </w:tcPr>
          <w:p>
            <w:pPr>
              <w:spacing w:after="40"/>
            </w:pPr>
            <w:r>
              <w:rPr>
                <w:sz w:val="16"/>
              </w:rPr>
              <w:t>Do not connect unrelated surface patches or cross holes just to complete a line.</w:t>
            </w:r>
          </w:p>
        </w:tc>
        <w:tc>
          <w:tcPr>
            <w:tcW w:type="dxa" w:w="2033"/>
          </w:tcPr>
          <w:p>
            <w:pPr>
              <w:spacing w:after="40"/>
            </w:pPr>
            <w:r>
              <w:rPr>
                <w:sz w:val="16"/>
              </w:rPr>
              <w:t>Split candidate paths at target boundaries, holes, disconnected components, occlusions, and user-defined exclusion zones. Create explicit transit links only after collision and process-state checks.</w:t>
            </w:r>
          </w:p>
        </w:tc>
        <w:tc>
          <w:tcPr>
            <w:tcW w:type="dxa" w:w="2033"/>
          </w:tcPr>
          <w:p>
            <w:pPr>
              <w:spacing w:after="40"/>
            </w:pPr>
            <w:r>
              <w:rPr>
                <w:sz w:val="16"/>
              </w:rPr>
              <w:t>High for the need to separate regions/transitions; Medium for automated boundary classification.</w:t>
            </w:r>
          </w:p>
        </w:tc>
        <w:tc>
          <w:tcPr>
            <w:tcW w:type="dxa" w:w="2033"/>
          </w:tcPr>
          <w:p>
            <w:pPr>
              <w:spacing w:after="40"/>
            </w:pPr>
            <w:r>
              <w:rPr>
                <w:sz w:val="16"/>
              </w:rPr>
              <w:t>Use synthetic gaps, holes, disconnected shells, and real reference boundaries. Confirm no unintended paint-on connector crosses an excluded area.</w:t>
            </w:r>
          </w:p>
        </w:tc>
      </w:tr>
      <w:tr>
        <w:tc>
          <w:tcPr>
            <w:tcW w:type="dxa" w:w="2033"/>
            <w:shd w:fill="F2F6FA"/>
            <w:shd w:fill="F2F6FA"/>
            <w:shd w:fill="F2F6FA"/>
            <w:shd w:fill="F2F6FA"/>
            <w:shd w:fill="F2F6FA"/>
          </w:tcPr>
          <w:p>
            <w:pPr>
              <w:spacing w:after="40"/>
            </w:pPr>
            <w:r>
              <w:rPr>
                <w:sz w:val="16"/>
              </w:rPr>
              <w:t>R17 — Confidence-Based Fallback</w:t>
            </w:r>
          </w:p>
        </w:tc>
        <w:tc>
          <w:tcPr>
            <w:tcW w:type="dxa" w:w="2033"/>
            <w:shd w:fill="F2F6FA"/>
            <w:shd w:fill="F2F6FA"/>
            <w:shd w:fill="F2F6FA"/>
            <w:shd w:fill="F2F6FA"/>
            <w:shd w:fill="F2F6FA"/>
          </w:tcPr>
          <w:p>
            <w:pPr>
              <w:spacing w:after="40"/>
            </w:pPr>
            <w:r>
              <w:rPr>
                <w:sz w:val="16"/>
              </w:rPr>
              <w:t>Approximate only when the surface can be estimated reliably; otherwise flag or skip the region.</w:t>
            </w:r>
          </w:p>
        </w:tc>
        <w:tc>
          <w:tcPr>
            <w:tcW w:type="dxa" w:w="2033"/>
            <w:shd w:fill="F2F6FA"/>
            <w:shd w:fill="F2F6FA"/>
            <w:shd w:fill="F2F6FA"/>
            <w:shd w:fill="F2F6FA"/>
            <w:shd w:fill="F2F6FA"/>
          </w:tcPr>
          <w:p>
            <w:pPr>
              <w:spacing w:after="40"/>
            </w:pPr>
            <w:r>
              <w:rPr>
                <w:sz w:val="16"/>
              </w:rPr>
              <w:t>Assign each region a quality/confidence state based on geometry support and planner diagnostics. A fallback may produce a candidate path only if standoff, surface-deviation, boundary, and collision checks can still be satisfied.</w:t>
            </w:r>
          </w:p>
        </w:tc>
        <w:tc>
          <w:tcPr>
            <w:tcW w:type="dxa" w:w="2033"/>
            <w:shd w:fill="F2F6FA"/>
            <w:shd w:fill="F2F6FA"/>
            <w:shd w:fill="F2F6FA"/>
            <w:shd w:fill="F2F6FA"/>
            <w:shd w:fill="F2F6FA"/>
          </w:tcPr>
          <w:p>
            <w:pPr>
              <w:spacing w:after="40"/>
            </w:pPr>
            <w:r>
              <w:rPr>
                <w:sz w:val="16"/>
              </w:rPr>
              <w:t>Medium: safety-oriented proposal; confidence thresholds are not yet defined.</w:t>
            </w:r>
          </w:p>
        </w:tc>
        <w:tc>
          <w:tcPr>
            <w:tcW w:type="dxa" w:w="2033"/>
            <w:shd w:fill="F2F6FA"/>
            <w:shd w:fill="F2F6FA"/>
            <w:shd w:fill="F2F6FA"/>
            <w:shd w:fill="F2F6FA"/>
            <w:shd w:fill="F2F6FA"/>
          </w:tcPr>
          <w:p>
            <w:pPr>
              <w:spacing w:after="40"/>
            </w:pPr>
            <w:r>
              <w:rPr>
                <w:sz w:val="16"/>
              </w:rPr>
              <w:t>Distinguish `candidate`, `accepted`, and `rejected/needs review` states. Never silently treat missing geometry as known surface.</w:t>
            </w:r>
          </w:p>
        </w:tc>
      </w:tr>
      <w:tr>
        <w:tc>
          <w:tcPr>
            <w:tcW w:type="dxa" w:w="2033"/>
          </w:tcPr>
          <w:p>
            <w:pPr>
              <w:spacing w:after="40"/>
            </w:pPr>
            <w:r>
              <w:rPr>
                <w:sz w:val="16"/>
              </w:rPr>
              <w:t>R18 — Path Quality Scoring</w:t>
            </w:r>
          </w:p>
        </w:tc>
        <w:tc>
          <w:tcPr>
            <w:tcW w:type="dxa" w:w="2033"/>
          </w:tcPr>
          <w:p>
            <w:pPr>
              <w:spacing w:after="40"/>
            </w:pPr>
            <w:r>
              <w:rPr>
                <w:sz w:val="16"/>
              </w:rPr>
              <w:t>Score the path before accepting it.</w:t>
            </w:r>
          </w:p>
        </w:tc>
        <w:tc>
          <w:tcPr>
            <w:tcW w:type="dxa" w:w="2033"/>
          </w:tcPr>
          <w:p>
            <w:pPr>
              <w:spacing w:after="40"/>
            </w:pPr>
            <w:r>
              <w:rPr>
                <w:sz w:val="16"/>
              </w:rPr>
              <w:t>Calculate separate metrics for straightness, smoothness, surface deviation, spacing consistency, orientation continuity, and process coverage. Use hard constraints for safety-critical limits; do not let a weighted score hide a hard failure.</w:t>
            </w:r>
          </w:p>
        </w:tc>
        <w:tc>
          <w:tcPr>
            <w:tcW w:type="dxa" w:w="2033"/>
          </w:tcPr>
          <w:p>
            <w:pPr>
              <w:spacing w:after="40"/>
            </w:pPr>
            <w:r>
              <w:rPr>
                <w:sz w:val="16"/>
              </w:rPr>
              <w:t>High for metric-based validation as a design principle; Low until scoring weights/thresholds are calibrated.</w:t>
            </w:r>
          </w:p>
        </w:tc>
        <w:tc>
          <w:tcPr>
            <w:tcW w:type="dxa" w:w="2033"/>
          </w:tcPr>
          <w:p>
            <w:pPr>
              <w:spacing w:after="40"/>
            </w:pPr>
            <w:r>
              <w:rPr>
                <w:sz w:val="16"/>
              </w:rPr>
              <w:t>Produce per-region reports and reasons for rejection. Test cases with one intentionally bad metric at a time.</w:t>
            </w:r>
          </w:p>
        </w:tc>
      </w:tr>
      <w:tr>
        <w:tc>
          <w:tcPr>
            <w:tcW w:type="dxa" w:w="2033"/>
            <w:shd w:fill="F2F6FA"/>
            <w:shd w:fill="F2F6FA"/>
            <w:shd w:fill="F2F6FA"/>
            <w:shd w:fill="F2F6FA"/>
            <w:shd w:fill="F2F6FA"/>
          </w:tcPr>
          <w:p>
            <w:pPr>
              <w:spacing w:after="40"/>
            </w:pPr>
            <w:r>
              <w:rPr>
                <w:sz w:val="16"/>
              </w:rPr>
              <w:t>R19 — Multi-Scale Geometry</w:t>
            </w:r>
          </w:p>
        </w:tc>
        <w:tc>
          <w:tcPr>
            <w:tcW w:type="dxa" w:w="2033"/>
            <w:shd w:fill="F2F6FA"/>
            <w:shd w:fill="F2F6FA"/>
            <w:shd w:fill="F2F6FA"/>
            <w:shd w:fill="F2F6FA"/>
            <w:shd w:fill="F2F6FA"/>
          </w:tcPr>
          <w:p>
            <w:pPr>
              <w:spacing w:after="40"/>
            </w:pPr>
            <w:r>
              <w:rPr>
                <w:sz w:val="16"/>
              </w:rPr>
              <w:t>Use broad shape for the main path; consult finer details only when needed.</w:t>
            </w:r>
          </w:p>
        </w:tc>
        <w:tc>
          <w:tcPr>
            <w:tcW w:type="dxa" w:w="2033"/>
            <w:shd w:fill="F2F6FA"/>
            <w:shd w:fill="F2F6FA"/>
            <w:shd w:fill="F2F6FA"/>
            <w:shd w:fill="F2F6FA"/>
            <w:shd w:fill="F2F6FA"/>
          </w:tcPr>
          <w:p>
            <w:pPr>
              <w:spacing w:after="40"/>
            </w:pPr>
            <w:r>
              <w:rPr>
                <w:sz w:val="16"/>
              </w:rPr>
              <w:t>Separate low-frequency shape from high-frequency mesh variation using a scale-aware representation. Preserve verified edges, recesses, and other protected features rather than smoothing them away.</w:t>
            </w:r>
          </w:p>
        </w:tc>
        <w:tc>
          <w:tcPr>
            <w:tcW w:type="dxa" w:w="2033"/>
            <w:shd w:fill="F2F6FA"/>
            <w:shd w:fill="F2F6FA"/>
            <w:shd w:fill="F2F6FA"/>
            <w:shd w:fill="F2F6FA"/>
            <w:shd w:fill="F2F6FA"/>
          </w:tcPr>
          <w:p>
            <w:pPr>
              <w:spacing w:after="40"/>
            </w:pPr>
            <w:r>
              <w:rPr>
                <w:sz w:val="16"/>
              </w:rPr>
              <w:t>Medium: proposed approach; scale selection depends on mesh and process.</w:t>
            </w:r>
          </w:p>
        </w:tc>
        <w:tc>
          <w:tcPr>
            <w:tcW w:type="dxa" w:w="2033"/>
            <w:shd w:fill="F2F6FA"/>
            <w:shd w:fill="F2F6FA"/>
            <w:shd w:fill="F2F6FA"/>
            <w:shd w:fill="F2F6FA"/>
            <w:shd w:fill="F2F6FA"/>
          </w:tcPr>
          <w:p>
            <w:pPr>
              <w:spacing w:after="40"/>
            </w:pPr>
            <w:r>
              <w:rPr>
                <w:sz w:val="16"/>
              </w:rPr>
              <w:t>Compare path results across mesh resolutions and noise perturbations. Verify that genuine features remain represented.</w:t>
            </w:r>
          </w:p>
        </w:tc>
      </w:tr>
      <w:tr>
        <w:tc>
          <w:tcPr>
            <w:tcW w:type="dxa" w:w="2033"/>
          </w:tcPr>
          <w:p>
            <w:pPr>
              <w:spacing w:after="40"/>
            </w:pPr>
            <w:r>
              <w:rPr>
                <w:sz w:val="16"/>
              </w:rPr>
              <w:t>R20 — Preview and Diagnostics</w:t>
            </w:r>
          </w:p>
        </w:tc>
        <w:tc>
          <w:tcPr>
            <w:tcW w:type="dxa" w:w="2033"/>
          </w:tcPr>
          <w:p>
            <w:pPr>
              <w:spacing w:after="40"/>
            </w:pPr>
            <w:r>
              <w:rPr>
                <w:sz w:val="16"/>
              </w:rPr>
              <w:t>Show where the mesh or path is unreliable before export.</w:t>
            </w:r>
          </w:p>
        </w:tc>
        <w:tc>
          <w:tcPr>
            <w:tcW w:type="dxa" w:w="2033"/>
          </w:tcPr>
          <w:p>
            <w:pPr>
              <w:spacing w:after="40"/>
            </w:pPr>
            <w:r>
              <w:rPr>
                <w:sz w:val="16"/>
              </w:rPr>
              <w:t>Expose geometry-quality regions, skipped areas, curvature spikes, spacing deviations, orientation jumps, and validation failures in the GUI or report.</w:t>
            </w:r>
          </w:p>
        </w:tc>
        <w:tc>
          <w:tcPr>
            <w:tcW w:type="dxa" w:w="2033"/>
          </w:tcPr>
          <w:p>
            <w:pPr>
              <w:spacing w:after="40"/>
            </w:pPr>
            <w:r>
              <w:rPr>
                <w:sz w:val="16"/>
              </w:rPr>
              <w:t>High as a usability/traceability requirement; UI implementation remains pending.</w:t>
            </w:r>
          </w:p>
        </w:tc>
        <w:tc>
          <w:tcPr>
            <w:tcW w:type="dxa" w:w="2033"/>
          </w:tcPr>
          <w:p>
            <w:pPr>
              <w:spacing w:after="40"/>
            </w:pPr>
            <w:r>
              <w:rPr>
                <w:sz w:val="16"/>
              </w:rPr>
              <w:t>Provide diagnostic reason codes and region/waypoint identifiers; test that each warning maps to a reproducible condition.</w:t>
            </w:r>
          </w:p>
        </w:tc>
      </w:tr>
    </w:tbl>
    <w:p/>
    <w:p>
      <w:pPr>
        <w:pStyle w:val="Heading1"/>
      </w:pPr>
      <w:r>
        <w:t>15. Straight-First, Quality-Gated Planning Policy</w:t>
      </w:r>
    </w:p>
    <w:p>
      <w:r>
        <w:t>The preferred order is: (1) estimate the broad surface shape; (2) choose the simplest locally straight pass direction; (3) bend the pass only as needed to follow meaningful surface curvature; (4) suppress small-scale mesh noise; (5) preserve real boundaries and protected features; (6) validate surface deviation, standoff, orientation and collisions; (7) accept, flag for review, or reject each region. This is a planning policy, not a claim that these steps already exist in the current code.</w:t>
      </w:r>
    </w:p>
    <w:p>
      <w:pPr>
        <w:pStyle w:val="Heading2"/>
      </w:pPr>
      <w:r>
        <w:t>15.1 Region decision table</w:t>
      </w:r>
    </w:p>
    <w:tbl>
      <w:tblPr>
        <w:tblStyle w:val="TableGrid"/>
        <w:tblW w:type="auto" w:w="0"/>
        <w:tblLook w:firstColumn="1" w:firstRow="1" w:lastColumn="0" w:lastRow="0" w:noHBand="0" w:noVBand="1" w:val="04A0"/>
      </w:tblPr>
      <w:tblGrid>
        <w:gridCol w:w="3389"/>
        <w:gridCol w:w="3389"/>
        <w:gridCol w:w="3389"/>
      </w:tblGrid>
      <w:tr>
        <w:tc>
          <w:tcPr>
            <w:tcW w:type="dxa" w:w="3389"/>
            <w:shd w:fill="245A81"/>
          </w:tcPr>
          <w:p>
            <w:r>
              <w:rPr>
                <w:b/>
                <w:color w:val="FFFFFF"/>
              </w:rPr>
              <w:t>Region condition</w:t>
            </w:r>
          </w:p>
        </w:tc>
        <w:tc>
          <w:tcPr>
            <w:tcW w:type="dxa" w:w="3389"/>
            <w:shd w:fill="245A81"/>
          </w:tcPr>
          <w:p>
            <w:r>
              <w:rPr>
                <w:b/>
                <w:color w:val="FFFFFF"/>
              </w:rPr>
              <w:t>Planner behavior</w:t>
            </w:r>
          </w:p>
        </w:tc>
        <w:tc>
          <w:tcPr>
            <w:tcW w:type="dxa" w:w="3389"/>
            <w:shd w:fill="245A81"/>
          </w:tcPr>
          <w:p>
            <w:r>
              <w:rPr>
                <w:b/>
                <w:color w:val="FFFFFF"/>
              </w:rPr>
              <w:t>Acceptance condition</w:t>
            </w:r>
          </w:p>
        </w:tc>
      </w:tr>
      <w:tr>
        <w:tc>
          <w:tcPr>
            <w:tcW w:type="dxa" w:w="3389"/>
          </w:tcPr>
          <w:p>
            <w:r>
              <w:rPr>
                <w:sz w:val="17"/>
              </w:rPr>
              <w:t>Clean, broad, nearly flat</w:t>
            </w:r>
          </w:p>
        </w:tc>
        <w:tc>
          <w:tcPr>
            <w:tcW w:type="dxa" w:w="3389"/>
          </w:tcPr>
          <w:p>
            <w:r>
              <w:rPr>
                <w:sz w:val="17"/>
              </w:rPr>
              <w:t>Generate straight, evenly spaced passes.</w:t>
            </w:r>
          </w:p>
        </w:tc>
        <w:tc>
          <w:tcPr>
            <w:tcW w:type="dxa" w:w="3389"/>
          </w:tcPr>
          <w:p>
            <w:r>
              <w:rPr>
                <w:sz w:val="17"/>
              </w:rPr>
              <w:t>Surface, standoff, orientation and coverage checks pass.</w:t>
            </w:r>
          </w:p>
        </w:tc>
      </w:tr>
      <w:tr>
        <w:tc>
          <w:tcPr>
            <w:tcW w:type="dxa" w:w="3389"/>
          </w:tcPr>
          <w:p>
            <w:r>
              <w:rPr>
                <w:sz w:val="17"/>
              </w:rPr>
              <w:t>Clean, broad, curved</w:t>
            </w:r>
          </w:p>
        </w:tc>
        <w:tc>
          <w:tcPr>
            <w:tcW w:type="dxa" w:w="3389"/>
          </w:tcPr>
          <w:p>
            <w:r>
              <w:rPr>
                <w:sz w:val="17"/>
              </w:rPr>
              <w:t>Generate smooth curved passes following the broad shape.</w:t>
            </w:r>
          </w:p>
        </w:tc>
        <w:tc>
          <w:tcPr>
            <w:tcW w:type="dxa" w:w="3389"/>
          </w:tcPr>
          <w:p>
            <w:r>
              <w:rPr>
                <w:sz w:val="17"/>
              </w:rPr>
              <w:t>Curvature remains continuous and surface deviation is within tolerance.</w:t>
            </w:r>
          </w:p>
        </w:tc>
      </w:tr>
      <w:tr>
        <w:tc>
          <w:tcPr>
            <w:tcW w:type="dxa" w:w="3389"/>
          </w:tcPr>
          <w:p>
            <w:r>
              <w:rPr>
                <w:sz w:val="17"/>
              </w:rPr>
              <w:t>Noisy but shape is recoverable</w:t>
            </w:r>
          </w:p>
        </w:tc>
        <w:tc>
          <w:tcPr>
            <w:tcW w:type="dxa" w:w="3389"/>
          </w:tcPr>
          <w:p>
            <w:r>
              <w:rPr>
                <w:sz w:val="17"/>
              </w:rPr>
              <w:t>Plan on a simplified representation; validate against original mesh.</w:t>
            </w:r>
          </w:p>
        </w:tc>
        <w:tc>
          <w:tcPr>
            <w:tcW w:type="dxa" w:w="3389"/>
          </w:tcPr>
          <w:p>
            <w:r>
              <w:rPr>
                <w:sz w:val="17"/>
              </w:rPr>
              <w:t>Original-mesh deviation and safety checks pass.</w:t>
            </w:r>
          </w:p>
        </w:tc>
      </w:tr>
      <w:tr>
        <w:tc>
          <w:tcPr>
            <w:tcW w:type="dxa" w:w="3389"/>
          </w:tcPr>
          <w:p>
            <w:r>
              <w:rPr>
                <w:sz w:val="17"/>
              </w:rPr>
              <w:t>Sharp edge or protected feature</w:t>
            </w:r>
          </w:p>
        </w:tc>
        <w:tc>
          <w:tcPr>
            <w:tcW w:type="dxa" w:w="3389"/>
          </w:tcPr>
          <w:p>
            <w:r>
              <w:rPr>
                <w:sz w:val="17"/>
              </w:rPr>
              <w:t>Split or constrain smoothing at the feature.</w:t>
            </w:r>
          </w:p>
        </w:tc>
        <w:tc>
          <w:tcPr>
            <w:tcW w:type="dxa" w:w="3389"/>
          </w:tcPr>
          <w:p>
            <w:r>
              <w:rPr>
                <w:sz w:val="17"/>
              </w:rPr>
              <w:t>Feature is retained and no unsafe orientation jump is introduced.</w:t>
            </w:r>
          </w:p>
        </w:tc>
      </w:tr>
      <w:tr>
        <w:tc>
          <w:tcPr>
            <w:tcW w:type="dxa" w:w="3389"/>
          </w:tcPr>
          <w:p>
            <w:r>
              <w:rPr>
                <w:sz w:val="17"/>
              </w:rPr>
              <w:t>Hole, disconnected patch, or exclusion</w:t>
            </w:r>
          </w:p>
        </w:tc>
        <w:tc>
          <w:tcPr>
            <w:tcW w:type="dxa" w:w="3389"/>
          </w:tcPr>
          <w:p>
            <w:r>
              <w:rPr>
                <w:sz w:val="17"/>
              </w:rPr>
              <w:t>Stop/split the paint path; plan a separate safe transit if appropriate.</w:t>
            </w:r>
          </w:p>
        </w:tc>
        <w:tc>
          <w:tcPr>
            <w:tcW w:type="dxa" w:w="3389"/>
          </w:tcPr>
          <w:p>
            <w:r>
              <w:rPr>
                <w:sz w:val="17"/>
              </w:rPr>
              <w:t>No paint-on connector crosses the excluded region.</w:t>
            </w:r>
          </w:p>
        </w:tc>
      </w:tr>
      <w:tr>
        <w:tc>
          <w:tcPr>
            <w:tcW w:type="dxa" w:w="3389"/>
          </w:tcPr>
          <w:p>
            <w:r>
              <w:rPr>
                <w:sz w:val="17"/>
              </w:rPr>
              <w:t>Missing/ambiguous geometry</w:t>
            </w:r>
          </w:p>
        </w:tc>
        <w:tc>
          <w:tcPr>
            <w:tcW w:type="dxa" w:w="3389"/>
          </w:tcPr>
          <w:p>
            <w:r>
              <w:rPr>
                <w:sz w:val="17"/>
              </w:rPr>
              <w:t>Flag for review or skip; approximate only with independent validated support.</w:t>
            </w:r>
          </w:p>
        </w:tc>
        <w:tc>
          <w:tcPr>
            <w:tcW w:type="dxa" w:w="3389"/>
          </w:tcPr>
          <w:p>
            <w:r>
              <w:rPr>
                <w:sz w:val="17"/>
              </w:rPr>
              <w:t>No region accepted solely on an unsupported guess.</w:t>
            </w:r>
          </w:p>
        </w:tc>
      </w:tr>
    </w:tbl>
    <w:p>
      <w:pPr>
        <w:pStyle w:val="Heading2"/>
      </w:pPr>
      <w:r>
        <w:t>15.2 Proposed quality gates</w:t>
      </w:r>
    </w:p>
    <w:p>
      <w:pPr>
        <w:pStyle w:val="ListBullet"/>
      </w:pPr>
      <w:r>
        <w:t>Geometry gate: identify unreliable areas and retain a traceable map of the evidence used.</w:t>
      </w:r>
    </w:p>
    <w:p>
      <w:pPr>
        <w:pStyle w:val="ListBullet"/>
      </w:pPr>
      <w:r>
        <w:t>Shape gate: ensure simplification has not removed protected geometry or exceeded a defined deviation.</w:t>
      </w:r>
    </w:p>
    <w:p>
      <w:pPr>
        <w:pStyle w:val="ListBullet"/>
      </w:pPr>
      <w:r>
        <w:t>Path gate: report straightness, smoothness, lane pitch, and endpoint/transition regularity.</w:t>
      </w:r>
    </w:p>
    <w:p>
      <w:pPr>
        <w:pStyle w:val="ListBullet"/>
      </w:pPr>
      <w:r>
        <w:t>Process gate: verify tool orientation, standoff, paint-on/off state, and required motion semantics.</w:t>
      </w:r>
    </w:p>
    <w:p>
      <w:pPr>
        <w:pStyle w:val="ListBullet"/>
      </w:pPr>
      <w:r>
        <w:t>Safety gate: check collision and reachability with the actual robot/tool model where available.</w:t>
      </w:r>
    </w:p>
    <w:p>
      <w:pPr>
        <w:pStyle w:val="ListBullet"/>
      </w:pPr>
      <w:r>
        <w:t>Export gate: do not silently export rejected or unreviewed regions as production-ready paths.</w:t>
      </w:r>
    </w:p>
    <w:p>
      <w:pPr>
        <w:pStyle w:val="Heading1"/>
      </w:pPr>
      <w:r>
        <w:t>16. Formula additions for the new rules</w:t>
      </w:r>
    </w:p>
    <w:p>
      <w:r>
        <w:t>These formulas are candidate metrics for implementation and diagnostics. They do not prescribe universal thresholds; calibrate those thresholds against actual reference paths, mesh quality, coating requirements, and robot constraints.</w:t>
      </w:r>
    </w:p>
    <w:p>
      <w:pPr>
        <w:pStyle w:val="Heading3"/>
      </w:pPr>
      <w:r>
        <w:t>F48 — Relative edge-length variation</w:t>
      </w:r>
    </w:p>
    <w:p>
      <w:r>
        <w:rPr>
          <w:rFonts w:ascii="Cambria Math" w:hAnsi="Cambria Math"/>
          <w:b/>
        </w:rPr>
        <w:t>CV_l = std(l_e) / mean(l_e)</w:t>
      </w:r>
    </w:p>
    <w:p>
      <w:r>
        <w:rPr>
          <w:b/>
        </w:rPr>
        <w:t xml:space="preserve">Simple meaning: </w:t>
      </w:r>
      <w:r>
        <w:t>Shows how uneven the mesh edge lengths are locally.</w:t>
      </w:r>
    </w:p>
    <w:p>
      <w:r>
        <w:rPr>
          <w:b/>
        </w:rPr>
        <w:t xml:space="preserve">Technical meaning: </w:t>
      </w:r>
      <w:r>
        <w:t>A local coefficient of variation for edge lengths; high values can indicate mixed sampling density but are not proof of bad geometry.</w:t>
      </w:r>
    </w:p>
    <w:p>
      <w:r>
        <w:rPr>
          <w:b/>
        </w:rPr>
        <w:t xml:space="preserve">Confidence: </w:t>
      </w:r>
      <w:r>
        <w:t>Medium; proposed indicator.</w:t>
      </w:r>
    </w:p>
    <w:p>
      <w:r>
        <w:rPr>
          <w:b/>
        </w:rPr>
        <w:t xml:space="preserve">Implementation: </w:t>
      </w:r>
      <w:r>
        <w:t>Calculate per region and compare with known clean/noisy examples; avoid using it as the sole rejection criterion.</w:t>
      </w:r>
    </w:p>
    <w:p>
      <w:pPr>
        <w:pStyle w:val="Heading3"/>
      </w:pPr>
      <w:r>
        <w:t>F49 — Neighbor-normal variation</w:t>
      </w:r>
    </w:p>
    <w:p>
      <w:r>
        <w:rPr>
          <w:rFonts w:ascii="Cambria Math" w:hAnsi="Cambria Math"/>
          <w:b/>
        </w:rPr>
        <w:t>θ_ij = acos(clamp(n_i · n_j, −1, 1))</w:t>
      </w:r>
    </w:p>
    <w:p>
      <w:r>
        <w:rPr>
          <w:b/>
        </w:rPr>
        <w:t xml:space="preserve">Simple meaning: </w:t>
      </w:r>
      <w:r>
        <w:t>Measures the angle between neighboring face normals.</w:t>
      </w:r>
    </w:p>
    <w:p>
      <w:r>
        <w:rPr>
          <w:b/>
        </w:rPr>
        <w:t xml:space="preserve">Technical meaning: </w:t>
      </w:r>
      <w:r>
        <w:t>Local normal-angle variation can identify sharp features or noisy triangulation; topology and scale must be considered.</w:t>
      </w:r>
    </w:p>
    <w:p>
      <w:r>
        <w:rPr>
          <w:b/>
        </w:rPr>
        <w:t xml:space="preserve">Confidence: </w:t>
      </w:r>
      <w:r>
        <w:t>High as a metric; Medium as a noise detector.</w:t>
      </w:r>
    </w:p>
    <w:p>
      <w:r>
        <w:rPr>
          <w:b/>
        </w:rPr>
        <w:t xml:space="preserve">Implementation: </w:t>
      </w:r>
      <w:r>
        <w:t>Separate coherent sharp edges from irregular high-frequency normal changes.</w:t>
      </w:r>
    </w:p>
    <w:p>
      <w:pPr>
        <w:pStyle w:val="Heading3"/>
      </w:pPr>
      <w:r>
        <w:t>F50 — Simplification deviation</w:t>
      </w:r>
    </w:p>
    <w:p>
      <w:r>
        <w:rPr>
          <w:rFonts w:ascii="Cambria Math" w:hAnsi="Cambria Math"/>
          <w:b/>
        </w:rPr>
        <w:t>E_simp,max = max_i dist(v_i, M_s)</w:t>
      </w:r>
    </w:p>
    <w:p>
      <w:r>
        <w:rPr>
          <w:b/>
        </w:rPr>
        <w:t xml:space="preserve">Simple meaning: </w:t>
      </w:r>
      <w:r>
        <w:t>Measures how far original mesh samples are from the simplified mesh.</w:t>
      </w:r>
    </w:p>
    <w:p>
      <w:r>
        <w:rPr>
          <w:b/>
        </w:rPr>
        <w:t xml:space="preserve">Technical meaning: </w:t>
      </w:r>
      <w:r>
        <w:t>Maximum distance from original vertices/samples to simplified surface M_s; also consider reverse-direction distance to avoid one-sided error.</w:t>
      </w:r>
    </w:p>
    <w:p>
      <w:r>
        <w:rPr>
          <w:b/>
        </w:rPr>
        <w:t xml:space="preserve">Confidence: </w:t>
      </w:r>
      <w:r>
        <w:t>High as a metric; tolerance unvalidated.</w:t>
      </w:r>
    </w:p>
    <w:p>
      <w:r>
        <w:rPr>
          <w:b/>
        </w:rPr>
        <w:t xml:space="preserve">Implementation: </w:t>
      </w:r>
      <w:r>
        <w:t>Check both directions and protect edges/features.</w:t>
      </w:r>
    </w:p>
    <w:p>
      <w:pPr>
        <w:pStyle w:val="Heading3"/>
      </w:pPr>
      <w:r>
        <w:t>F51 — Straightness objective</w:t>
      </w:r>
    </w:p>
    <w:p>
      <w:r>
        <w:rPr>
          <w:rFonts w:ascii="Cambria Math" w:hAnsi="Cambria Math"/>
          <w:b/>
        </w:rPr>
        <w:t>E_straight = (1/n) Σ e_i²</w:t>
      </w:r>
    </w:p>
    <w:p>
      <w:r>
        <w:rPr>
          <w:b/>
        </w:rPr>
        <w:t xml:space="preserve">Simple meaning: </w:t>
      </w:r>
      <w:r>
        <w:t>Rewards a pass that stays close to its nominal straight line.</w:t>
      </w:r>
    </w:p>
    <w:p>
      <w:r>
        <w:rPr>
          <w:b/>
        </w:rPr>
        <w:t xml:space="preserve">Technical meaning: </w:t>
      </w:r>
      <w:r>
        <w:t>Mean squared perpendicular deviation, subject to surface and safety constraints.</w:t>
      </w:r>
    </w:p>
    <w:p>
      <w:r>
        <w:rPr>
          <w:b/>
        </w:rPr>
        <w:t xml:space="preserve">Confidence: </w:t>
      </w:r>
      <w:r>
        <w:t>Medium; objective weights unvalidated.</w:t>
      </w:r>
    </w:p>
    <w:p>
      <w:r>
        <w:rPr>
          <w:b/>
        </w:rPr>
        <w:t xml:space="preserve">Implementation: </w:t>
      </w:r>
      <w:r>
        <w:t>Never optimize this term alone; pair with surface conformity and maximum-deviation constraints.</w:t>
      </w:r>
    </w:p>
    <w:p>
      <w:pPr>
        <w:pStyle w:val="Heading3"/>
      </w:pPr>
      <w:r>
        <w:t>F52 — Curvature-change penalty</w:t>
      </w:r>
    </w:p>
    <w:p>
      <w:r>
        <w:rPr>
          <w:rFonts w:ascii="Cambria Math" w:hAnsi="Cambria Math"/>
          <w:b/>
        </w:rPr>
        <w:t>E_κ = Σ (κ_(i+1) − κ_i)²</w:t>
      </w:r>
    </w:p>
    <w:p>
      <w:r>
        <w:rPr>
          <w:b/>
        </w:rPr>
        <w:t xml:space="preserve">Simple meaning: </w:t>
      </w:r>
      <w:r>
        <w:t>Penalizes sudden changes in bending.</w:t>
      </w:r>
    </w:p>
    <w:p>
      <w:r>
        <w:rPr>
          <w:b/>
        </w:rPr>
        <w:t xml:space="preserve">Technical meaning: </w:t>
      </w:r>
      <w:r>
        <w:t>Discrete curvature variation penalty for arc-length-resampled points.</w:t>
      </w:r>
    </w:p>
    <w:p>
      <w:r>
        <w:rPr>
          <w:b/>
        </w:rPr>
        <w:t xml:space="preserve">Confidence: </w:t>
      </w:r>
      <w:r>
        <w:t>Medium; numerical form needs careful discretization.</w:t>
      </w:r>
    </w:p>
    <w:p>
      <w:r>
        <w:rPr>
          <w:b/>
        </w:rPr>
        <w:t xml:space="preserve">Implementation: </w:t>
      </w:r>
      <w:r>
        <w:t>Use consistent sampling and retain real boundaries; do not smooth across region breaks.</w:t>
      </w:r>
    </w:p>
    <w:p>
      <w:pPr>
        <w:pStyle w:val="Heading3"/>
      </w:pPr>
      <w:r>
        <w:t>F53 — Lane-spacing variation</w:t>
      </w:r>
    </w:p>
    <w:p>
      <w:r>
        <w:rPr>
          <w:rFonts w:ascii="Cambria Math" w:hAnsi="Cambria Math"/>
          <w:b/>
        </w:rPr>
        <w:t>σ_Δ = std(Δ_k)</w:t>
      </w:r>
    </w:p>
    <w:p>
      <w:r>
        <w:rPr>
          <w:b/>
        </w:rPr>
        <w:t xml:space="preserve">Simple meaning: </w:t>
      </w:r>
      <w:r>
        <w:t>Measures how inconsistent neighboring pass spacing is.</w:t>
      </w:r>
    </w:p>
    <w:p>
      <w:r>
        <w:rPr>
          <w:b/>
        </w:rPr>
        <w:t xml:space="preserve">Technical meaning: </w:t>
      </w:r>
      <w:r>
        <w:t>Standard deviation of measured local lane pitch within a region.</w:t>
      </w:r>
    </w:p>
    <w:p>
      <w:r>
        <w:rPr>
          <w:b/>
        </w:rPr>
        <w:t xml:space="preserve">Confidence: </w:t>
      </w:r>
      <w:r>
        <w:t>High as a metric; interpretation depends on curvature and boundaries.</w:t>
      </w:r>
    </w:p>
    <w:p>
      <w:r>
        <w:rPr>
          <w:b/>
        </w:rPr>
        <w:t xml:space="preserve">Implementation: </w:t>
      </w:r>
      <w:r>
        <w:t>Compare within coherent regions and allow deliberate boundary adaptation.</w:t>
      </w:r>
    </w:p>
    <w:p>
      <w:pPr>
        <w:pStyle w:val="Heading3"/>
      </w:pPr>
      <w:r>
        <w:t>F54 — Multi-objective path score</w:t>
      </w:r>
    </w:p>
    <w:p>
      <w:r>
        <w:rPr>
          <w:rFonts w:ascii="Cambria Math" w:hAnsi="Cambria Math"/>
          <w:b/>
        </w:rPr>
        <w:t>J = w_s E_straight + w_c E_κ + w_m E_surface + w_p E_pitch</w:t>
      </w:r>
    </w:p>
    <w:p>
      <w:r>
        <w:rPr>
          <w:b/>
        </w:rPr>
        <w:t xml:space="preserve">Simple meaning: </w:t>
      </w:r>
      <w:r>
        <w:t>Balances straightness, smoothness, surface fit and lane regularity.</w:t>
      </w:r>
    </w:p>
    <w:p>
      <w:r>
        <w:rPr>
          <w:b/>
        </w:rPr>
        <w:t xml:space="preserve">Technical meaning: </w:t>
      </w:r>
      <w:r>
        <w:t>Weighted score for ranking candidate paths; terms should be normalized and hard safety constraints remain separate.</w:t>
      </w:r>
    </w:p>
    <w:p>
      <w:r>
        <w:rPr>
          <w:b/>
        </w:rPr>
        <w:t xml:space="preserve">Confidence: </w:t>
      </w:r>
      <w:r>
        <w:t>Low until calibrated.</w:t>
      </w:r>
    </w:p>
    <w:p>
      <w:r>
        <w:rPr>
          <w:b/>
        </w:rPr>
        <w:t xml:space="preserve">Implementation: </w:t>
      </w:r>
      <w:r>
        <w:t>Store each component separately so a good aggregate cannot hide a bad surface or safety metric.</w:t>
      </w:r>
    </w:p>
    <w:p>
      <w:pPr>
        <w:pStyle w:val="Heading3"/>
      </w:pPr>
      <w:r>
        <w:t>F55 — Region confidence</w:t>
      </w:r>
    </w:p>
    <w:p>
      <w:r>
        <w:rPr>
          <w:rFonts w:ascii="Cambria Math" w:hAnsi="Cambria Math"/>
          <w:b/>
        </w:rPr>
        <w:t>Q_r = f(Q_mesh, E_surface, E_smooth, E_orientation, Q_safety)</w:t>
      </w:r>
    </w:p>
    <w:p>
      <w:r>
        <w:rPr>
          <w:b/>
        </w:rPr>
        <w:t xml:space="preserve">Simple meaning: </w:t>
      </w:r>
      <w:r>
        <w:t>Combines evidence about whether a region is trustworthy enough to accept.</w:t>
      </w:r>
    </w:p>
    <w:p>
      <w:r>
        <w:rPr>
          <w:b/>
        </w:rPr>
        <w:t xml:space="preserve">Technical meaning: </w:t>
      </w:r>
      <w:r>
        <w:t>A policy-based quality state or calibrated score from mesh and path metrics; no universal formula for f is assumed.</w:t>
      </w:r>
    </w:p>
    <w:p>
      <w:r>
        <w:rPr>
          <w:b/>
        </w:rPr>
        <w:t xml:space="preserve">Confidence: </w:t>
      </w:r>
      <w:r>
        <w:t>Low until designed and tested.</w:t>
      </w:r>
    </w:p>
    <w:p>
      <w:r>
        <w:rPr>
          <w:b/>
        </w:rPr>
        <w:t xml:space="preserve">Implementation: </w:t>
      </w:r>
      <w:r>
        <w:t>Prefer explicit pass/fail gates and reason codes before introducing a single opaque score.</w:t>
      </w:r>
    </w:p>
    <w:p>
      <w:pPr>
        <w:pStyle w:val="Heading1"/>
      </w:pPr>
      <w:r>
        <w:t>17. Revised implementation roadmap additions</w:t>
      </w:r>
    </w:p>
    <w:p>
      <w:pPr>
        <w:pStyle w:val="ListNumber"/>
      </w:pPr>
      <w:r>
        <w:t>Add a mesh-quality analysis stage before lane generation; visualize quality warnings by region.</w:t>
      </w:r>
    </w:p>
    <w:p>
      <w:pPr>
        <w:pStyle w:val="ListNumber"/>
      </w:pPr>
      <w:r>
        <w:t>Add a simplified planning surface while retaining the original mesh for deviation validation.</w:t>
      </w:r>
    </w:p>
    <w:p>
      <w:pPr>
        <w:pStyle w:val="ListNumber"/>
      </w:pPr>
      <w:r>
        <w:t>Add straightness-first candidate generation with bounded surface deviation and curvature-change checks.</w:t>
      </w:r>
    </w:p>
    <w:p>
      <w:pPr>
        <w:pStyle w:val="ListNumber"/>
      </w:pPr>
      <w:r>
        <w:t>Add boundary/protected-feature handling and a confidence-based region accept/reject state.</w:t>
      </w:r>
    </w:p>
    <w:p>
      <w:pPr>
        <w:pStyle w:val="ListNumber"/>
      </w:pPr>
      <w:r>
        <w:t>Add quality report fields for straightness, smoothness, pitch variation, surface deviation, orientation continuity, and reasons for skipped regions.</w:t>
      </w:r>
    </w:p>
    <w:p>
      <w:pPr>
        <w:pStyle w:val="ListNumber"/>
      </w:pPr>
      <w:r>
        <w:t>Test the same geometry at multiple tessellation densities and with controlled mesh noise; generated paths should remain broadly stable.</w:t>
      </w:r>
    </w:p>
    <w:p>
      <w:pPr>
        <w:pStyle w:val="ListNumber"/>
      </w:pPr>
      <w:r>
        <w:t>Only promote thresholds to production defaults after comparison against multiple engineer-created OLP paths and matching meshes.</w:t>
      </w:r>
    </w:p>
    <w:p>
      <w:r>
        <w:t>Status note: the original specification and these additions describe a proposed design. The old-version screenshots do not prove the new rules have been implemented. No source code has been changed; this update only revises the Word document.</w:t>
      </w:r>
    </w:p>
    <w:p>
      <w:r>
        <w:br w:type="page"/>
      </w:r>
    </w:p>
    <w:p>
      <w:pPr>
        <w:pStyle w:val="Heading1"/>
      </w:pPr>
      <w:r>
        <w:t>18. Outer-Surface-Only Path Generation and Mesh-Penetration Prevention</w:t>
      </w:r>
    </w:p>
    <w:p>
      <w:r>
        <w:t>Requirement: Mesh Flow must generate painting paths only on the intended outer/top target surface, must not generate paths beneath the target layer, and must prevent path segments and robot/tool geometry from penetrating or colliding with the mesh. These are proposed requirements, not implemented or validated behavior.</w:t>
      </w:r>
    </w:p>
    <w:p>
      <w:pPr>
        <w:pStyle w:val="Heading2"/>
      </w:pPr>
      <w:r>
        <w:t>18.1 Surface-membership constraint</w:t>
      </w:r>
    </w:p>
    <w:p>
      <w:r>
        <w:t>Equation: d(pᵢ, S_target) ≤ εₛ</w:t>
      </w:r>
    </w:p>
    <w:p>
      <w:r>
        <w:t>Simple meaning: every painting-path point must remain within an allowed distance εₛ of the intended target surface.</w:t>
      </w:r>
    </w:p>
    <w:p>
      <w:r>
        <w:t>Technical meaning: calculate closest-point-on-triangle distance to the selected target surface. Use the original mesh for final checking even if a simplified surface is used for planning. Confidence: High for the constraint; εₛ must be calibrated.</w:t>
      </w:r>
    </w:p>
    <w:p>
      <w:pPr>
        <w:pStyle w:val="Heading2"/>
      </w:pPr>
      <w:r>
        <w:t>18.2 Inside/outside classification</w:t>
      </w:r>
    </w:p>
    <w:p>
      <w:r>
        <w:t>Equation: I(p) = 1 if p is inside M; otherwise I(p) = 0. Require I(pᵢ) = 0.</w:t>
      </w:r>
    </w:p>
    <w:p>
      <w:r>
        <w:t>Simple meaning: reject path points inside the solid mesh. Technical meaning: use a robust point-in-mesh or signed-distance test only when the mesh supports reliable inside/outside classification. Open, self-intersecting, non-manifold, or incomplete meshes may make this test unreliable. Confidence: High for valid closed meshes; low for defective meshes.</w:t>
      </w:r>
    </w:p>
    <w:p>
      <w:pPr>
        <w:pStyle w:val="Heading2"/>
      </w:pPr>
      <w:r>
        <w:t>18.3 Segment-level non-penetration</w:t>
      </w:r>
    </w:p>
    <w:p>
      <w:r>
        <w:t>Equation: x(t) = (1 − t)pᵢ + t pᵢ₊₁,  0 ≤ t ≤ 1; require x(t) ∉ Interior(M) along every segment intended to remain outside.</w:t>
      </w:r>
    </w:p>
    <w:p>
      <w:r>
        <w:t>Simple meaning: checking only endpoints is not enough; the connection between them must not pass through the mesh. Technical meaning: check segment/triangle intersections and validate the actual interpolated robot trajectory where it differs from a straight chord. Confidence: High as a geometric requirement.</w:t>
      </w:r>
    </w:p>
    <w:p>
      <w:pPr>
        <w:pStyle w:val="Heading2"/>
      </w:pPr>
      <w:r>
        <w:t>18.4 Outward TCP standoff</w:t>
      </w:r>
    </w:p>
    <w:p>
      <w:r>
        <w:t>Equation: p_TCP,i = qᵢ + h n̂ᵢ,  h &gt; 0.</w:t>
      </w:r>
    </w:p>
    <w:p>
      <w:r>
        <w:t>Simple meaning: position the gun outside the target at the requested distance. Technical meaning: qᵢ is the surface point, n̂ᵢ is a verified outward unit normal, and h is standoff. Verify normal orientation, tool convention, and TCP calibration. Confidence: Medium until conventions are verified.</w:t>
      </w:r>
    </w:p>
    <w:p>
      <w:pPr>
        <w:pStyle w:val="Heading2"/>
      </w:pPr>
      <w:r>
        <w:t>18.5 Optional facing-direction filter</w:t>
      </w:r>
    </w:p>
    <w:p>
      <w:r>
        <w:t>Equation: n̂ᵢ · v̂ ≥ τ.</w:t>
      </w:r>
    </w:p>
    <w:p>
      <w:r>
        <w:t>Simple meaning: where a meaningful local facing direction v̂ is known, use it to help select the intended outer-facing surface. Technical meaning: τ is a threshold. This is not a universal top-surface test for curved bodies; prefer an explicitly selected target region when available. Confidence: Medium for a defined local direction.</w:t>
      </w:r>
    </w:p>
    <w:p>
      <w:pPr>
        <w:pStyle w:val="Heading2"/>
      </w:pPr>
      <w:r>
        <w:t>18.6 Tool and robot collision checks</w:t>
      </w:r>
    </w:p>
    <w:p>
      <w:r>
        <w:t>The TCP alone is not enough to prove collision freedom. Check the gun/tool body and robot links over the complete painting, approach, retract, and transition motions, using the actual robot model and controller motion assumptions where available. Block production export if a hard collision check fails.</w:t>
      </w:r>
    </w:p>
    <w:p>
      <w:pPr>
        <w:pStyle w:val="Heading2"/>
      </w:pPr>
      <w:r>
        <w:t>18.7 Acceptance and failure behavior</w:t>
      </w:r>
    </w:p>
    <w:tbl>
      <w:tblPr>
        <w:tblStyle w:val="TableGrid"/>
        <w:tblW w:type="auto" w:w="0"/>
        <w:tblLook w:firstColumn="1" w:firstRow="1" w:lastColumn="0" w:lastRow="0" w:noHBand="0" w:noVBand="1" w:val="04A0"/>
      </w:tblPr>
      <w:tblGrid>
        <w:gridCol w:w="3389"/>
        <w:gridCol w:w="3389"/>
        <w:gridCol w:w="3389"/>
      </w:tblGrid>
      <w:tr>
        <w:tc>
          <w:tcPr>
            <w:tcW w:type="dxa" w:w="3389"/>
            <w:shd w:fill="245A81"/>
          </w:tcPr>
          <w:p>
            <w:pPr>
              <w:spacing w:after="40"/>
            </w:pPr>
            <w:r>
              <w:rPr>
                <w:b/>
                <w:color w:val="FFFFFF"/>
                <w:sz w:val="16"/>
              </w:rPr>
              <w:t>Check</w:t>
            </w:r>
          </w:p>
        </w:tc>
        <w:tc>
          <w:tcPr>
            <w:tcW w:type="dxa" w:w="3389"/>
            <w:shd w:fill="245A81"/>
          </w:tcPr>
          <w:p>
            <w:pPr>
              <w:spacing w:after="40"/>
            </w:pPr>
            <w:r>
              <w:rPr>
                <w:b/>
                <w:color w:val="FFFFFF"/>
                <w:sz w:val="16"/>
              </w:rPr>
              <w:t>Acceptance condition</w:t>
            </w:r>
          </w:p>
        </w:tc>
        <w:tc>
          <w:tcPr>
            <w:tcW w:type="dxa" w:w="3389"/>
            <w:shd w:fill="245A81"/>
          </w:tcPr>
          <w:p>
            <w:pPr>
              <w:spacing w:after="40"/>
            </w:pPr>
            <w:r>
              <w:rPr>
                <w:b/>
                <w:color w:val="FFFFFF"/>
                <w:sz w:val="16"/>
              </w:rPr>
              <w:t>Failure behavior</w:t>
            </w:r>
          </w:p>
        </w:tc>
      </w:tr>
      <w:tr>
        <w:tc>
          <w:tcPr>
            <w:tcW w:type="dxa" w:w="3389"/>
          </w:tcPr>
          <w:p>
            <w:pPr>
              <w:spacing w:after="40"/>
            </w:pPr>
            <w:r>
              <w:rPr>
                <w:sz w:val="16"/>
              </w:rPr>
              <w:t>Target surface</w:t>
            </w:r>
          </w:p>
        </w:tc>
        <w:tc>
          <w:tcPr>
            <w:tcW w:type="dxa" w:w="3389"/>
          </w:tcPr>
          <w:p>
            <w:pPr>
              <w:spacing w:after="40"/>
            </w:pPr>
            <w:r>
              <w:rPr>
                <w:sz w:val="16"/>
              </w:rPr>
              <w:t>Points remain within εₛ of selected target surface.</w:t>
            </w:r>
          </w:p>
        </w:tc>
        <w:tc>
          <w:tcPr>
            <w:tcW w:type="dxa" w:w="3389"/>
          </w:tcPr>
          <w:p>
            <w:pPr>
              <w:spacing w:after="40"/>
            </w:pPr>
            <w:r>
              <w:rPr>
                <w:sz w:val="16"/>
              </w:rPr>
              <w:t>Reject/regenerate affected region.</w:t>
            </w:r>
          </w:p>
        </w:tc>
      </w:tr>
      <w:tr>
        <w:tc>
          <w:tcPr>
            <w:tcW w:type="dxa" w:w="3389"/>
          </w:tcPr>
          <w:p>
            <w:pPr>
              <w:spacing w:after="40"/>
            </w:pPr>
            <w:r>
              <w:rPr>
                <w:sz w:val="16"/>
              </w:rPr>
              <w:t>Inside/outside</w:t>
            </w:r>
          </w:p>
        </w:tc>
        <w:tc>
          <w:tcPr>
            <w:tcW w:type="dxa" w:w="3389"/>
          </w:tcPr>
          <w:p>
            <w:pPr>
              <w:spacing w:after="40"/>
            </w:pPr>
            <w:r>
              <w:rPr>
                <w:sz w:val="16"/>
              </w:rPr>
              <w:t>Mesh supports reliable classification; paint points are outside solid.</w:t>
            </w:r>
          </w:p>
        </w:tc>
        <w:tc>
          <w:tcPr>
            <w:tcW w:type="dxa" w:w="3389"/>
          </w:tcPr>
          <w:p>
            <w:pPr>
              <w:spacing w:after="40"/>
            </w:pPr>
            <w:r>
              <w:rPr>
                <w:sz w:val="16"/>
              </w:rPr>
              <w:t>Flag ambiguous mesh; do not claim safety.</w:t>
            </w:r>
          </w:p>
        </w:tc>
      </w:tr>
      <w:tr>
        <w:tc>
          <w:tcPr>
            <w:tcW w:type="dxa" w:w="3389"/>
          </w:tcPr>
          <w:p>
            <w:pPr>
              <w:spacing w:after="40"/>
            </w:pPr>
            <w:r>
              <w:rPr>
                <w:sz w:val="16"/>
              </w:rPr>
              <w:t>Whole segment</w:t>
            </w:r>
          </w:p>
        </w:tc>
        <w:tc>
          <w:tcPr>
            <w:tcW w:type="dxa" w:w="3389"/>
          </w:tcPr>
          <w:p>
            <w:pPr>
              <w:spacing w:after="40"/>
            </w:pPr>
            <w:r>
              <w:rPr>
                <w:sz w:val="16"/>
              </w:rPr>
              <w:t>No segment penetrates mesh interior.</w:t>
            </w:r>
          </w:p>
        </w:tc>
        <w:tc>
          <w:tcPr>
            <w:tcW w:type="dxa" w:w="3389"/>
          </w:tcPr>
          <w:p>
            <w:pPr>
              <w:spacing w:after="40"/>
            </w:pPr>
            <w:r>
              <w:rPr>
                <w:sz w:val="16"/>
              </w:rPr>
              <w:t>Reject segment and report waypoint IDs.</w:t>
            </w:r>
          </w:p>
        </w:tc>
      </w:tr>
      <w:tr>
        <w:tc>
          <w:tcPr>
            <w:tcW w:type="dxa" w:w="3389"/>
          </w:tcPr>
          <w:p>
            <w:pPr>
              <w:spacing w:after="40"/>
            </w:pPr>
            <w:r>
              <w:rPr>
                <w:sz w:val="16"/>
              </w:rPr>
              <w:t>Outward standoff</w:t>
            </w:r>
          </w:p>
        </w:tc>
        <w:tc>
          <w:tcPr>
            <w:tcW w:type="dxa" w:w="3389"/>
          </w:tcPr>
          <w:p>
            <w:pPr>
              <w:spacing w:after="40"/>
            </w:pPr>
            <w:r>
              <w:rPr>
                <w:sz w:val="16"/>
              </w:rPr>
              <w:t>TCP is offset outward and within standoff tolerance.</w:t>
            </w:r>
          </w:p>
        </w:tc>
        <w:tc>
          <w:tcPr>
            <w:tcW w:type="dxa" w:w="3389"/>
          </w:tcPr>
          <w:p>
            <w:pPr>
              <w:spacing w:after="40"/>
            </w:pPr>
            <w:r>
              <w:rPr>
                <w:sz w:val="16"/>
              </w:rPr>
              <w:t>Flag normal/frame uncertainty.</w:t>
            </w:r>
          </w:p>
        </w:tc>
      </w:tr>
      <w:tr>
        <w:tc>
          <w:tcPr>
            <w:tcW w:type="dxa" w:w="3389"/>
          </w:tcPr>
          <w:p>
            <w:pPr>
              <w:spacing w:after="40"/>
            </w:pPr>
            <w:r>
              <w:rPr>
                <w:sz w:val="16"/>
              </w:rPr>
              <w:t>Outer surface selection</w:t>
            </w:r>
          </w:p>
        </w:tc>
        <w:tc>
          <w:tcPr>
            <w:tcW w:type="dxa" w:w="3389"/>
          </w:tcPr>
          <w:p>
            <w:pPr>
              <w:spacing w:after="40"/>
            </w:pPr>
            <w:r>
              <w:rPr>
                <w:sz w:val="16"/>
              </w:rPr>
              <w:t>Path belongs to explicitly selected or reliably identified region.</w:t>
            </w:r>
          </w:p>
        </w:tc>
        <w:tc>
          <w:tcPr>
            <w:tcW w:type="dxa" w:w="3389"/>
          </w:tcPr>
          <w:p>
            <w:pPr>
              <w:spacing w:after="40"/>
            </w:pPr>
            <w:r>
              <w:rPr>
                <w:sz w:val="16"/>
              </w:rPr>
              <w:t>Do not silently select an underside/internal face.</w:t>
            </w:r>
          </w:p>
        </w:tc>
      </w:tr>
      <w:tr>
        <w:tc>
          <w:tcPr>
            <w:tcW w:type="dxa" w:w="3389"/>
          </w:tcPr>
          <w:p>
            <w:pPr>
              <w:spacing w:after="40"/>
            </w:pPr>
            <w:r>
              <w:rPr>
                <w:sz w:val="16"/>
              </w:rPr>
              <w:t>Robot/tool collision</w:t>
            </w:r>
          </w:p>
        </w:tc>
        <w:tc>
          <w:tcPr>
            <w:tcW w:type="dxa" w:w="3389"/>
          </w:tcPr>
          <w:p>
            <w:pPr>
              <w:spacing w:after="40"/>
            </w:pPr>
            <w:r>
              <w:rPr>
                <w:sz w:val="16"/>
              </w:rPr>
              <w:t>Tool and robot links maintain required clearance throughout motion.</w:t>
            </w:r>
          </w:p>
        </w:tc>
        <w:tc>
          <w:tcPr>
            <w:tcW w:type="dxa" w:w="3389"/>
          </w:tcPr>
          <w:p>
            <w:pPr>
              <w:spacing w:after="40"/>
            </w:pPr>
            <w:r>
              <w:rPr>
                <w:sz w:val="16"/>
              </w:rPr>
              <w:t>Block production export on hard failure.</w:t>
            </w:r>
          </w:p>
        </w:tc>
      </w:tr>
    </w:tbl>
    <w:p>
      <w:r>
        <w:t>If the mesh is too incomplete or defective to identify the outer surface or reliably test penetration, flag or skip that region unless a separate validated surface model is available.</w:t>
      </w:r>
    </w:p>
    <w:p>
      <w:pPr>
        <w:pStyle w:val="Heading1"/>
      </w:pPr>
      <w:r>
        <w:t>19. Formula additions for surface-only and collision-safe paths</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245A81"/>
          </w:tcPr>
          <w:p>
            <w:pPr>
              <w:spacing w:after="40"/>
            </w:pPr>
            <w:r>
              <w:rPr>
                <w:b/>
                <w:color w:val="FFFFFF"/>
                <w:sz w:val="16"/>
              </w:rPr>
              <w:t>Formula</w:t>
            </w:r>
          </w:p>
        </w:tc>
        <w:tc>
          <w:tcPr>
            <w:tcW w:type="dxa" w:w="2541"/>
            <w:shd w:fill="245A81"/>
          </w:tcPr>
          <w:p>
            <w:pPr>
              <w:spacing w:after="40"/>
            </w:pPr>
            <w:r>
              <w:rPr>
                <w:b/>
                <w:color w:val="FFFFFF"/>
                <w:sz w:val="16"/>
              </w:rPr>
              <w:t>Equation</w:t>
            </w:r>
          </w:p>
        </w:tc>
        <w:tc>
          <w:tcPr>
            <w:tcW w:type="dxa" w:w="2541"/>
            <w:shd w:fill="245A81"/>
          </w:tcPr>
          <w:p>
            <w:pPr>
              <w:spacing w:after="40"/>
            </w:pPr>
            <w:r>
              <w:rPr>
                <w:b/>
                <w:color w:val="FFFFFF"/>
                <w:sz w:val="16"/>
              </w:rPr>
              <w:t>Simple purpose</w:t>
            </w:r>
          </w:p>
        </w:tc>
        <w:tc>
          <w:tcPr>
            <w:tcW w:type="dxa" w:w="2541"/>
            <w:shd w:fill="245A81"/>
          </w:tcPr>
          <w:p>
            <w:pPr>
              <w:spacing w:after="40"/>
            </w:pPr>
            <w:r>
              <w:rPr>
                <w:b/>
                <w:color w:val="FFFFFF"/>
                <w:sz w:val="16"/>
              </w:rPr>
              <w:t>Confidence / caveat</w:t>
            </w:r>
          </w:p>
        </w:tc>
      </w:tr>
      <w:tr>
        <w:tc>
          <w:tcPr>
            <w:tcW w:type="dxa" w:w="2541"/>
          </w:tcPr>
          <w:p>
            <w:pPr>
              <w:spacing w:after="40"/>
            </w:pPr>
            <w:r>
              <w:rPr>
                <w:sz w:val="16"/>
              </w:rPr>
              <w:t>F56 — Surface distance</w:t>
            </w:r>
          </w:p>
        </w:tc>
        <w:tc>
          <w:tcPr>
            <w:tcW w:type="dxa" w:w="2541"/>
          </w:tcPr>
          <w:p>
            <w:pPr>
              <w:spacing w:after="40"/>
            </w:pPr>
            <w:r>
              <w:rPr>
                <w:sz w:val="16"/>
              </w:rPr>
              <w:t>d(pᵢ, S_target) ≤ εₛ</w:t>
            </w:r>
          </w:p>
        </w:tc>
        <w:tc>
          <w:tcPr>
            <w:tcW w:type="dxa" w:w="2541"/>
          </w:tcPr>
          <w:p>
            <w:pPr>
              <w:spacing w:after="40"/>
            </w:pPr>
            <w:r>
              <w:rPr>
                <w:sz w:val="16"/>
              </w:rPr>
              <w:t>Keep path points close to the intended surface.</w:t>
            </w:r>
          </w:p>
        </w:tc>
        <w:tc>
          <w:tcPr>
            <w:tcW w:type="dxa" w:w="2541"/>
          </w:tcPr>
          <w:p>
            <w:pPr>
              <w:spacing w:after="40"/>
            </w:pPr>
            <w:r>
              <w:rPr>
                <w:sz w:val="16"/>
              </w:rPr>
              <w:t>High as a constraint; tolerance unvalidated.</w:t>
            </w:r>
          </w:p>
        </w:tc>
      </w:tr>
      <w:tr>
        <w:tc>
          <w:tcPr>
            <w:tcW w:type="dxa" w:w="2541"/>
          </w:tcPr>
          <w:p>
            <w:pPr>
              <w:spacing w:after="40"/>
            </w:pPr>
            <w:r>
              <w:rPr>
                <w:sz w:val="16"/>
              </w:rPr>
              <w:t>F57 — Inside/outside</w:t>
            </w:r>
          </w:p>
        </w:tc>
        <w:tc>
          <w:tcPr>
            <w:tcW w:type="dxa" w:w="2541"/>
          </w:tcPr>
          <w:p>
            <w:pPr>
              <w:spacing w:after="40"/>
            </w:pPr>
            <w:r>
              <w:rPr>
                <w:sz w:val="16"/>
              </w:rPr>
              <w:t>I(pᵢ) = 0</w:t>
            </w:r>
          </w:p>
        </w:tc>
        <w:tc>
          <w:tcPr>
            <w:tcW w:type="dxa" w:w="2541"/>
          </w:tcPr>
          <w:p>
            <w:pPr>
              <w:spacing w:after="40"/>
            </w:pPr>
            <w:r>
              <w:rPr>
                <w:sz w:val="16"/>
              </w:rPr>
              <w:t>Reject points inside a valid solid mesh.</w:t>
            </w:r>
          </w:p>
        </w:tc>
        <w:tc>
          <w:tcPr>
            <w:tcW w:type="dxa" w:w="2541"/>
          </w:tcPr>
          <w:p>
            <w:pPr>
              <w:spacing w:after="40"/>
            </w:pPr>
            <w:r>
              <w:rPr>
                <w:sz w:val="16"/>
              </w:rPr>
              <w:t>Reliable only when mesh supports classification.</w:t>
            </w:r>
          </w:p>
        </w:tc>
      </w:tr>
      <w:tr>
        <w:tc>
          <w:tcPr>
            <w:tcW w:type="dxa" w:w="2541"/>
          </w:tcPr>
          <w:p>
            <w:pPr>
              <w:spacing w:after="40"/>
            </w:pPr>
            <w:r>
              <w:rPr>
                <w:sz w:val="16"/>
              </w:rPr>
              <w:t>F58 — Segment non-penetration</w:t>
            </w:r>
          </w:p>
        </w:tc>
        <w:tc>
          <w:tcPr>
            <w:tcW w:type="dxa" w:w="2541"/>
          </w:tcPr>
          <w:p>
            <w:pPr>
              <w:spacing w:after="40"/>
            </w:pPr>
            <w:r>
              <w:rPr>
                <w:sz w:val="16"/>
              </w:rPr>
              <w:t>x(t)=(1−t)pᵢ+tpᵢ₊₁; x(t)∉Interior(M), ∀t∈[0,1]</w:t>
            </w:r>
          </w:p>
        </w:tc>
        <w:tc>
          <w:tcPr>
            <w:tcW w:type="dxa" w:w="2541"/>
          </w:tcPr>
          <w:p>
            <w:pPr>
              <w:spacing w:after="40"/>
            </w:pPr>
            <w:r>
              <w:rPr>
                <w:sz w:val="16"/>
              </w:rPr>
              <w:t>Check the full segment, not just endpoints.</w:t>
            </w:r>
          </w:p>
        </w:tc>
        <w:tc>
          <w:tcPr>
            <w:tcW w:type="dxa" w:w="2541"/>
          </w:tcPr>
          <w:p>
            <w:pPr>
              <w:spacing w:after="40"/>
            </w:pPr>
            <w:r>
              <w:rPr>
                <w:sz w:val="16"/>
              </w:rPr>
              <w:t>Also check actual controller interpolation.</w:t>
            </w:r>
          </w:p>
        </w:tc>
      </w:tr>
      <w:tr>
        <w:tc>
          <w:tcPr>
            <w:tcW w:type="dxa" w:w="2541"/>
          </w:tcPr>
          <w:p>
            <w:pPr>
              <w:spacing w:after="40"/>
            </w:pPr>
            <w:r>
              <w:rPr>
                <w:sz w:val="16"/>
              </w:rPr>
              <w:t>F59 — TCP standoff</w:t>
            </w:r>
          </w:p>
        </w:tc>
        <w:tc>
          <w:tcPr>
            <w:tcW w:type="dxa" w:w="2541"/>
          </w:tcPr>
          <w:p>
            <w:pPr>
              <w:spacing w:after="40"/>
            </w:pPr>
            <w:r>
              <w:rPr>
                <w:sz w:val="16"/>
              </w:rPr>
              <w:t>p_TCP,i=qᵢ+h n̂ᵢ, h&gt;0</w:t>
            </w:r>
          </w:p>
        </w:tc>
        <w:tc>
          <w:tcPr>
            <w:tcW w:type="dxa" w:w="2541"/>
          </w:tcPr>
          <w:p>
            <w:pPr>
              <w:spacing w:after="40"/>
            </w:pPr>
            <w:r>
              <w:rPr>
                <w:sz w:val="16"/>
              </w:rPr>
              <w:t>Offset tool outward from target.</w:t>
            </w:r>
          </w:p>
        </w:tc>
        <w:tc>
          <w:tcPr>
            <w:tcW w:type="dxa" w:w="2541"/>
          </w:tcPr>
          <w:p>
            <w:pPr>
              <w:spacing w:after="40"/>
            </w:pPr>
            <w:r>
              <w:rPr>
                <w:sz w:val="16"/>
              </w:rPr>
              <w:t>Verify normal and tool conventions.</w:t>
            </w:r>
          </w:p>
        </w:tc>
      </w:tr>
      <w:tr>
        <w:tc>
          <w:tcPr>
            <w:tcW w:type="dxa" w:w="2541"/>
          </w:tcPr>
          <w:p>
            <w:pPr>
              <w:spacing w:after="40"/>
            </w:pPr>
            <w:r>
              <w:rPr>
                <w:sz w:val="16"/>
              </w:rPr>
              <w:t>F60 — Facing filter</w:t>
            </w:r>
          </w:p>
        </w:tc>
        <w:tc>
          <w:tcPr>
            <w:tcW w:type="dxa" w:w="2541"/>
          </w:tcPr>
          <w:p>
            <w:pPr>
              <w:spacing w:after="40"/>
            </w:pPr>
            <w:r>
              <w:rPr>
                <w:sz w:val="16"/>
              </w:rPr>
              <w:t>n̂ᵢ·v̂≥τ</w:t>
            </w:r>
          </w:p>
        </w:tc>
        <w:tc>
          <w:tcPr>
            <w:tcW w:type="dxa" w:w="2541"/>
          </w:tcPr>
          <w:p>
            <w:pPr>
              <w:spacing w:after="40"/>
            </w:pPr>
            <w:r>
              <w:rPr>
                <w:sz w:val="16"/>
              </w:rPr>
              <w:t>Filter candidate faces using a known local direction.</w:t>
            </w:r>
          </w:p>
        </w:tc>
        <w:tc>
          <w:tcPr>
            <w:tcW w:type="dxa" w:w="2541"/>
          </w:tcPr>
          <w:p>
            <w:pPr>
              <w:spacing w:after="40"/>
            </w:pPr>
            <w:r>
              <w:rPr>
                <w:sz w:val="16"/>
              </w:rPr>
              <w:t>Not universal for curved surfaces.</w:t>
            </w:r>
          </w:p>
        </w:tc>
      </w:tr>
    </w:tbl>
    <w:p>
      <w:r>
        <w:t>These formulas do not independently guarantee robot safety. Full tool/link collision, reachability, and motion validation remain necessary.</w:t>
      </w:r>
    </w:p>
    <w:p>
      <w:r>
        <w:t>Status: this is a specification update only. No SmartGrid source code has been modified.</w:t>
      </w:r>
    </w:p>
    <w:p>
      <w:r>
        <w:br w:type="page"/>
      </w:r>
    </w:p>
    <w:p>
      <w:pPr>
        <w:pStyle w:val="Heading1"/>
      </w:pPr>
      <w:r>
        <w:t>20. Conflict Resolution and Formula Clarifications</w:t>
      </w:r>
    </w:p>
    <w:p>
      <w:r>
        <w:t>Purpose: resolve interactions between the existing rules and clarify how the equations should be applied. These are specification decisions for the proposed Mesh Flow design; they do not imply that the current code implements them.</w:t>
      </w:r>
    </w:p>
    <w:p>
      <w:pPr>
        <w:pStyle w:val="Heading2"/>
      </w:pPr>
      <w:r>
        <w:t>20.1 Precedence rules</w:t>
      </w:r>
    </w:p>
    <w:p>
      <w:r>
        <w:t>When two objectives disagree, mandatory geometry and safety constraints take priority over path appearance. The planner should first satisfy target-surface selection, surface-deviation tolerance, standoff, boundary, collision, and reachability constraints. Only among feasible candidate paths should it optimize straightness, smoothness, and regularity.</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245A81"/>
          </w:tcPr>
          <w:p>
            <w:pPr>
              <w:spacing w:after="40"/>
            </w:pPr>
            <w:r>
              <w:rPr>
                <w:b/>
                <w:color w:val="FFFFFF"/>
                <w:sz w:val="16"/>
              </w:rPr>
              <w:t>Rule interaction</w:t>
            </w:r>
          </w:p>
        </w:tc>
        <w:tc>
          <w:tcPr>
            <w:tcW w:type="dxa" w:w="2541"/>
            <w:shd w:fill="245A81"/>
          </w:tcPr>
          <w:p>
            <w:pPr>
              <w:spacing w:after="40"/>
            </w:pPr>
            <w:r>
              <w:rPr>
                <w:b/>
                <w:color w:val="FFFFFF"/>
                <w:sz w:val="16"/>
              </w:rPr>
              <w:t>Potential conflict</w:t>
            </w:r>
          </w:p>
        </w:tc>
        <w:tc>
          <w:tcPr>
            <w:tcW w:type="dxa" w:w="2541"/>
            <w:shd w:fill="245A81"/>
          </w:tcPr>
          <w:p>
            <w:pPr>
              <w:spacing w:after="40"/>
            </w:pPr>
            <w:r>
              <w:rPr>
                <w:b/>
                <w:color w:val="FFFFFF"/>
                <w:sz w:val="16"/>
              </w:rPr>
              <w:t>Resolution</w:t>
            </w:r>
          </w:p>
        </w:tc>
        <w:tc>
          <w:tcPr>
            <w:tcW w:type="dxa" w:w="2541"/>
            <w:shd w:fill="245A81"/>
          </w:tcPr>
          <w:p>
            <w:pPr>
              <w:spacing w:after="40"/>
            </w:pPr>
            <w:r>
              <w:rPr>
                <w:b/>
                <w:color w:val="FFFFFF"/>
                <w:sz w:val="16"/>
              </w:rPr>
              <w:t>Priority</w:t>
            </w:r>
          </w:p>
        </w:tc>
      </w:tr>
      <w:tr>
        <w:tc>
          <w:tcPr>
            <w:tcW w:type="dxa" w:w="2541"/>
          </w:tcPr>
          <w:p>
            <w:pPr>
              <w:spacing w:after="40"/>
            </w:pPr>
            <w:r>
              <w:rPr>
                <w:sz w:val="16"/>
              </w:rPr>
              <w:t>Straightness vs. surface conformity</w:t>
            </w:r>
          </w:p>
        </w:tc>
        <w:tc>
          <w:tcPr>
            <w:tcW w:type="dxa" w:w="2541"/>
          </w:tcPr>
          <w:p>
            <w:pPr>
              <w:spacing w:after="40"/>
            </w:pPr>
            <w:r>
              <w:rPr>
                <w:sz w:val="16"/>
              </w:rPr>
              <w:t>A straight pass can depart from a curved body.</w:t>
            </w:r>
          </w:p>
        </w:tc>
        <w:tc>
          <w:tcPr>
            <w:tcW w:type="dxa" w:w="2541"/>
          </w:tcPr>
          <w:p>
            <w:pPr>
              <w:spacing w:after="40"/>
            </w:pPr>
            <w:r>
              <w:rPr>
                <w:sz w:val="16"/>
              </w:rPr>
              <w:t>Enforce a maximum surface-deviation/standoff error first; prefer straightness only among paths that meet it.</w:t>
            </w:r>
          </w:p>
        </w:tc>
        <w:tc>
          <w:tcPr>
            <w:tcW w:type="dxa" w:w="2541"/>
          </w:tcPr>
          <w:p>
            <w:pPr>
              <w:spacing w:after="40"/>
            </w:pPr>
            <w:r>
              <w:rPr>
                <w:sz w:val="16"/>
              </w:rPr>
              <w:t>Surface constraint first</w:t>
            </w:r>
          </w:p>
        </w:tc>
      </w:tr>
      <w:tr>
        <w:tc>
          <w:tcPr>
            <w:tcW w:type="dxa" w:w="2541"/>
          </w:tcPr>
          <w:p>
            <w:pPr>
              <w:spacing w:after="40"/>
            </w:pPr>
            <w:r>
              <w:rPr>
                <w:sz w:val="16"/>
              </w:rPr>
              <w:t>Smoothing vs. preserving details</w:t>
            </w:r>
          </w:p>
        </w:tc>
        <w:tc>
          <w:tcPr>
            <w:tcW w:type="dxa" w:w="2541"/>
          </w:tcPr>
          <w:p>
            <w:pPr>
              <w:spacing w:after="40"/>
            </w:pPr>
            <w:r>
              <w:rPr>
                <w:sz w:val="16"/>
              </w:rPr>
              <w:t>Smoothing may erase real edges, recesses, or boundaries.</w:t>
            </w:r>
          </w:p>
        </w:tc>
        <w:tc>
          <w:tcPr>
            <w:tcW w:type="dxa" w:w="2541"/>
          </w:tcPr>
          <w:p>
            <w:pPr>
              <w:spacing w:after="40"/>
            </w:pPr>
            <w:r>
              <w:rPr>
                <w:sz w:val="16"/>
              </w:rPr>
              <w:t>Suppress small-scale noise, but protect meaningful features and split smoothing at region boundaries.</w:t>
            </w:r>
          </w:p>
        </w:tc>
        <w:tc>
          <w:tcPr>
            <w:tcW w:type="dxa" w:w="2541"/>
          </w:tcPr>
          <w:p>
            <w:pPr>
              <w:spacing w:after="40"/>
            </w:pPr>
            <w:r>
              <w:rPr>
                <w:sz w:val="16"/>
              </w:rPr>
              <w:t>Feature/boundary preservation first</w:t>
            </w:r>
          </w:p>
        </w:tc>
      </w:tr>
      <w:tr>
        <w:tc>
          <w:tcPr>
            <w:tcW w:type="dxa" w:w="2541"/>
          </w:tcPr>
          <w:p>
            <w:pPr>
              <w:spacing w:after="40"/>
            </w:pPr>
            <w:r>
              <w:rPr>
                <w:sz w:val="16"/>
              </w:rPr>
              <w:t>Simplified planning surface vs. original mesh</w:t>
            </w:r>
          </w:p>
        </w:tc>
        <w:tc>
          <w:tcPr>
            <w:tcW w:type="dxa" w:w="2541"/>
          </w:tcPr>
          <w:p>
            <w:pPr>
              <w:spacing w:after="40"/>
            </w:pPr>
            <w:r>
              <w:rPr>
                <w:sz w:val="16"/>
              </w:rPr>
              <w:t>Simplification can hide obstacles or real shape changes.</w:t>
            </w:r>
          </w:p>
        </w:tc>
        <w:tc>
          <w:tcPr>
            <w:tcW w:type="dxa" w:w="2541"/>
          </w:tcPr>
          <w:p>
            <w:pPr>
              <w:spacing w:after="40"/>
            </w:pPr>
            <w:r>
              <w:rPr>
                <w:sz w:val="16"/>
              </w:rPr>
              <w:t>Use the simplified surface to plan; validate final paths against the original mesh and separate obstacle geometry.</w:t>
            </w:r>
          </w:p>
        </w:tc>
        <w:tc>
          <w:tcPr>
            <w:tcW w:type="dxa" w:w="2541"/>
          </w:tcPr>
          <w:p>
            <w:pPr>
              <w:spacing w:after="40"/>
            </w:pPr>
            <w:r>
              <w:rPr>
                <w:sz w:val="16"/>
              </w:rPr>
              <w:t>Original-geometry validation first</w:t>
            </w:r>
          </w:p>
        </w:tc>
      </w:tr>
      <w:tr>
        <w:tc>
          <w:tcPr>
            <w:tcW w:type="dxa" w:w="2541"/>
          </w:tcPr>
          <w:p>
            <w:pPr>
              <w:spacing w:after="40"/>
            </w:pPr>
            <w:r>
              <w:rPr>
                <w:sz w:val="16"/>
              </w:rPr>
              <w:t>Outer-surface selection vs. nearest-surface query</w:t>
            </w:r>
          </w:p>
        </w:tc>
        <w:tc>
          <w:tcPr>
            <w:tcW w:type="dxa" w:w="2541"/>
          </w:tcPr>
          <w:p>
            <w:pPr>
              <w:spacing w:after="40"/>
            </w:pPr>
            <w:r>
              <w:rPr>
                <w:sz w:val="16"/>
              </w:rPr>
              <w:t>The nearest triangle may be an underside or internal face.</w:t>
            </w:r>
          </w:p>
        </w:tc>
        <w:tc>
          <w:tcPr>
            <w:tcW w:type="dxa" w:w="2541"/>
          </w:tcPr>
          <w:p>
            <w:pPr>
              <w:spacing w:after="40"/>
            </w:pPr>
            <w:r>
              <w:rPr>
                <w:sz w:val="16"/>
              </w:rPr>
              <w:t>Restrict candidate faces to an explicitly selected or reliably identified target region before nearest-point projection.</w:t>
            </w:r>
          </w:p>
        </w:tc>
        <w:tc>
          <w:tcPr>
            <w:tcW w:type="dxa" w:w="2541"/>
          </w:tcPr>
          <w:p>
            <w:pPr>
              <w:spacing w:after="40"/>
            </w:pPr>
            <w:r>
              <w:rPr>
                <w:sz w:val="16"/>
              </w:rPr>
              <w:t>Target-region identity first</w:t>
            </w:r>
          </w:p>
        </w:tc>
      </w:tr>
      <w:tr>
        <w:tc>
          <w:tcPr>
            <w:tcW w:type="dxa" w:w="2541"/>
          </w:tcPr>
          <w:p>
            <w:pPr>
              <w:spacing w:after="40"/>
            </w:pPr>
            <w:r>
              <w:rPr>
                <w:sz w:val="16"/>
              </w:rPr>
              <w:t>Surface normal vs. TCP offset</w:t>
            </w:r>
          </w:p>
        </w:tc>
        <w:tc>
          <w:tcPr>
            <w:tcW w:type="dxa" w:w="2541"/>
          </w:tcPr>
          <w:p>
            <w:pPr>
              <w:spacing w:after="40"/>
            </w:pPr>
            <w:r>
              <w:rPr>
                <w:sz w:val="16"/>
              </w:rPr>
              <w:t>A reversed normal can offset the TCP inward.</w:t>
            </w:r>
          </w:p>
        </w:tc>
        <w:tc>
          <w:tcPr>
            <w:tcW w:type="dxa" w:w="2541"/>
          </w:tcPr>
          <w:p>
            <w:pPr>
              <w:spacing w:after="40"/>
            </w:pPr>
            <w:r>
              <w:rPr>
                <w:sz w:val="16"/>
              </w:rPr>
              <w:t>Verify outward normal direction and tool/TCP convention before applying standoff.</w:t>
            </w:r>
          </w:p>
        </w:tc>
        <w:tc>
          <w:tcPr>
            <w:tcW w:type="dxa" w:w="2541"/>
          </w:tcPr>
          <w:p>
            <w:pPr>
              <w:spacing w:after="40"/>
            </w:pPr>
            <w:r>
              <w:rPr>
                <w:sz w:val="16"/>
              </w:rPr>
              <w:t>Normal verification first</w:t>
            </w:r>
          </w:p>
        </w:tc>
      </w:tr>
      <w:tr>
        <w:tc>
          <w:tcPr>
            <w:tcW w:type="dxa" w:w="2541"/>
          </w:tcPr>
          <w:p>
            <w:pPr>
              <w:spacing w:after="40"/>
            </w:pPr>
            <w:r>
              <w:rPr>
                <w:sz w:val="16"/>
              </w:rPr>
              <w:t>Serpentine direction vs. region transitions</w:t>
            </w:r>
          </w:p>
        </w:tc>
        <w:tc>
          <w:tcPr>
            <w:tcW w:type="dxa" w:w="2541"/>
          </w:tcPr>
          <w:p>
            <w:pPr>
              <w:spacing w:after="40"/>
            </w:pPr>
            <w:r>
              <w:rPr>
                <w:sz w:val="16"/>
              </w:rPr>
              <w:t>Alternating lanes may create unsafe cross-region connectors.</w:t>
            </w:r>
          </w:p>
        </w:tc>
        <w:tc>
          <w:tcPr>
            <w:tcW w:type="dxa" w:w="2541"/>
          </w:tcPr>
          <w:p>
            <w:pPr>
              <w:spacing w:after="40"/>
            </w:pPr>
            <w:r>
              <w:rPr>
                <w:sz w:val="16"/>
              </w:rPr>
              <w:t>Alternate only within a coherent region; plan approach, retract, and inter-region transit separately.</w:t>
            </w:r>
          </w:p>
        </w:tc>
        <w:tc>
          <w:tcPr>
            <w:tcW w:type="dxa" w:w="2541"/>
          </w:tcPr>
          <w:p>
            <w:pPr>
              <w:spacing w:after="40"/>
            </w:pPr>
            <w:r>
              <w:rPr>
                <w:sz w:val="16"/>
              </w:rPr>
              <w:t>Region separation first</w:t>
            </w:r>
          </w:p>
        </w:tc>
      </w:tr>
      <w:tr>
        <w:tc>
          <w:tcPr>
            <w:tcW w:type="dxa" w:w="2541"/>
          </w:tcPr>
          <w:p>
            <w:pPr>
              <w:spacing w:after="40"/>
            </w:pPr>
            <w:r>
              <w:rPr>
                <w:sz w:val="16"/>
              </w:rPr>
              <w:t>Approximate fallback vs. uncertain geometry</w:t>
            </w:r>
          </w:p>
        </w:tc>
        <w:tc>
          <w:tcPr>
            <w:tcW w:type="dxa" w:w="2541"/>
          </w:tcPr>
          <w:p>
            <w:pPr>
              <w:spacing w:after="40"/>
            </w:pPr>
            <w:r>
              <w:rPr>
                <w:sz w:val="16"/>
              </w:rPr>
              <w:t>A smooth-looking fallback can be in the wrong location.</w:t>
            </w:r>
          </w:p>
        </w:tc>
        <w:tc>
          <w:tcPr>
            <w:tcW w:type="dxa" w:w="2541"/>
          </w:tcPr>
          <w:p>
            <w:pPr>
              <w:spacing w:after="40"/>
            </w:pPr>
            <w:r>
              <w:rPr>
                <w:sz w:val="16"/>
              </w:rPr>
              <w:t>Accept approximation only if surface deviation, standoff, boundary, and safety checks pass; otherwise flag or skip.</w:t>
            </w:r>
          </w:p>
        </w:tc>
        <w:tc>
          <w:tcPr>
            <w:tcW w:type="dxa" w:w="2541"/>
          </w:tcPr>
          <w:p>
            <w:pPr>
              <w:spacing w:after="40"/>
            </w:pPr>
            <w:r>
              <w:rPr>
                <w:sz w:val="16"/>
              </w:rPr>
              <w:t>Evidence and safety first</w:t>
            </w:r>
          </w:p>
        </w:tc>
      </w:tr>
      <w:tr>
        <w:tc>
          <w:tcPr>
            <w:tcW w:type="dxa" w:w="2541"/>
          </w:tcPr>
          <w:p>
            <w:pPr>
              <w:spacing w:after="40"/>
            </w:pPr>
            <w:r>
              <w:rPr>
                <w:sz w:val="16"/>
              </w:rPr>
              <w:t>Weighted quality score vs. hard safety checks</w:t>
            </w:r>
          </w:p>
        </w:tc>
        <w:tc>
          <w:tcPr>
            <w:tcW w:type="dxa" w:w="2541"/>
          </w:tcPr>
          <w:p>
            <w:pPr>
              <w:spacing w:after="40"/>
            </w:pPr>
            <w:r>
              <w:rPr>
                <w:sz w:val="16"/>
              </w:rPr>
              <w:t>A good aggregate score can hide a collision or penetration.</w:t>
            </w:r>
          </w:p>
        </w:tc>
        <w:tc>
          <w:tcPr>
            <w:tcW w:type="dxa" w:w="2541"/>
          </w:tcPr>
          <w:p>
            <w:pPr>
              <w:spacing w:after="40"/>
            </w:pPr>
            <w:r>
              <w:rPr>
                <w:sz w:val="16"/>
              </w:rPr>
              <w:t>Use safety and geometry limits as hard gates; use weighted scores only to rank candidates that pass.</w:t>
            </w:r>
          </w:p>
        </w:tc>
        <w:tc>
          <w:tcPr>
            <w:tcW w:type="dxa" w:w="2541"/>
          </w:tcPr>
          <w:p>
            <w:pPr>
              <w:spacing w:after="40"/>
            </w:pPr>
            <w:r>
              <w:rPr>
                <w:sz w:val="16"/>
              </w:rPr>
              <w:t>Hard gates first</w:t>
            </w:r>
          </w:p>
        </w:tc>
      </w:tr>
      <w:tr>
        <w:tc>
          <w:tcPr>
            <w:tcW w:type="dxa" w:w="2541"/>
          </w:tcPr>
          <w:p>
            <w:pPr>
              <w:spacing w:after="40"/>
            </w:pPr>
            <w:r>
              <w:rPr>
                <w:sz w:val="16"/>
              </w:rPr>
              <w:t>Straightness vs. orientation continuity</w:t>
            </w:r>
          </w:p>
        </w:tc>
        <w:tc>
          <w:tcPr>
            <w:tcW w:type="dxa" w:w="2541"/>
          </w:tcPr>
          <w:p>
            <w:pPr>
              <w:spacing w:after="40"/>
            </w:pPr>
            <w:r>
              <w:rPr>
                <w:sz w:val="16"/>
              </w:rPr>
              <w:t>A geometrically smooth path can still produce sudden tool rotation.</w:t>
            </w:r>
          </w:p>
        </w:tc>
        <w:tc>
          <w:tcPr>
            <w:tcW w:type="dxa" w:w="2541"/>
          </w:tcPr>
          <w:p>
            <w:pPr>
              <w:spacing w:after="40"/>
            </w:pPr>
            <w:r>
              <w:rPr>
                <w:sz w:val="16"/>
              </w:rPr>
              <w:t>Validate path geometry and orientation separately; reject unexplained orientation flips or excessive jumps.</w:t>
            </w:r>
          </w:p>
        </w:tc>
        <w:tc>
          <w:tcPr>
            <w:tcW w:type="dxa" w:w="2541"/>
          </w:tcPr>
          <w:p>
            <w:pPr>
              <w:spacing w:after="40"/>
            </w:pPr>
            <w:r>
              <w:rPr>
                <w:sz w:val="16"/>
              </w:rPr>
              <w:t>Both must pass</w:t>
            </w:r>
          </w:p>
        </w:tc>
      </w:tr>
      <w:tr>
        <w:tc>
          <w:tcPr>
            <w:tcW w:type="dxa" w:w="2541"/>
          </w:tcPr>
          <w:p>
            <w:pPr>
              <w:spacing w:after="40"/>
            </w:pPr>
            <w:r>
              <w:rPr>
                <w:sz w:val="16"/>
              </w:rPr>
              <w:t>Coverage vs. collision clearance</w:t>
            </w:r>
          </w:p>
        </w:tc>
        <w:tc>
          <w:tcPr>
            <w:tcW w:type="dxa" w:w="2541"/>
          </w:tcPr>
          <w:p>
            <w:pPr>
              <w:spacing w:after="40"/>
            </w:pPr>
            <w:r>
              <w:rPr>
                <w:sz w:val="16"/>
              </w:rPr>
              <w:t>A path aimed at full coverage may approach obstacles too closely.</w:t>
            </w:r>
          </w:p>
        </w:tc>
        <w:tc>
          <w:tcPr>
            <w:tcW w:type="dxa" w:w="2541"/>
          </w:tcPr>
          <w:p>
            <w:pPr>
              <w:spacing w:after="40"/>
            </w:pPr>
            <w:r>
              <w:rPr>
                <w:sz w:val="16"/>
              </w:rPr>
              <w:t>Never sacrifice required collision clearance to improve coverage; report uncovered areas separately.</w:t>
            </w:r>
          </w:p>
        </w:tc>
        <w:tc>
          <w:tcPr>
            <w:tcW w:type="dxa" w:w="2541"/>
          </w:tcPr>
          <w:p>
            <w:pPr>
              <w:spacing w:after="40"/>
            </w:pPr>
            <w:r>
              <w:rPr>
                <w:sz w:val="16"/>
              </w:rPr>
              <w:t>Safety first</w:t>
            </w:r>
          </w:p>
        </w:tc>
      </w:tr>
    </w:tbl>
    <w:p/>
    <w:p>
      <w:pPr>
        <w:pStyle w:val="Heading2"/>
      </w:pPr>
      <w:r>
        <w:t>20.2 Formula corrections and clarifications</w:t>
      </w:r>
    </w:p>
    <w:p>
      <w:pPr>
        <w:pStyle w:val="Heading3"/>
      </w:pPr>
      <w:r>
        <w:t>C1 — Surface point and TCP are different</w:t>
      </w:r>
    </w:p>
    <w:p>
      <w:r>
        <w:t>Let qᵢ be the target point on the selected surface and p_TCP,ᵢ be the tool centre point. Apply d(qᵢ, S_target) ≤ εₛ to the surface point, not to the offset TCP. Then define p_TCP,ᵢ = qᵢ + h n̂ᵢ when the outward normal and tool convention are verified.</w:t>
      </w:r>
    </w:p>
    <w:p>
      <w:r>
        <w:rPr>
          <w:b/>
        </w:rPr>
        <w:t xml:space="preserve">Simple: </w:t>
      </w:r>
      <w:r>
        <w:t>the painting target belongs on the surface; the gun itself stays outside it.</w:t>
      </w:r>
    </w:p>
    <w:p>
      <w:pPr>
        <w:pStyle w:val="Heading3"/>
      </w:pPr>
      <w:r>
        <w:t>C2 — Inside/outside test has mesh-validity preconditions</w:t>
      </w:r>
    </w:p>
    <w:p>
      <w:r>
        <w:t>I(p)=0 is usable only when the mesh representation supports reliable inside/outside classification. For open, self-intersecting, non-manifold, or incomplete meshes, return an indeterminate status rather than assuming outside.</w:t>
      </w:r>
    </w:p>
    <w:p>
      <w:r>
        <w:rPr>
          <w:b/>
        </w:rPr>
        <w:t xml:space="preserve">Simple: </w:t>
      </w:r>
      <w:r>
        <w:t>if the mesh is broken, do not trust a test that says whether a point is inside.</w:t>
      </w:r>
    </w:p>
    <w:p>
      <w:pPr>
        <w:pStyle w:val="Heading3"/>
      </w:pPr>
      <w:r>
        <w:t>C3 — Check the actual motion, not only a waypoint chord</w:t>
      </w:r>
    </w:p>
    <w:p>
      <w:r>
        <w:t>For a linear segment use x(t)=(1−t)pᵢ+t pᵢ₊₁, 0≤t≤1. For joint-interpolated, circular, or otherwise controller-specific motion, validate the actual interpolated tool and robot-link trajectory or a conservative swept volume.</w:t>
      </w:r>
    </w:p>
    <w:p>
      <w:r>
        <w:rPr>
          <w:b/>
        </w:rPr>
        <w:t xml:space="preserve">Simple: </w:t>
      </w:r>
      <w:r>
        <w:t>safe endpoints do not guarantee a safe movement between them.</w:t>
      </w:r>
    </w:p>
    <w:p>
      <w:pPr>
        <w:pStyle w:val="Heading3"/>
      </w:pPr>
      <w:r>
        <w:t>C4 — Direction filter is conditional</w:t>
      </w:r>
    </w:p>
    <w:p>
      <w:r>
        <w:t>The condition n̂ᵢ·v̂≥τ is only a candidate-face filter when v̂ is a meaningful, defined region-local reference direction. It is not a universal top-surface classifier for curved components. Prefer explicit region selection or a validated surface-side definition.</w:t>
      </w:r>
    </w:p>
    <w:p>
      <w:r>
        <w:rPr>
          <w:b/>
        </w:rPr>
        <w:t xml:space="preserve">Simple: </w:t>
      </w:r>
      <w:r>
        <w:t>a single global up direction cannot reliably identify the outside of every curved surface.</w:t>
      </w:r>
    </w:p>
    <w:p>
      <w:pPr>
        <w:pStyle w:val="Heading3"/>
      </w:pPr>
      <w:r>
        <w:t>C5 — Quality-score terms require compatible scaling</w:t>
      </w:r>
    </w:p>
    <w:p>
      <w:r>
        <w:t>Before combining E_straight, E_curvature, E_surface, and E_pitch, normalize the terms or define weights with documented units and calibration. Preserve each component metric in diagnostics. Hard constraints must not be converted into soft penalties.</w:t>
      </w:r>
    </w:p>
    <w:p>
      <w:r>
        <w:rPr>
          <w:b/>
        </w:rPr>
        <w:t xml:space="preserve">Simple: </w:t>
      </w:r>
      <w:r>
        <w:t>do not add unlike measurements without scaling, and never let a good score excuse a safety failure.</w:t>
      </w:r>
    </w:p>
    <w:p>
      <w:pPr>
        <w:pStyle w:val="Heading3"/>
      </w:pPr>
      <w:r>
        <w:t>C6 — Standoff must be evaluated along the path</w:t>
      </w:r>
    </w:p>
    <w:p>
      <w:r>
        <w:t>For TCP point p_TCP,ᵢ and corresponding target point qᵢ, evaluate hᵢ=||p_TCP,ᵢ−qᵢ|| and require hᵢ to remain within the approved process range. If the process requires a directional standoff, also check alignment with the verified normal.</w:t>
      </w:r>
    </w:p>
    <w:p>
      <w:r>
        <w:rPr>
          <w:b/>
        </w:rPr>
        <w:t xml:space="preserve">Simple: </w:t>
      </w:r>
      <w:r>
        <w:t>check tool distance at every relevant point, not just the first point.</w:t>
      </w:r>
    </w:p>
    <w:p>
      <w:pPr>
        <w:pStyle w:val="Heading3"/>
      </w:pPr>
      <w:r>
        <w:t>C7 — Surface conformity and penetration are separate checks</w:t>
      </w:r>
    </w:p>
    <w:p>
      <w:r>
        <w:t>A point can be close to the target surface yet lie on the wrong side or belong to the wrong surface patch. Check target-region membership, point-to-surface deviation, inside/outside where reliable, and segment/tool collision independently.</w:t>
      </w:r>
    </w:p>
    <w:p>
      <w:r>
        <w:rPr>
          <w:b/>
        </w:rPr>
        <w:t xml:space="preserve">Simple: </w:t>
      </w:r>
      <w:r>
        <w:t>being near the mesh does not prove the path is on the correct side or safe.</w:t>
      </w:r>
    </w:p>
    <w:p>
      <w:pPr>
        <w:pStyle w:val="Heading3"/>
      </w:pPr>
      <w:r>
        <w:t>C8 — Coverage estimates need a calibrated footprint</w:t>
      </w:r>
    </w:p>
    <w:p>
      <w:r>
        <w:t>A coverage ratio based on a geometric footprint is an estimate unless effective spray width, overlap, incidence angle, standoff, and process behavior have been validated. Report assumptions and do not infer deposited coating quality from centerlines alone.</w:t>
      </w:r>
    </w:p>
    <w:p>
      <w:r>
        <w:rPr>
          <w:b/>
        </w:rPr>
        <w:t xml:space="preserve">Simple: </w:t>
      </w:r>
      <w:r>
        <w:t>drawing lines over a surface does not prove the paint will cover it properly.</w:t>
      </w:r>
    </w:p>
    <w:p>
      <w:pPr>
        <w:pStyle w:val="Heading2"/>
      </w:pPr>
      <w:r>
        <w:t>20.3 Final order of operations</w:t>
      </w:r>
    </w:p>
    <w:p>
      <w:pPr>
        <w:pStyle w:val="ListNumber"/>
      </w:pPr>
      <w:r>
        <w:t>Validate mesh quality, coordinate frames, units, and target-region selection.</w:t>
      </w:r>
    </w:p>
    <w:p>
      <w:pPr>
        <w:pStyle w:val="ListNumber"/>
      </w:pPr>
      <w:r>
        <w:t>Establish a trustworthy outer-surface representation; mark ambiguous regions as indeterminate.</w:t>
      </w:r>
    </w:p>
    <w:p>
      <w:pPr>
        <w:pStyle w:val="ListNumber"/>
      </w:pPr>
      <w:r>
        <w:t>Generate candidate lanes using a region-local direction and configured/validated pitch.</w:t>
      </w:r>
    </w:p>
    <w:p>
      <w:pPr>
        <w:pStyle w:val="ListNumber"/>
      </w:pPr>
      <w:r>
        <w:t>Smooth and simplify only within protected-feature and maximum-deviation constraints.</w:t>
      </w:r>
    </w:p>
    <w:p>
      <w:pPr>
        <w:pStyle w:val="ListNumber"/>
      </w:pPr>
      <w:r>
        <w:t>Construct TCP positions and tool orientations using verified normals and conventions.</w:t>
      </w:r>
    </w:p>
    <w:p>
      <w:pPr>
        <w:pStyle w:val="ListNumber"/>
      </w:pPr>
      <w:r>
        <w:t>Plan painting lanes and nonpainting transitions as separate motion segments.</w:t>
      </w:r>
    </w:p>
    <w:p>
      <w:pPr>
        <w:pStyle w:val="ListNumber"/>
      </w:pPr>
      <w:r>
        <w:t>Apply hard gates: target-surface membership, surface deviation, standoff, mesh penetration, tool/robot collision, and reachability where supported.</w:t>
      </w:r>
    </w:p>
    <w:p>
      <w:pPr>
        <w:pStyle w:val="ListNumber"/>
      </w:pPr>
      <w:r>
        <w:t>Calculate quality metrics and rank only candidates that pass all mandatory gates.</w:t>
      </w:r>
    </w:p>
    <w:p>
      <w:pPr>
        <w:pStyle w:val="ListNumber"/>
      </w:pPr>
      <w:r>
        <w:t>Report rejected/skipped regions and the exact reasons; do not silently replace them with unverified paths.</w:t>
      </w:r>
    </w:p>
    <w:p>
      <w:pPr>
        <w:pStyle w:val="ListNumber"/>
      </w:pPr>
      <w:r>
        <w:t>Validate exported motion in the target simulator/controller workflow before physical use.</w:t>
      </w:r>
    </w:p>
    <w:p>
      <w:pPr>
        <w:pStyle w:val="Heading2"/>
      </w:pPr>
      <w:r>
        <w:t>20.4 Final verification status</w:t>
      </w:r>
    </w:p>
    <w:tbl>
      <w:tblPr>
        <w:tblStyle w:val="TableGrid"/>
        <w:tblW w:type="auto" w:w="0"/>
        <w:tblLook w:firstColumn="1" w:firstRow="1" w:lastColumn="0" w:lastRow="0" w:noHBand="0" w:noVBand="1" w:val="04A0"/>
      </w:tblPr>
      <w:tblGrid>
        <w:gridCol w:w="3389"/>
        <w:gridCol w:w="3389"/>
        <w:gridCol w:w="3389"/>
      </w:tblGrid>
      <w:tr>
        <w:tc>
          <w:tcPr>
            <w:tcW w:type="dxa" w:w="3389"/>
            <w:shd w:fill="245A81"/>
          </w:tcPr>
          <w:p>
            <w:pPr>
              <w:spacing w:after="40"/>
            </w:pPr>
            <w:r>
              <w:rPr>
                <w:b/>
                <w:color w:val="FFFFFF"/>
                <w:sz w:val="16"/>
              </w:rPr>
              <w:t>Item</w:t>
            </w:r>
          </w:p>
        </w:tc>
        <w:tc>
          <w:tcPr>
            <w:tcW w:type="dxa" w:w="3389"/>
            <w:shd w:fill="245A81"/>
          </w:tcPr>
          <w:p>
            <w:pPr>
              <w:spacing w:after="40"/>
            </w:pPr>
            <w:r>
              <w:rPr>
                <w:b/>
                <w:color w:val="FFFFFF"/>
                <w:sz w:val="16"/>
              </w:rPr>
              <w:t>Specification status</w:t>
            </w:r>
          </w:p>
        </w:tc>
        <w:tc>
          <w:tcPr>
            <w:tcW w:type="dxa" w:w="3389"/>
            <w:shd w:fill="245A81"/>
          </w:tcPr>
          <w:p>
            <w:pPr>
              <w:spacing w:after="40"/>
            </w:pPr>
            <w:r>
              <w:rPr>
                <w:b/>
                <w:color w:val="FFFFFF"/>
                <w:sz w:val="16"/>
              </w:rPr>
              <w:t>Evidence still required</w:t>
            </w:r>
          </w:p>
        </w:tc>
      </w:tr>
      <w:tr>
        <w:tc>
          <w:tcPr>
            <w:tcW w:type="dxa" w:w="3389"/>
          </w:tcPr>
          <w:p>
            <w:pPr>
              <w:spacing w:after="40"/>
            </w:pPr>
            <w:r>
              <w:rPr>
                <w:sz w:val="16"/>
              </w:rPr>
              <w:t>Rule conflicts and precedence</w:t>
            </w:r>
          </w:p>
        </w:tc>
        <w:tc>
          <w:tcPr>
            <w:tcW w:type="dxa" w:w="3389"/>
          </w:tcPr>
          <w:p>
            <w:pPr>
              <w:spacing w:after="40"/>
            </w:pPr>
            <w:r>
              <w:rPr>
                <w:sz w:val="16"/>
              </w:rPr>
              <w:t>Clarified in this revision</w:t>
            </w:r>
          </w:p>
        </w:tc>
        <w:tc>
          <w:tcPr>
            <w:tcW w:type="dxa" w:w="3389"/>
          </w:tcPr>
          <w:p>
            <w:pPr>
              <w:spacing w:after="40"/>
            </w:pPr>
            <w:r>
              <w:rPr>
                <w:sz w:val="16"/>
              </w:rPr>
              <w:t>Review by the process/OLP engineer.</w:t>
            </w:r>
          </w:p>
        </w:tc>
      </w:tr>
      <w:tr>
        <w:tc>
          <w:tcPr>
            <w:tcW w:type="dxa" w:w="3389"/>
          </w:tcPr>
          <w:p>
            <w:pPr>
              <w:spacing w:after="40"/>
            </w:pPr>
            <w:r>
              <w:rPr>
                <w:sz w:val="16"/>
              </w:rPr>
              <w:t>Formula meanings and preconditions</w:t>
            </w:r>
          </w:p>
        </w:tc>
        <w:tc>
          <w:tcPr>
            <w:tcW w:type="dxa" w:w="3389"/>
          </w:tcPr>
          <w:p>
            <w:pPr>
              <w:spacing w:after="40"/>
            </w:pPr>
            <w:r>
              <w:rPr>
                <w:sz w:val="16"/>
              </w:rPr>
              <w:t>Clarified in this revision</w:t>
            </w:r>
          </w:p>
        </w:tc>
        <w:tc>
          <w:tcPr>
            <w:tcW w:type="dxa" w:w="3389"/>
          </w:tcPr>
          <w:p>
            <w:pPr>
              <w:spacing w:after="40"/>
            </w:pPr>
            <w:r>
              <w:rPr>
                <w:sz w:val="16"/>
              </w:rPr>
              <w:t>Unit tests and numerical edge-case tests.</w:t>
            </w:r>
          </w:p>
        </w:tc>
      </w:tr>
      <w:tr>
        <w:tc>
          <w:tcPr>
            <w:tcW w:type="dxa" w:w="3389"/>
          </w:tcPr>
          <w:p>
            <w:pPr>
              <w:spacing w:after="40"/>
            </w:pPr>
            <w:r>
              <w:rPr>
                <w:sz w:val="16"/>
              </w:rPr>
              <w:t>Outer-surface-only selection</w:t>
            </w:r>
          </w:p>
        </w:tc>
        <w:tc>
          <w:tcPr>
            <w:tcW w:type="dxa" w:w="3389"/>
          </w:tcPr>
          <w:p>
            <w:pPr>
              <w:spacing w:after="40"/>
            </w:pPr>
            <w:r>
              <w:rPr>
                <w:sz w:val="16"/>
              </w:rPr>
              <w:t>Defined as a requirement</w:t>
            </w:r>
          </w:p>
        </w:tc>
        <w:tc>
          <w:tcPr>
            <w:tcW w:type="dxa" w:w="3389"/>
          </w:tcPr>
          <w:p>
            <w:pPr>
              <w:spacing w:after="40"/>
            </w:pPr>
            <w:r>
              <w:rPr>
                <w:sz w:val="16"/>
              </w:rPr>
              <w:t>Matching mesh, selected regions, and reference paths.</w:t>
            </w:r>
          </w:p>
        </w:tc>
      </w:tr>
      <w:tr>
        <w:tc>
          <w:tcPr>
            <w:tcW w:type="dxa" w:w="3389"/>
          </w:tcPr>
          <w:p>
            <w:pPr>
              <w:spacing w:after="40"/>
            </w:pPr>
            <w:r>
              <w:rPr>
                <w:sz w:val="16"/>
              </w:rPr>
              <w:t>Mesh penetration and robot collision</w:t>
            </w:r>
          </w:p>
        </w:tc>
        <w:tc>
          <w:tcPr>
            <w:tcW w:type="dxa" w:w="3389"/>
          </w:tcPr>
          <w:p>
            <w:pPr>
              <w:spacing w:after="40"/>
            </w:pPr>
            <w:r>
              <w:rPr>
                <w:sz w:val="16"/>
              </w:rPr>
              <w:t>Defined as mandatory checks</w:t>
            </w:r>
          </w:p>
        </w:tc>
        <w:tc>
          <w:tcPr>
            <w:tcW w:type="dxa" w:w="3389"/>
          </w:tcPr>
          <w:p>
            <w:pPr>
              <w:spacing w:after="40"/>
            </w:pPr>
            <w:r>
              <w:rPr>
                <w:sz w:val="16"/>
              </w:rPr>
              <w:t>Valid mesh/robot/tool models and actual motion interpolation.</w:t>
            </w:r>
          </w:p>
        </w:tc>
      </w:tr>
      <w:tr>
        <w:tc>
          <w:tcPr>
            <w:tcW w:type="dxa" w:w="3389"/>
          </w:tcPr>
          <w:p>
            <w:pPr>
              <w:spacing w:after="40"/>
            </w:pPr>
            <w:r>
              <w:rPr>
                <w:sz w:val="16"/>
              </w:rPr>
              <w:t>Thresholds and objective weights</w:t>
            </w:r>
          </w:p>
        </w:tc>
        <w:tc>
          <w:tcPr>
            <w:tcW w:type="dxa" w:w="3389"/>
          </w:tcPr>
          <w:p>
            <w:pPr>
              <w:spacing w:after="40"/>
            </w:pPr>
            <w:r>
              <w:rPr>
                <w:sz w:val="16"/>
              </w:rPr>
              <w:t>Not finalized</w:t>
            </w:r>
          </w:p>
        </w:tc>
        <w:tc>
          <w:tcPr>
            <w:tcW w:type="dxa" w:w="3389"/>
          </w:tcPr>
          <w:p>
            <w:pPr>
              <w:spacing w:after="40"/>
            </w:pPr>
            <w:r>
              <w:rPr>
                <w:sz w:val="16"/>
              </w:rPr>
              <w:t>Calibration against reference OLP and process requirements.</w:t>
            </w:r>
          </w:p>
        </w:tc>
      </w:tr>
      <w:tr>
        <w:tc>
          <w:tcPr>
            <w:tcW w:type="dxa" w:w="3389"/>
          </w:tcPr>
          <w:p>
            <w:pPr>
              <w:spacing w:after="40"/>
            </w:pPr>
            <w:r>
              <w:rPr>
                <w:sz w:val="16"/>
              </w:rPr>
              <w:t>Reference-path matching</w:t>
            </w:r>
          </w:p>
        </w:tc>
        <w:tc>
          <w:tcPr>
            <w:tcW w:type="dxa" w:w="3389"/>
          </w:tcPr>
          <w:p>
            <w:pPr>
              <w:spacing w:after="40"/>
            </w:pPr>
            <w:r>
              <w:rPr>
                <w:sz w:val="16"/>
              </w:rPr>
              <w:t>Not proven by this document</w:t>
            </w:r>
          </w:p>
        </w:tc>
        <w:tc>
          <w:tcPr>
            <w:tcW w:type="dxa" w:w="3389"/>
          </w:tcPr>
          <w:p>
            <w:pPr>
              <w:spacing w:after="40"/>
            </w:pPr>
            <w:r>
              <w:rPr>
                <w:sz w:val="16"/>
              </w:rPr>
              <w:t>Automated quantitative comparison with original OLP programs and corresponding geometry.</w:t>
            </w:r>
          </w:p>
        </w:tc>
      </w:tr>
      <w:tr>
        <w:tc>
          <w:tcPr>
            <w:tcW w:type="dxa" w:w="3389"/>
          </w:tcPr>
          <w:p>
            <w:pPr>
              <w:spacing w:after="40"/>
            </w:pPr>
            <w:r>
              <w:rPr>
                <w:sz w:val="16"/>
              </w:rPr>
              <w:t>Production readiness</w:t>
            </w:r>
          </w:p>
        </w:tc>
        <w:tc>
          <w:tcPr>
            <w:tcW w:type="dxa" w:w="3389"/>
          </w:tcPr>
          <w:p>
            <w:pPr>
              <w:spacing w:after="40"/>
            </w:pPr>
            <w:r>
              <w:rPr>
                <w:sz w:val="16"/>
              </w:rPr>
              <w:t>Not verified</w:t>
            </w:r>
          </w:p>
        </w:tc>
        <w:tc>
          <w:tcPr>
            <w:tcW w:type="dxa" w:w="3389"/>
          </w:tcPr>
          <w:p>
            <w:pPr>
              <w:spacing w:after="40"/>
            </w:pPr>
            <w:r>
              <w:rPr>
                <w:sz w:val="16"/>
              </w:rPr>
              <w:t>Simulation, controller-specific validation, and appropriate physical validation.</w:t>
            </w:r>
          </w:p>
        </w:tc>
      </w:tr>
    </w:tbl>
    <w:p>
      <w:r>
        <w:t>Final note: this revision resolves specification-level ambiguities; it does not certify the algorithm or current SmartGrid implementation. No project source code was modified.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Engineering proposal — no project code modified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SMARTGRID  |  MESH FLOW  |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A8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5A8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