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val="0"/>
          <w:i w:val="0"/>
          <w:sz w:val="44"/>
        </w:rPr>
        <w:t>Early Warning of Persistent Land Degradation from Sentinel-2 Time Series Using Climate-Conditioned Resilience Features and Calibrated Gradient Boosting</w:t>
      </w:r>
    </w:p>
    <w:tbl>
      <w:tblPr>
        <w:tblW w:type="auto" w:w="0"/>
        <w:jc w:val="center"/>
        <w:tblLook w:firstColumn="1" w:firstRow="1" w:lastColumn="0" w:lastRow="0" w:noHBand="0" w:noVBand="1" w:val="04A0"/>
      </w:tblPr>
      <w:tblGrid>
        <w:gridCol w:w="3480"/>
        <w:gridCol w:w="3480"/>
        <w:gridCol w:w="3480"/>
      </w:tblGrid>
      <w:tr>
        <w:tc>
          <w:tcPr>
            <w:tcW w:type="dxa" w:w="3456"/>
            <w:tcBorders>
              <w:top w:val="nil"/>
              <w:bottom w:val="nil"/>
              <w:left w:val="nil"/>
              <w:right w:val="nil"/>
            </w:tcBorders>
          </w:tcPr>
          <w:p>
            <w:pPr>
              <w:jc w:val="center"/>
            </w:pPr>
            <w:r>
              <w:rPr>
                <w:rFonts w:ascii="Times New Roman" w:hAnsi="Times New Roman"/>
                <w:b w:val="0"/>
                <w:i w:val="0"/>
                <w:sz w:val="22"/>
              </w:rPr>
              <w:t>Ankur Bhattarai</w:t>
            </w:r>
          </w:p>
          <w:p>
            <w:pPr>
              <w:jc w:val="center"/>
            </w:pPr>
            <w:r>
              <w:rPr>
                <w:rFonts w:ascii="Times New Roman" w:hAnsi="Times New Roman"/>
                <w:b w:val="0"/>
                <w:i w:val="0"/>
                <w:sz w:val="18"/>
              </w:rPr>
              <w:t>Reg. No. 24BCE2954</w:t>
            </w:r>
          </w:p>
          <w:p>
            <w:pPr>
              <w:jc w:val="center"/>
            </w:pPr>
            <w:r>
              <w:rPr>
                <w:rFonts w:ascii="Times New Roman" w:hAnsi="Times New Roman"/>
                <w:b w:val="0"/>
                <w:i/>
                <w:sz w:val="18"/>
              </w:rPr>
              <w:t>Department of ____________</w:t>
            </w:r>
          </w:p>
          <w:p>
            <w:pPr>
              <w:jc w:val="center"/>
            </w:pPr>
            <w:r>
              <w:rPr>
                <w:rFonts w:ascii="Times New Roman" w:hAnsi="Times New Roman"/>
                <w:b w:val="0"/>
                <w:i/>
                <w:sz w:val="18"/>
              </w:rPr>
              <w:t>____________ (Institution)</w:t>
            </w:r>
          </w:p>
          <w:p>
            <w:pPr>
              <w:jc w:val="center"/>
            </w:pPr>
            <w:r>
              <w:rPr>
                <w:rFonts w:ascii="Times New Roman" w:hAnsi="Times New Roman"/>
                <w:b w:val="0"/>
                <w:i/>
                <w:sz w:val="18"/>
              </w:rPr>
              <w:t>City, Country</w:t>
            </w:r>
          </w:p>
          <w:p>
            <w:pPr>
              <w:jc w:val="center"/>
            </w:pPr>
            <w:r>
              <w:rPr>
                <w:rFonts w:ascii="Times New Roman" w:hAnsi="Times New Roman"/>
                <w:b w:val="0"/>
                <w:i w:val="0"/>
                <w:sz w:val="18"/>
              </w:rPr>
              <w:t>email: ____________</w:t>
            </w:r>
          </w:p>
        </w:tc>
        <w:tc>
          <w:tcPr>
            <w:tcW w:type="dxa" w:w="3456"/>
            <w:tcBorders>
              <w:top w:val="nil"/>
              <w:bottom w:val="nil"/>
              <w:left w:val="nil"/>
              <w:right w:val="nil"/>
            </w:tcBorders>
          </w:tcPr>
          <w:p>
            <w:pPr>
              <w:jc w:val="center"/>
            </w:pPr>
            <w:r>
              <w:rPr>
                <w:rFonts w:ascii="Times New Roman" w:hAnsi="Times New Roman"/>
                <w:b w:val="0"/>
                <w:i w:val="0"/>
                <w:sz w:val="22"/>
              </w:rPr>
              <w:t>________________</w:t>
            </w:r>
          </w:p>
          <w:p>
            <w:pPr>
              <w:jc w:val="center"/>
            </w:pPr>
            <w:r>
              <w:rPr>
                <w:rFonts w:ascii="Times New Roman" w:hAnsi="Times New Roman"/>
                <w:b w:val="0"/>
                <w:i w:val="0"/>
                <w:sz w:val="18"/>
              </w:rPr>
              <w:t>Reg. No. ____________</w:t>
            </w:r>
          </w:p>
          <w:p>
            <w:pPr>
              <w:jc w:val="center"/>
            </w:pPr>
            <w:r>
              <w:rPr>
                <w:rFonts w:ascii="Times New Roman" w:hAnsi="Times New Roman"/>
                <w:b w:val="0"/>
                <w:i/>
                <w:sz w:val="18"/>
              </w:rPr>
              <w:t>Department of ____________</w:t>
            </w:r>
          </w:p>
          <w:p>
            <w:pPr>
              <w:jc w:val="center"/>
            </w:pPr>
            <w:r>
              <w:rPr>
                <w:rFonts w:ascii="Times New Roman" w:hAnsi="Times New Roman"/>
                <w:b w:val="0"/>
                <w:i/>
                <w:sz w:val="18"/>
              </w:rPr>
              <w:t>____________ (Institution)</w:t>
            </w:r>
          </w:p>
          <w:p>
            <w:pPr>
              <w:jc w:val="center"/>
            </w:pPr>
            <w:r>
              <w:rPr>
                <w:rFonts w:ascii="Times New Roman" w:hAnsi="Times New Roman"/>
                <w:b w:val="0"/>
                <w:i/>
                <w:sz w:val="18"/>
              </w:rPr>
              <w:t>City, Country</w:t>
            </w:r>
          </w:p>
          <w:p>
            <w:pPr>
              <w:jc w:val="center"/>
            </w:pPr>
            <w:r>
              <w:rPr>
                <w:rFonts w:ascii="Times New Roman" w:hAnsi="Times New Roman"/>
                <w:b w:val="0"/>
                <w:i w:val="0"/>
                <w:sz w:val="18"/>
              </w:rPr>
              <w:t>email: ____________</w:t>
            </w:r>
          </w:p>
        </w:tc>
        <w:tc>
          <w:tcPr>
            <w:tcW w:type="dxa" w:w="3456"/>
            <w:tcBorders>
              <w:top w:val="nil"/>
              <w:bottom w:val="nil"/>
              <w:left w:val="nil"/>
              <w:right w:val="nil"/>
            </w:tcBorders>
          </w:tcPr>
          <w:p>
            <w:pPr>
              <w:jc w:val="center"/>
            </w:pPr>
            <w:r>
              <w:rPr>
                <w:rFonts w:ascii="Times New Roman" w:hAnsi="Times New Roman"/>
                <w:b w:val="0"/>
                <w:i w:val="0"/>
                <w:sz w:val="22"/>
              </w:rPr>
              <w:t>________________</w:t>
            </w:r>
          </w:p>
          <w:p>
            <w:pPr>
              <w:jc w:val="center"/>
            </w:pPr>
            <w:r>
              <w:rPr>
                <w:rFonts w:ascii="Times New Roman" w:hAnsi="Times New Roman"/>
                <w:b w:val="0"/>
                <w:i w:val="0"/>
                <w:sz w:val="18"/>
              </w:rPr>
              <w:t>Reg. No. ____________</w:t>
            </w:r>
          </w:p>
          <w:p>
            <w:pPr>
              <w:jc w:val="center"/>
            </w:pPr>
            <w:r>
              <w:rPr>
                <w:rFonts w:ascii="Times New Roman" w:hAnsi="Times New Roman"/>
                <w:b w:val="0"/>
                <w:i/>
                <w:sz w:val="18"/>
              </w:rPr>
              <w:t>Department of ____________</w:t>
            </w:r>
          </w:p>
          <w:p>
            <w:pPr>
              <w:jc w:val="center"/>
            </w:pPr>
            <w:r>
              <w:rPr>
                <w:rFonts w:ascii="Times New Roman" w:hAnsi="Times New Roman"/>
                <w:b w:val="0"/>
                <w:i/>
                <w:sz w:val="18"/>
              </w:rPr>
              <w:t>____________ (Institution)</w:t>
            </w:r>
          </w:p>
          <w:p>
            <w:pPr>
              <w:jc w:val="center"/>
            </w:pPr>
            <w:r>
              <w:rPr>
                <w:rFonts w:ascii="Times New Roman" w:hAnsi="Times New Roman"/>
                <w:b w:val="0"/>
                <w:i/>
                <w:sz w:val="18"/>
              </w:rPr>
              <w:t>City, Country</w:t>
            </w:r>
          </w:p>
          <w:p>
            <w:pPr>
              <w:jc w:val="center"/>
            </w:pPr>
            <w:r>
              <w:rPr>
                <w:rFonts w:ascii="Times New Roman" w:hAnsi="Times New Roman"/>
                <w:b w:val="0"/>
                <w:i w:val="0"/>
                <w:sz w:val="18"/>
              </w:rPr>
              <w:t>email: ____________</w:t>
            </w:r>
          </w:p>
        </w:tc>
      </w:tr>
    </w:tbl>
    <w:p>
      <w:pPr>
        <w:spacing w:after="120"/>
      </w:pPr>
    </w:p>
    <w:p>
      <w:pPr>
        <w:sectPr>
          <w:pgSz w:w="12240" w:h="15840"/>
          <w:pgMar w:top="1080" w:right="900" w:bottom="1440" w:left="900" w:header="720" w:footer="720" w:gutter="0"/>
          <w:cols w:space="720"/>
          <w:docGrid w:linePitch="360"/>
        </w:sectPr>
      </w:pPr>
    </w:p>
    <w:p>
      <w:pPr>
        <w:spacing w:after="120"/>
        <w:jc w:val="both"/>
      </w:pPr>
      <w:r>
        <w:rPr>
          <w:rFonts w:ascii="Times New Roman" w:hAnsi="Times New Roman"/>
          <w:b/>
          <w:i/>
          <w:sz w:val="18"/>
        </w:rPr>
        <w:t>Abstract</w:t>
      </w:r>
      <w:r>
        <w:rPr>
          <w:rFonts w:ascii="Times New Roman" w:hAnsi="Times New Roman"/>
          <w:b/>
          <w:i w:val="0"/>
          <w:sz w:val="18"/>
        </w:rPr>
        <w:t>—Satellite monitoring of land degradation is usually retrospective: it maps vegetation loss after it has happened. This paper addresses the forecasting problem instead. Given open Earth-observation data up to month t, the task is to estimate the probability that a 10 m pixel will enter a persistent, climate-unexplained vegetation decline within the next six months. The proposed system, CARE-EW, builds monthly Sentinel-2 composites and removes the climate-driven part of each pixel's vegetation anomaly with a land-cover-specific ridge model and a peer-relative correction. It derives resilience indicators such as lag-1 autocorrelation and variance of the residual, and feeds 64 causal features to a heavily regularised LightGBM classifier with isotonic calibration and Mondrian conformal abstention. One labelling rule is used in every country. On 4.29 million labelled pixel-months from 17 sites in nine countries, evaluated on a hold-out that is new in both space and time, the model reaches a ROC-AUC of 0.805 and a PR-AUC of 0.144, 5.7 times the 2.5 % base rate. At a 2.7 % false-alarm rate it gives precision 0.22 and recall 0.29, with an expected calibration error of 0.0025, and 41 % of degradation onsets are warned at least one month ahead. Without retraining, six further sites in Nepal and India give a ROC-AUC of 0.839. Ablation shows that the climate-conditioned residual and the resilience features, not spectral state or raw weather, carry the predictive signal.</w:t>
      </w:r>
    </w:p>
    <w:p>
      <w:pPr>
        <w:spacing w:after="80"/>
        <w:jc w:val="both"/>
      </w:pPr>
      <w:r>
        <w:rPr>
          <w:rFonts w:ascii="Times New Roman" w:hAnsi="Times New Roman"/>
          <w:b/>
          <w:i/>
          <w:sz w:val="18"/>
        </w:rPr>
        <w:t>Index Terms</w:t>
      </w:r>
      <w:r>
        <w:rPr>
          <w:rFonts w:ascii="Times New Roman" w:hAnsi="Times New Roman"/>
          <w:b/>
          <w:i w:val="0"/>
          <w:sz w:val="18"/>
        </w:rPr>
        <w:t>—land degradation, early warning, Sentinel-2, gradient boosting, conformal prediction, critical slowing down</w:t>
      </w:r>
    </w:p>
    <w:p>
      <w:pPr>
        <w:keepNext/>
        <w:spacing w:before="160" w:after="80"/>
        <w:jc w:val="center"/>
      </w:pPr>
      <w:r>
        <w:rPr>
          <w:rFonts w:ascii="Times New Roman" w:hAnsi="Times New Roman"/>
          <w:b w:val="0"/>
          <w:i w:val="0"/>
          <w:smallCaps/>
          <w:sz w:val="20"/>
        </w:rPr>
        <w:t xml:space="preserve">I. </w:t>
      </w:r>
      <w:r>
        <w:rPr>
          <w:rFonts w:ascii="Times New Roman" w:hAnsi="Times New Roman"/>
          <w:b w:val="0"/>
          <w:i w:val="0"/>
          <w:smallCaps/>
          <w:sz w:val="20"/>
        </w:rPr>
        <w:t>Introduction</w:t>
      </w:r>
    </w:p>
    <w:p>
      <w:pPr>
        <w:spacing w:after="0"/>
        <w:ind w:firstLine="245"/>
        <w:jc w:val="both"/>
      </w:pPr>
      <w:r>
        <w:rPr>
          <w:rFonts w:ascii="Times New Roman" w:hAnsi="Times New Roman"/>
          <w:b w:val="0"/>
          <w:i w:val="0"/>
          <w:sz w:val="20"/>
        </w:rPr>
        <w:t xml:space="preserve">Land degradation affects a large share of the world's drylands, forests and croplands and is tracked by Sustainable Development Goal indicator 15.3.1 [1], [2]. Operational assessment relies on trends in productivity, land cover and soil carbon computed over multi-year windows [2], [3]. These products answer the question </w:t>
      </w:r>
      <w:r>
        <w:rPr>
          <w:rFonts w:ascii="Times New Roman" w:hAnsi="Times New Roman"/>
          <w:b w:val="0"/>
          <w:i/>
          <w:sz w:val="20"/>
        </w:rPr>
        <w:t>where has degradation already occurred?</w:t>
      </w:r>
      <w:r>
        <w:rPr>
          <w:rFonts w:ascii="Times New Roman" w:hAnsi="Times New Roman"/>
          <w:b w:val="0"/>
          <w:i w:val="0"/>
          <w:sz w:val="20"/>
        </w:rPr>
        <w:t xml:space="preserve"> A forest department or district office needs a different answer: </w:t>
      </w:r>
      <w:r>
        <w:rPr>
          <w:rFonts w:ascii="Times New Roman" w:hAnsi="Times New Roman"/>
          <w:b w:val="0"/>
          <w:i/>
          <w:sz w:val="20"/>
        </w:rPr>
        <w:t>where is degradation likely to start in the next few months</w:t>
      </w:r>
      <w:r>
        <w:rPr>
          <w:rFonts w:ascii="Times New Roman" w:hAnsi="Times New Roman"/>
          <w:b w:val="0"/>
          <w:i w:val="0"/>
          <w:sz w:val="20"/>
        </w:rPr>
        <w:t>, with an honest statement of uncertainty, so that field teams can be sent before damage becomes persistent.</w:t>
      </w:r>
    </w:p>
    <w:p>
      <w:pPr>
        <w:spacing w:after="0"/>
        <w:ind w:firstLine="245"/>
        <w:jc w:val="both"/>
      </w:pPr>
      <w:r>
        <w:rPr>
          <w:rFonts w:ascii="Times New Roman" w:hAnsi="Times New Roman"/>
          <w:b w:val="0"/>
          <w:i w:val="0"/>
          <w:sz w:val="20"/>
        </w:rPr>
        <w:t>Two lines of research point toward such a warning system, but neither delivers it. Residual-trend methods separate rainfall-driven from human-driven vegetation change [4], [5], yet they are retrospective. Studies of resilience show that ecosystems approaching a transition recover more slowly from disturbance, visible as rising lag-1 autocorrelation and variance of their time series [6], [7]. Satellite records have been used to map these indicators at continental and global scale [8]–[10], but not to issue calibrated, pixel-level forecasts with a measured lead time and a controlled false-alarm rate. Machine-learning studies in remote sensing also tend to overstate accuracy because spatially and temporally autocorrelated samples leak between training and test sets [11], [12].</w:t>
      </w:r>
    </w:p>
    <w:p>
      <w:pPr>
        <w:spacing w:after="40"/>
        <w:ind w:firstLine="245"/>
        <w:jc w:val="both"/>
      </w:pPr>
      <w:r>
        <w:rPr>
          <w:rFonts w:ascii="Times New Roman" w:hAnsi="Times New Roman"/>
          <w:b w:val="0"/>
          <w:i w:val="0"/>
          <w:sz w:val="20"/>
        </w:rPr>
        <w:t>This paper makes the following contributions:</w:t>
      </w:r>
    </w:p>
    <w:p>
      <w:pPr>
        <w:ind w:left="360" w:hanging="202"/>
        <w:jc w:val="both"/>
      </w:pPr>
      <w:r>
        <w:rPr>
          <w:rFonts w:ascii="Times New Roman" w:hAnsi="Times New Roman"/>
          <w:b w:val="0"/>
          <w:i w:val="0"/>
          <w:sz w:val="20"/>
        </w:rPr>
        <w:t xml:space="preserve">• </w:t>
      </w:r>
      <w:r>
        <w:rPr>
          <w:rFonts w:ascii="Times New Roman" w:hAnsi="Times New Roman"/>
          <w:b/>
          <w:i w:val="0"/>
          <w:sz w:val="20"/>
        </w:rPr>
        <w:t>A forecasting target.</w:t>
      </w:r>
      <w:r>
        <w:rPr>
          <w:rFonts w:ascii="Times New Roman" w:hAnsi="Times New Roman"/>
          <w:b w:val="0"/>
          <w:i w:val="0"/>
          <w:sz w:val="20"/>
        </w:rPr>
        <w:t xml:space="preserve"> The label is the onset of a persistent (at least six months), climate-unexplained decline within the next six months, defined by one rule in all countries, so the task is prediction rather than mapping.</w:t>
      </w:r>
    </w:p>
    <w:p>
      <w:pPr>
        <w:ind w:left="360" w:hanging="202"/>
        <w:jc w:val="both"/>
      </w:pPr>
      <w:r>
        <w:rPr>
          <w:rFonts w:ascii="Times New Roman" w:hAnsi="Times New Roman"/>
          <w:b w:val="0"/>
          <w:i w:val="0"/>
          <w:sz w:val="20"/>
        </w:rPr>
        <w:t xml:space="preserve">• </w:t>
      </w:r>
      <w:r>
        <w:rPr>
          <w:rFonts w:ascii="Times New Roman" w:hAnsi="Times New Roman"/>
          <w:b/>
          <w:i w:val="0"/>
          <w:sz w:val="20"/>
        </w:rPr>
        <w:t>Climate conditioning and resilience features</w:t>
      </w:r>
      <w:r>
        <w:rPr>
          <w:rFonts w:ascii="Times New Roman" w:hAnsi="Times New Roman"/>
          <w:b w:val="0"/>
          <w:i w:val="0"/>
          <w:sz w:val="20"/>
        </w:rPr>
        <w:t xml:space="preserve"> tested by ablation rather than assumed: the residual after removing climate and landscape-wide effects, and its autocorrelation and variance.</w:t>
      </w:r>
    </w:p>
    <w:p>
      <w:pPr>
        <w:ind w:left="360" w:hanging="202"/>
        <w:jc w:val="both"/>
      </w:pPr>
      <w:r>
        <w:rPr>
          <w:rFonts w:ascii="Times New Roman" w:hAnsi="Times New Roman"/>
          <w:b w:val="0"/>
          <w:i w:val="0"/>
          <w:sz w:val="20"/>
        </w:rPr>
        <w:t xml:space="preserve">• </w:t>
      </w:r>
      <w:r>
        <w:rPr>
          <w:rFonts w:ascii="Times New Roman" w:hAnsi="Times New Roman"/>
          <w:b/>
          <w:i w:val="0"/>
          <w:sz w:val="20"/>
        </w:rPr>
        <w:t>Calibrated probabilities with abstention.</w:t>
      </w:r>
      <w:r>
        <w:rPr>
          <w:rFonts w:ascii="Times New Roman" w:hAnsi="Times New Roman"/>
          <w:b w:val="0"/>
          <w:i w:val="0"/>
          <w:sz w:val="20"/>
        </w:rPr>
        <w:t xml:space="preserve"> Isotonic calibration and Mondrian conformal prediction let the system say “uncertain — inspect” instead of forcing a decision.</w:t>
      </w:r>
    </w:p>
    <w:p>
      <w:pPr>
        <w:ind w:left="360" w:hanging="202"/>
        <w:jc w:val="both"/>
      </w:pPr>
      <w:r>
        <w:rPr>
          <w:rFonts w:ascii="Times New Roman" w:hAnsi="Times New Roman"/>
          <w:b w:val="0"/>
          <w:i w:val="0"/>
          <w:sz w:val="20"/>
        </w:rPr>
        <w:t xml:space="preserve">• </w:t>
      </w:r>
      <w:r>
        <w:rPr>
          <w:rFonts w:ascii="Times New Roman" w:hAnsi="Times New Roman"/>
          <w:b/>
          <w:i w:val="0"/>
          <w:sz w:val="20"/>
        </w:rPr>
        <w:t>A leakage-resistant evaluation.</w:t>
      </w:r>
      <w:r>
        <w:rPr>
          <w:rFonts w:ascii="Times New Roman" w:hAnsi="Times New Roman"/>
          <w:b w:val="0"/>
          <w:i w:val="0"/>
          <w:sz w:val="20"/>
        </w:rPr>
        <w:t xml:space="preserve"> Test pixels are new in space (1 km blocks) and time (an embargoed future period), with transfer tests to unseen countries and to six independent sites.</w:t>
      </w:r>
    </w:p>
    <w:p>
      <w:pPr>
        <w:ind w:left="360" w:hanging="202"/>
        <w:jc w:val="both"/>
      </w:pPr>
      <w:r>
        <w:rPr>
          <w:rFonts w:ascii="Times New Roman" w:hAnsi="Times New Roman"/>
          <w:b w:val="0"/>
          <w:i w:val="0"/>
          <w:sz w:val="20"/>
        </w:rPr>
        <w:t xml:space="preserve">• </w:t>
      </w:r>
      <w:r>
        <w:rPr>
          <w:rFonts w:ascii="Times New Roman" w:hAnsi="Times New Roman"/>
          <w:b/>
          <w:i w:val="0"/>
          <w:sz w:val="20"/>
        </w:rPr>
        <w:t>An open, reproducible pipeline and web console</w:t>
      </w:r>
      <w:r>
        <w:rPr>
          <w:rFonts w:ascii="Times New Roman" w:hAnsi="Times New Roman"/>
          <w:b w:val="0"/>
          <w:i w:val="0"/>
          <w:sz w:val="20"/>
        </w:rPr>
        <w:t xml:space="preserve"> that uses only free data and runs on a laptop.</w:t>
      </w:r>
    </w:p>
    <w:p>
      <w:pPr>
        <w:spacing w:after="0"/>
        <w:ind w:firstLine="245"/>
        <w:jc w:val="both"/>
      </w:pPr>
      <w:r>
        <w:rPr>
          <w:rFonts w:ascii="Times New Roman" w:hAnsi="Times New Roman"/>
          <w:b w:val="0"/>
          <w:i w:val="0"/>
          <w:sz w:val="20"/>
        </w:rPr>
        <w:t>Section II reviews related work. Section III describes the data, the system architecture, the model and the training setup. Section IV reports results against baselines and discusses limitations. Section V concludes and lists concrete future work.</w:t>
      </w:r>
    </w:p>
    <w:p>
      <w:pPr>
        <w:keepNext/>
        <w:spacing w:before="160" w:after="80"/>
        <w:jc w:val="center"/>
      </w:pPr>
      <w:r>
        <w:rPr>
          <w:rFonts w:ascii="Times New Roman" w:hAnsi="Times New Roman"/>
          <w:b w:val="0"/>
          <w:i w:val="0"/>
          <w:smallCaps/>
          <w:sz w:val="20"/>
        </w:rPr>
        <w:t xml:space="preserve">II. </w:t>
      </w:r>
      <w:r>
        <w:rPr>
          <w:rFonts w:ascii="Times New Roman" w:hAnsi="Times New Roman"/>
          <w:b w:val="0"/>
          <w:i w:val="0"/>
          <w:smallCaps/>
          <w:sz w:val="20"/>
        </w:rPr>
        <w:t>Related Work</w:t>
      </w:r>
    </w:p>
    <w:p>
      <w:pPr>
        <w:keepNext/>
        <w:spacing w:before="80" w:after="40"/>
      </w:pPr>
      <w:r>
        <w:rPr>
          <w:rFonts w:ascii="Times New Roman" w:hAnsi="Times New Roman"/>
          <w:b w:val="0"/>
          <w:i/>
          <w:sz w:val="20"/>
        </w:rPr>
        <w:t>A. Retrospective trend and residual methods</w:t>
      </w:r>
    </w:p>
    <w:p>
      <w:pPr>
        <w:spacing w:after="0"/>
        <w:ind w:firstLine="245"/>
        <w:jc w:val="both"/>
      </w:pPr>
      <w:r>
        <w:rPr>
          <w:rFonts w:ascii="Times New Roman" w:hAnsi="Times New Roman"/>
          <w:b w:val="0"/>
          <w:i w:val="0"/>
          <w:sz w:val="20"/>
        </w:rPr>
        <w:t>RESTREND regresses vegetation index on rainfall and treats a declining residual as human-induced degradation [4]. Local Net Production Scaling compares each pixel with land-cover peers in the same region [5]. BFAST decomposes a time series into trend and season and detects breaks [13], and Trends.Earth packages trend, land-cover and carbon sub-indicators for SDG reporting [3]. All are designed to detect change that has already happened.</w:t>
      </w:r>
    </w:p>
    <w:p>
      <w:pPr>
        <w:keepNext/>
        <w:spacing w:before="80" w:after="40"/>
      </w:pPr>
      <w:r>
        <w:rPr>
          <w:rFonts w:ascii="Times New Roman" w:hAnsi="Times New Roman"/>
          <w:b w:val="0"/>
          <w:i/>
          <w:sz w:val="20"/>
        </w:rPr>
        <w:t>B. Machine-learning disturbance mapping</w:t>
      </w:r>
    </w:p>
    <w:p>
      <w:pPr>
        <w:spacing w:after="0"/>
        <w:ind w:firstLine="245"/>
        <w:jc w:val="both"/>
      </w:pPr>
      <w:r>
        <w:rPr>
          <w:rFonts w:ascii="Times New Roman" w:hAnsi="Times New Roman"/>
          <w:b w:val="0"/>
          <w:i w:val="0"/>
          <w:sz w:val="20"/>
        </w:rPr>
        <w:t>Large-scale forest products use decision trees on Landsat to map annual tree-cover loss [14], and radar alerts from Sentinel-1 flag disturbance in humid tropical forests within weeks [15]. These systems are accurate for abrupt clearing but react to disturbance under way and are mostly limited to forests.</w:t>
      </w:r>
    </w:p>
    <w:p>
      <w:pPr>
        <w:keepNext/>
        <w:spacing w:before="80" w:after="40"/>
      </w:pPr>
      <w:r>
        <w:rPr>
          <w:rFonts w:ascii="Times New Roman" w:hAnsi="Times New Roman"/>
          <w:b w:val="0"/>
          <w:i/>
          <w:sz w:val="20"/>
        </w:rPr>
        <w:t>C. Resilience and early-warning signals</w:t>
      </w:r>
    </w:p>
    <w:p>
      <w:pPr>
        <w:spacing w:after="0"/>
        <w:ind w:firstLine="245"/>
        <w:jc w:val="both"/>
      </w:pPr>
      <w:r>
        <w:rPr>
          <w:rFonts w:ascii="Times New Roman" w:hAnsi="Times New Roman"/>
          <w:b w:val="0"/>
          <w:i w:val="0"/>
          <w:sz w:val="20"/>
        </w:rPr>
        <w:t>Critical-slowing-down theory predicts rising autocorrelation and variance before a transition [6], [7]. Satellite studies found lower resilience in drought-sensitive tropical forests [8], widespread resilience loss since the early 2000s [9], [10], and spatial-pattern indicators of desertification [16]. These are descriptive; whether they improve held-out forecasts is rarely tested.</w:t>
      </w:r>
    </w:p>
    <w:p>
      <w:pPr>
        <w:keepNext/>
        <w:spacing w:before="120"/>
        <w:jc w:val="center"/>
      </w:pPr>
      <w:r>
        <w:rPr>
          <w:rFonts w:ascii="Times New Roman" w:hAnsi="Times New Roman"/>
          <w:b w:val="0"/>
          <w:i w:val="0"/>
          <w:smallCaps/>
          <w:sz w:val="16"/>
        </w:rPr>
        <w:t>TABLE I</w:t>
      </w:r>
    </w:p>
    <w:p>
      <w:pPr>
        <w:keepNext/>
        <w:spacing w:after="60"/>
        <w:jc w:val="center"/>
      </w:pPr>
      <w:r>
        <w:rPr>
          <w:rFonts w:ascii="Times New Roman" w:hAnsi="Times New Roman"/>
          <w:b w:val="0"/>
          <w:i w:val="0"/>
          <w:smallCaps/>
          <w:sz w:val="16"/>
        </w:rPr>
        <w:t>Comparison of Prior Work</w:t>
      </w:r>
    </w:p>
    <w:tbl>
      <w:tblPr>
        <w:tblW w:type="auto" w:w="0"/>
        <w:jc w:val="center"/>
        <w:tblLayout w:type="fixed"/>
        <w:tblLook w:firstColumn="1" w:firstRow="1" w:lastColumn="0" w:lastRow="0" w:noHBand="0" w:noVBand="1" w:val="04A0"/>
      </w:tblPr>
      <w:tblGrid>
        <w:gridCol w:w="2088"/>
        <w:gridCol w:w="2088"/>
        <w:gridCol w:w="2088"/>
        <w:gridCol w:w="2088"/>
        <w:gridCol w:w="2088"/>
      </w:tblGrid>
      <w:tr>
        <w:tc>
          <w:tcPr>
            <w:tcW w:type="dxa" w:w="605"/>
            <w:tcBorders>
              <w:top w:val="single" w:sz="8" w:color="000000"/>
              <w:bottom w:val="nil"/>
              <w:left w:val="nil"/>
              <w:right w:val="nil"/>
            </w:tcBorders>
          </w:tcPr>
          <w:p>
            <w:pPr>
              <w:keepNext/>
              <w:jc w:val="left"/>
            </w:pPr>
            <w:r>
              <w:rPr>
                <w:rFonts w:ascii="Times New Roman" w:hAnsi="Times New Roman"/>
                <w:b/>
                <w:i w:val="0"/>
                <w:sz w:val="13"/>
              </w:rPr>
              <w:t>Work</w:t>
            </w:r>
          </w:p>
        </w:tc>
        <w:tc>
          <w:tcPr>
            <w:tcW w:type="dxa" w:w="1123"/>
            <w:tcBorders>
              <w:top w:val="single" w:sz="8" w:color="000000"/>
              <w:bottom w:val="nil"/>
              <w:left w:val="nil"/>
              <w:right w:val="nil"/>
            </w:tcBorders>
          </w:tcPr>
          <w:p>
            <w:pPr>
              <w:keepNext/>
              <w:jc w:val="center"/>
            </w:pPr>
            <w:r>
              <w:rPr>
                <w:rFonts w:ascii="Times New Roman" w:hAnsi="Times New Roman"/>
                <w:b/>
                <w:i w:val="0"/>
                <w:sz w:val="13"/>
              </w:rPr>
              <w:t>Method</w:t>
            </w:r>
          </w:p>
        </w:tc>
        <w:tc>
          <w:tcPr>
            <w:tcW w:type="dxa" w:w="1066"/>
            <w:tcBorders>
              <w:top w:val="single" w:sz="8" w:color="000000"/>
              <w:bottom w:val="nil"/>
              <w:left w:val="nil"/>
              <w:right w:val="nil"/>
            </w:tcBorders>
          </w:tcPr>
          <w:p>
            <w:pPr>
              <w:keepNext/>
              <w:jc w:val="center"/>
            </w:pPr>
            <w:r>
              <w:rPr>
                <w:rFonts w:ascii="Times New Roman" w:hAnsi="Times New Roman"/>
                <w:b/>
                <w:i w:val="0"/>
                <w:sz w:val="13"/>
              </w:rPr>
              <w:t>Data / region</w:t>
            </w:r>
          </w:p>
        </w:tc>
        <w:tc>
          <w:tcPr>
            <w:tcW w:type="dxa" w:w="1238"/>
            <w:tcBorders>
              <w:top w:val="single" w:sz="8" w:color="000000"/>
              <w:bottom w:val="nil"/>
              <w:left w:val="nil"/>
              <w:right w:val="nil"/>
            </w:tcBorders>
          </w:tcPr>
          <w:p>
            <w:pPr>
              <w:keepNext/>
              <w:jc w:val="center"/>
            </w:pPr>
            <w:r>
              <w:rPr>
                <w:rFonts w:ascii="Times New Roman" w:hAnsi="Times New Roman"/>
                <w:b/>
                <w:i w:val="0"/>
                <w:sz w:val="13"/>
              </w:rPr>
              <w:t>Outcome</w:t>
            </w:r>
          </w:p>
        </w:tc>
        <w:tc>
          <w:tcPr>
            <w:tcW w:type="dxa" w:w="1008"/>
            <w:tcBorders>
              <w:top w:val="single" w:sz="8" w:color="000000"/>
              <w:bottom w:val="nil"/>
              <w:left w:val="nil"/>
              <w:right w:val="nil"/>
            </w:tcBorders>
          </w:tcPr>
          <w:p>
            <w:pPr>
              <w:keepNext/>
              <w:jc w:val="center"/>
            </w:pPr>
            <w:r>
              <w:rPr>
                <w:rFonts w:ascii="Times New Roman" w:hAnsi="Times New Roman"/>
                <w:b/>
                <w:i w:val="0"/>
                <w:sz w:val="13"/>
              </w:rPr>
              <w:t>Gap for early warning</w:t>
            </w:r>
          </w:p>
        </w:tc>
      </w:tr>
      <w:tr>
        <w:tc>
          <w:tcPr>
            <w:tcW w:type="dxa" w:w="605"/>
            <w:tcBorders>
              <w:top w:val="single" w:sz="4" w:color="000000"/>
              <w:bottom w:val="nil"/>
              <w:left w:val="nil"/>
              <w:right w:val="nil"/>
            </w:tcBorders>
          </w:tcPr>
          <w:p>
            <w:pPr>
              <w:keepNext/>
              <w:jc w:val="left"/>
            </w:pPr>
            <w:r>
              <w:rPr>
                <w:rFonts w:ascii="Times New Roman" w:hAnsi="Times New Roman"/>
                <w:b w:val="0"/>
                <w:i w:val="0"/>
                <w:sz w:val="13"/>
              </w:rPr>
              <w:t>[4]</w:t>
            </w:r>
          </w:p>
        </w:tc>
        <w:tc>
          <w:tcPr>
            <w:tcW w:type="dxa" w:w="1123"/>
            <w:tcBorders>
              <w:top w:val="single" w:sz="4" w:color="000000"/>
              <w:bottom w:val="nil"/>
              <w:left w:val="nil"/>
              <w:right w:val="nil"/>
            </w:tcBorders>
          </w:tcPr>
          <w:p>
            <w:pPr>
              <w:keepNext/>
              <w:jc w:val="center"/>
            </w:pPr>
            <w:r>
              <w:rPr>
                <w:rFonts w:ascii="Times New Roman" w:hAnsi="Times New Roman"/>
                <w:b w:val="0"/>
                <w:i w:val="0"/>
                <w:sz w:val="13"/>
              </w:rPr>
              <w:t>Rainfall–NDVI residual trend</w:t>
            </w:r>
          </w:p>
        </w:tc>
        <w:tc>
          <w:tcPr>
            <w:tcW w:type="dxa" w:w="1066"/>
            <w:tcBorders>
              <w:top w:val="single" w:sz="4" w:color="000000"/>
              <w:bottom w:val="nil"/>
              <w:left w:val="nil"/>
              <w:right w:val="nil"/>
            </w:tcBorders>
          </w:tcPr>
          <w:p>
            <w:pPr>
              <w:keepNext/>
              <w:jc w:val="center"/>
            </w:pPr>
            <w:r>
              <w:rPr>
                <w:rFonts w:ascii="Times New Roman" w:hAnsi="Times New Roman"/>
                <w:b w:val="0"/>
                <w:i w:val="0"/>
                <w:sz w:val="13"/>
              </w:rPr>
              <w:t>AVHRR, S. Africa</w:t>
            </w:r>
          </w:p>
        </w:tc>
        <w:tc>
          <w:tcPr>
            <w:tcW w:type="dxa" w:w="1238"/>
            <w:tcBorders>
              <w:top w:val="single" w:sz="4" w:color="000000"/>
              <w:bottom w:val="nil"/>
              <w:left w:val="nil"/>
              <w:right w:val="nil"/>
            </w:tcBorders>
          </w:tcPr>
          <w:p>
            <w:pPr>
              <w:keepNext/>
              <w:jc w:val="center"/>
            </w:pPr>
            <w:r>
              <w:rPr>
                <w:rFonts w:ascii="Times New Roman" w:hAnsi="Times New Roman"/>
                <w:b w:val="0"/>
                <w:i w:val="0"/>
                <w:sz w:val="13"/>
              </w:rPr>
              <w:t>Separates human vs. rain effects</w:t>
            </w:r>
          </w:p>
        </w:tc>
        <w:tc>
          <w:tcPr>
            <w:tcW w:type="dxa" w:w="1008"/>
            <w:tcBorders>
              <w:top w:val="single" w:sz="4" w:color="000000"/>
              <w:bottom w:val="nil"/>
              <w:left w:val="nil"/>
              <w:right w:val="nil"/>
            </w:tcBorders>
          </w:tcPr>
          <w:p>
            <w:pPr>
              <w:keepNext/>
              <w:jc w:val="center"/>
            </w:pPr>
            <w:r>
              <w:rPr>
                <w:rFonts w:ascii="Times New Roman" w:hAnsi="Times New Roman"/>
                <w:b w:val="0"/>
                <w:i w:val="0"/>
                <w:sz w:val="13"/>
              </w:rPr>
              <w:t>Retrospective, annual</w:t>
            </w:r>
          </w:p>
        </w:tc>
      </w:tr>
      <w:tr>
        <w:tc>
          <w:tcPr>
            <w:tcW w:type="dxa" w:w="605"/>
            <w:tcBorders>
              <w:top w:val="nil"/>
              <w:bottom w:val="nil"/>
              <w:left w:val="nil"/>
              <w:right w:val="nil"/>
            </w:tcBorders>
          </w:tcPr>
          <w:p>
            <w:pPr>
              <w:keepNext/>
              <w:jc w:val="left"/>
            </w:pPr>
            <w:r>
              <w:rPr>
                <w:rFonts w:ascii="Times New Roman" w:hAnsi="Times New Roman"/>
                <w:b w:val="0"/>
                <w:i w:val="0"/>
                <w:sz w:val="13"/>
              </w:rPr>
              <w:t>[5]</w:t>
            </w:r>
          </w:p>
        </w:tc>
        <w:tc>
          <w:tcPr>
            <w:tcW w:type="dxa" w:w="1123"/>
            <w:tcBorders>
              <w:top w:val="nil"/>
              <w:bottom w:val="nil"/>
              <w:left w:val="nil"/>
              <w:right w:val="nil"/>
            </w:tcBorders>
          </w:tcPr>
          <w:p>
            <w:pPr>
              <w:keepNext/>
              <w:jc w:val="center"/>
            </w:pPr>
            <w:r>
              <w:rPr>
                <w:rFonts w:ascii="Times New Roman" w:hAnsi="Times New Roman"/>
                <w:b w:val="0"/>
                <w:i w:val="0"/>
                <w:sz w:val="13"/>
              </w:rPr>
              <w:t>Peer scaling (LNS)</w:t>
            </w:r>
          </w:p>
        </w:tc>
        <w:tc>
          <w:tcPr>
            <w:tcW w:type="dxa" w:w="1066"/>
            <w:tcBorders>
              <w:top w:val="nil"/>
              <w:bottom w:val="nil"/>
              <w:left w:val="nil"/>
              <w:right w:val="nil"/>
            </w:tcBorders>
          </w:tcPr>
          <w:p>
            <w:pPr>
              <w:keepNext/>
              <w:jc w:val="center"/>
            </w:pPr>
            <w:r>
              <w:rPr>
                <w:rFonts w:ascii="Times New Roman" w:hAnsi="Times New Roman"/>
                <w:b w:val="0"/>
                <w:i w:val="0"/>
                <w:sz w:val="13"/>
              </w:rPr>
              <w:t>MODIS, Zimbabwe</w:t>
            </w:r>
          </w:p>
        </w:tc>
        <w:tc>
          <w:tcPr>
            <w:tcW w:type="dxa" w:w="1238"/>
            <w:tcBorders>
              <w:top w:val="nil"/>
              <w:bottom w:val="nil"/>
              <w:left w:val="nil"/>
              <w:right w:val="nil"/>
            </w:tcBorders>
          </w:tcPr>
          <w:p>
            <w:pPr>
              <w:keepNext/>
              <w:jc w:val="center"/>
            </w:pPr>
            <w:r>
              <w:rPr>
                <w:rFonts w:ascii="Times New Roman" w:hAnsi="Times New Roman"/>
                <w:b w:val="0"/>
                <w:i w:val="0"/>
                <w:sz w:val="13"/>
              </w:rPr>
              <w:t>Relative productivity loss</w:t>
            </w:r>
          </w:p>
        </w:tc>
        <w:tc>
          <w:tcPr>
            <w:tcW w:type="dxa" w:w="1008"/>
            <w:tcBorders>
              <w:top w:val="nil"/>
              <w:bottom w:val="nil"/>
              <w:left w:val="nil"/>
              <w:right w:val="nil"/>
            </w:tcBorders>
          </w:tcPr>
          <w:p>
            <w:pPr>
              <w:keepNext/>
              <w:jc w:val="center"/>
            </w:pPr>
            <w:r>
              <w:rPr>
                <w:rFonts w:ascii="Times New Roman" w:hAnsi="Times New Roman"/>
                <w:b w:val="0"/>
                <w:i w:val="0"/>
                <w:sz w:val="13"/>
              </w:rPr>
              <w:t>Retrospective</w:t>
            </w:r>
          </w:p>
        </w:tc>
      </w:tr>
      <w:tr>
        <w:tc>
          <w:tcPr>
            <w:tcW w:type="dxa" w:w="605"/>
            <w:tcBorders>
              <w:top w:val="nil"/>
              <w:bottom w:val="nil"/>
              <w:left w:val="nil"/>
              <w:right w:val="nil"/>
            </w:tcBorders>
          </w:tcPr>
          <w:p>
            <w:pPr>
              <w:keepNext/>
              <w:jc w:val="left"/>
            </w:pPr>
            <w:r>
              <w:rPr>
                <w:rFonts w:ascii="Times New Roman" w:hAnsi="Times New Roman"/>
                <w:b w:val="0"/>
                <w:i w:val="0"/>
                <w:sz w:val="13"/>
              </w:rPr>
              <w:t>[13]</w:t>
            </w:r>
          </w:p>
        </w:tc>
        <w:tc>
          <w:tcPr>
            <w:tcW w:type="dxa" w:w="1123"/>
            <w:tcBorders>
              <w:top w:val="nil"/>
              <w:bottom w:val="nil"/>
              <w:left w:val="nil"/>
              <w:right w:val="nil"/>
            </w:tcBorders>
          </w:tcPr>
          <w:p>
            <w:pPr>
              <w:keepNext/>
              <w:jc w:val="center"/>
            </w:pPr>
            <w:r>
              <w:rPr>
                <w:rFonts w:ascii="Times New Roman" w:hAnsi="Times New Roman"/>
                <w:b w:val="0"/>
                <w:i w:val="0"/>
                <w:sz w:val="13"/>
              </w:rPr>
              <w:t>Trend–season breaks</w:t>
            </w:r>
          </w:p>
        </w:tc>
        <w:tc>
          <w:tcPr>
            <w:tcW w:type="dxa" w:w="1066"/>
            <w:tcBorders>
              <w:top w:val="nil"/>
              <w:bottom w:val="nil"/>
              <w:left w:val="nil"/>
              <w:right w:val="nil"/>
            </w:tcBorders>
          </w:tcPr>
          <w:p>
            <w:pPr>
              <w:keepNext/>
              <w:jc w:val="center"/>
            </w:pPr>
            <w:r>
              <w:rPr>
                <w:rFonts w:ascii="Times New Roman" w:hAnsi="Times New Roman"/>
                <w:b w:val="0"/>
                <w:i w:val="0"/>
                <w:sz w:val="13"/>
              </w:rPr>
              <w:t>MODIS NDVI</w:t>
            </w:r>
          </w:p>
        </w:tc>
        <w:tc>
          <w:tcPr>
            <w:tcW w:type="dxa" w:w="1238"/>
            <w:tcBorders>
              <w:top w:val="nil"/>
              <w:bottom w:val="nil"/>
              <w:left w:val="nil"/>
              <w:right w:val="nil"/>
            </w:tcBorders>
          </w:tcPr>
          <w:p>
            <w:pPr>
              <w:keepNext/>
              <w:jc w:val="center"/>
            </w:pPr>
            <w:r>
              <w:rPr>
                <w:rFonts w:ascii="Times New Roman" w:hAnsi="Times New Roman"/>
                <w:b w:val="0"/>
                <w:i w:val="0"/>
                <w:sz w:val="13"/>
              </w:rPr>
              <w:t>Abrupt and gradual breaks</w:t>
            </w:r>
          </w:p>
        </w:tc>
        <w:tc>
          <w:tcPr>
            <w:tcW w:type="dxa" w:w="1008"/>
            <w:tcBorders>
              <w:top w:val="nil"/>
              <w:bottom w:val="nil"/>
              <w:left w:val="nil"/>
              <w:right w:val="nil"/>
            </w:tcBorders>
          </w:tcPr>
          <w:p>
            <w:pPr>
              <w:keepNext/>
              <w:jc w:val="center"/>
            </w:pPr>
            <w:r>
              <w:rPr>
                <w:rFonts w:ascii="Times New Roman" w:hAnsi="Times New Roman"/>
                <w:b w:val="0"/>
                <w:i w:val="0"/>
                <w:sz w:val="13"/>
              </w:rPr>
              <w:t>Detects after change</w:t>
            </w:r>
          </w:p>
        </w:tc>
      </w:tr>
      <w:tr>
        <w:tc>
          <w:tcPr>
            <w:tcW w:type="dxa" w:w="605"/>
            <w:tcBorders>
              <w:top w:val="nil"/>
              <w:bottom w:val="nil"/>
              <w:left w:val="nil"/>
              <w:right w:val="nil"/>
            </w:tcBorders>
          </w:tcPr>
          <w:p>
            <w:pPr>
              <w:keepNext/>
              <w:jc w:val="left"/>
            </w:pPr>
            <w:r>
              <w:rPr>
                <w:rFonts w:ascii="Times New Roman" w:hAnsi="Times New Roman"/>
                <w:b w:val="0"/>
                <w:i w:val="0"/>
                <w:sz w:val="13"/>
              </w:rPr>
              <w:t>[14]</w:t>
            </w:r>
          </w:p>
        </w:tc>
        <w:tc>
          <w:tcPr>
            <w:tcW w:type="dxa" w:w="1123"/>
            <w:tcBorders>
              <w:top w:val="nil"/>
              <w:bottom w:val="nil"/>
              <w:left w:val="nil"/>
              <w:right w:val="nil"/>
            </w:tcBorders>
          </w:tcPr>
          <w:p>
            <w:pPr>
              <w:keepNext/>
              <w:jc w:val="center"/>
            </w:pPr>
            <w:r>
              <w:rPr>
                <w:rFonts w:ascii="Times New Roman" w:hAnsi="Times New Roman"/>
                <w:b w:val="0"/>
                <w:i w:val="0"/>
                <w:sz w:val="13"/>
              </w:rPr>
              <w:t>Decision trees</w:t>
            </w:r>
          </w:p>
        </w:tc>
        <w:tc>
          <w:tcPr>
            <w:tcW w:type="dxa" w:w="1066"/>
            <w:tcBorders>
              <w:top w:val="nil"/>
              <w:bottom w:val="nil"/>
              <w:left w:val="nil"/>
              <w:right w:val="nil"/>
            </w:tcBorders>
          </w:tcPr>
          <w:p>
            <w:pPr>
              <w:keepNext/>
              <w:jc w:val="center"/>
            </w:pPr>
            <w:r>
              <w:rPr>
                <w:rFonts w:ascii="Times New Roman" w:hAnsi="Times New Roman"/>
                <w:b w:val="0"/>
                <w:i w:val="0"/>
                <w:sz w:val="13"/>
              </w:rPr>
              <w:t>Landsat, global</w:t>
            </w:r>
          </w:p>
        </w:tc>
        <w:tc>
          <w:tcPr>
            <w:tcW w:type="dxa" w:w="1238"/>
            <w:tcBorders>
              <w:top w:val="nil"/>
              <w:bottom w:val="nil"/>
              <w:left w:val="nil"/>
              <w:right w:val="nil"/>
            </w:tcBorders>
          </w:tcPr>
          <w:p>
            <w:pPr>
              <w:keepNext/>
              <w:jc w:val="center"/>
            </w:pPr>
            <w:r>
              <w:rPr>
                <w:rFonts w:ascii="Times New Roman" w:hAnsi="Times New Roman"/>
                <w:b w:val="0"/>
                <w:i w:val="0"/>
                <w:sz w:val="13"/>
              </w:rPr>
              <w:t>Annual tree-cover loss</w:t>
            </w:r>
          </w:p>
        </w:tc>
        <w:tc>
          <w:tcPr>
            <w:tcW w:type="dxa" w:w="1008"/>
            <w:tcBorders>
              <w:top w:val="nil"/>
              <w:bottom w:val="nil"/>
              <w:left w:val="nil"/>
              <w:right w:val="nil"/>
            </w:tcBorders>
          </w:tcPr>
          <w:p>
            <w:pPr>
              <w:keepNext/>
              <w:jc w:val="center"/>
            </w:pPr>
            <w:r>
              <w:rPr>
                <w:rFonts w:ascii="Times New Roman" w:hAnsi="Times New Roman"/>
                <w:b w:val="0"/>
                <w:i w:val="0"/>
                <w:sz w:val="13"/>
              </w:rPr>
              <w:t>Forest only, after loss</w:t>
            </w:r>
          </w:p>
        </w:tc>
      </w:tr>
      <w:tr>
        <w:tc>
          <w:tcPr>
            <w:tcW w:type="dxa" w:w="605"/>
            <w:tcBorders>
              <w:top w:val="nil"/>
              <w:bottom w:val="nil"/>
              <w:left w:val="nil"/>
              <w:right w:val="nil"/>
            </w:tcBorders>
          </w:tcPr>
          <w:p>
            <w:pPr>
              <w:keepNext/>
              <w:jc w:val="left"/>
            </w:pPr>
            <w:r>
              <w:rPr>
                <w:rFonts w:ascii="Times New Roman" w:hAnsi="Times New Roman"/>
                <w:b w:val="0"/>
                <w:i w:val="0"/>
                <w:sz w:val="13"/>
              </w:rPr>
              <w:t>[15]</w:t>
            </w:r>
          </w:p>
        </w:tc>
        <w:tc>
          <w:tcPr>
            <w:tcW w:type="dxa" w:w="1123"/>
            <w:tcBorders>
              <w:top w:val="nil"/>
              <w:bottom w:val="nil"/>
              <w:left w:val="nil"/>
              <w:right w:val="nil"/>
            </w:tcBorders>
          </w:tcPr>
          <w:p>
            <w:pPr>
              <w:keepNext/>
              <w:jc w:val="center"/>
            </w:pPr>
            <w:r>
              <w:rPr>
                <w:rFonts w:ascii="Times New Roman" w:hAnsi="Times New Roman"/>
                <w:b w:val="0"/>
                <w:i w:val="0"/>
                <w:sz w:val="13"/>
              </w:rPr>
              <w:t>Radar change detection</w:t>
            </w:r>
          </w:p>
        </w:tc>
        <w:tc>
          <w:tcPr>
            <w:tcW w:type="dxa" w:w="1066"/>
            <w:tcBorders>
              <w:top w:val="nil"/>
              <w:bottom w:val="nil"/>
              <w:left w:val="nil"/>
              <w:right w:val="nil"/>
            </w:tcBorders>
          </w:tcPr>
          <w:p>
            <w:pPr>
              <w:keepNext/>
              <w:jc w:val="center"/>
            </w:pPr>
            <w:r>
              <w:rPr>
                <w:rFonts w:ascii="Times New Roman" w:hAnsi="Times New Roman"/>
                <w:b w:val="0"/>
                <w:i w:val="0"/>
                <w:sz w:val="13"/>
              </w:rPr>
              <w:t>Sentinel-1, tropics</w:t>
            </w:r>
          </w:p>
        </w:tc>
        <w:tc>
          <w:tcPr>
            <w:tcW w:type="dxa" w:w="1238"/>
            <w:tcBorders>
              <w:top w:val="nil"/>
              <w:bottom w:val="nil"/>
              <w:left w:val="nil"/>
              <w:right w:val="nil"/>
            </w:tcBorders>
          </w:tcPr>
          <w:p>
            <w:pPr>
              <w:keepNext/>
              <w:jc w:val="center"/>
            </w:pPr>
            <w:r>
              <w:rPr>
                <w:rFonts w:ascii="Times New Roman" w:hAnsi="Times New Roman"/>
                <w:b w:val="0"/>
                <w:i w:val="0"/>
                <w:sz w:val="13"/>
              </w:rPr>
              <w:t>Near-real-time alerts</w:t>
            </w:r>
          </w:p>
        </w:tc>
        <w:tc>
          <w:tcPr>
            <w:tcW w:type="dxa" w:w="1008"/>
            <w:tcBorders>
              <w:top w:val="nil"/>
              <w:bottom w:val="nil"/>
              <w:left w:val="nil"/>
              <w:right w:val="nil"/>
            </w:tcBorders>
          </w:tcPr>
          <w:p>
            <w:pPr>
              <w:keepNext/>
              <w:jc w:val="center"/>
            </w:pPr>
            <w:r>
              <w:rPr>
                <w:rFonts w:ascii="Times New Roman" w:hAnsi="Times New Roman"/>
                <w:b w:val="0"/>
                <w:i w:val="0"/>
                <w:sz w:val="13"/>
              </w:rPr>
              <w:t>Disturbance under way</w:t>
            </w:r>
          </w:p>
        </w:tc>
      </w:tr>
      <w:tr>
        <w:tc>
          <w:tcPr>
            <w:tcW w:type="dxa" w:w="605"/>
            <w:tcBorders>
              <w:top w:val="nil"/>
              <w:bottom w:val="nil"/>
              <w:left w:val="nil"/>
              <w:right w:val="nil"/>
            </w:tcBorders>
          </w:tcPr>
          <w:p>
            <w:pPr>
              <w:keepNext/>
              <w:jc w:val="left"/>
            </w:pPr>
            <w:r>
              <w:rPr>
                <w:rFonts w:ascii="Times New Roman" w:hAnsi="Times New Roman"/>
                <w:b w:val="0"/>
                <w:i w:val="0"/>
                <w:sz w:val="13"/>
              </w:rPr>
              <w:t>[8]</w:t>
            </w:r>
          </w:p>
        </w:tc>
        <w:tc>
          <w:tcPr>
            <w:tcW w:type="dxa" w:w="1123"/>
            <w:tcBorders>
              <w:top w:val="nil"/>
              <w:bottom w:val="nil"/>
              <w:left w:val="nil"/>
              <w:right w:val="nil"/>
            </w:tcBorders>
          </w:tcPr>
          <w:p>
            <w:pPr>
              <w:keepNext/>
              <w:jc w:val="center"/>
            </w:pPr>
            <w:r>
              <w:rPr>
                <w:rFonts w:ascii="Times New Roman" w:hAnsi="Times New Roman"/>
                <w:b w:val="0"/>
                <w:i w:val="0"/>
                <w:sz w:val="13"/>
              </w:rPr>
              <w:t>AC1 resilience</w:t>
            </w:r>
          </w:p>
        </w:tc>
        <w:tc>
          <w:tcPr>
            <w:tcW w:type="dxa" w:w="1066"/>
            <w:tcBorders>
              <w:top w:val="nil"/>
              <w:bottom w:val="nil"/>
              <w:left w:val="nil"/>
              <w:right w:val="nil"/>
            </w:tcBorders>
          </w:tcPr>
          <w:p>
            <w:pPr>
              <w:keepNext/>
              <w:jc w:val="center"/>
            </w:pPr>
            <w:r>
              <w:rPr>
                <w:rFonts w:ascii="Times New Roman" w:hAnsi="Times New Roman"/>
                <w:b w:val="0"/>
                <w:i w:val="0"/>
                <w:sz w:val="13"/>
              </w:rPr>
              <w:t>AVHRR, tropics</w:t>
            </w:r>
          </w:p>
        </w:tc>
        <w:tc>
          <w:tcPr>
            <w:tcW w:type="dxa" w:w="1238"/>
            <w:tcBorders>
              <w:top w:val="nil"/>
              <w:bottom w:val="nil"/>
              <w:left w:val="nil"/>
              <w:right w:val="nil"/>
            </w:tcBorders>
          </w:tcPr>
          <w:p>
            <w:pPr>
              <w:keepNext/>
              <w:jc w:val="center"/>
            </w:pPr>
            <w:r>
              <w:rPr>
                <w:rFonts w:ascii="Times New Roman" w:hAnsi="Times New Roman"/>
                <w:b w:val="0"/>
                <w:i w:val="0"/>
                <w:sz w:val="13"/>
              </w:rPr>
              <w:t>Low resilience before drought impact</w:t>
            </w:r>
          </w:p>
        </w:tc>
        <w:tc>
          <w:tcPr>
            <w:tcW w:type="dxa" w:w="1008"/>
            <w:tcBorders>
              <w:top w:val="nil"/>
              <w:bottom w:val="nil"/>
              <w:left w:val="nil"/>
              <w:right w:val="nil"/>
            </w:tcBorders>
          </w:tcPr>
          <w:p>
            <w:pPr>
              <w:keepNext/>
              <w:jc w:val="center"/>
            </w:pPr>
            <w:r>
              <w:rPr>
                <w:rFonts w:ascii="Times New Roman" w:hAnsi="Times New Roman"/>
                <w:b w:val="0"/>
                <w:i w:val="0"/>
                <w:sz w:val="13"/>
              </w:rPr>
              <w:t>No pixel forecast</w:t>
            </w:r>
          </w:p>
        </w:tc>
      </w:tr>
      <w:tr>
        <w:tc>
          <w:tcPr>
            <w:tcW w:type="dxa" w:w="605"/>
            <w:tcBorders>
              <w:top w:val="nil"/>
              <w:bottom w:val="nil"/>
              <w:left w:val="nil"/>
              <w:right w:val="nil"/>
            </w:tcBorders>
          </w:tcPr>
          <w:p>
            <w:pPr>
              <w:keepNext/>
              <w:jc w:val="left"/>
            </w:pPr>
            <w:r>
              <w:rPr>
                <w:rFonts w:ascii="Times New Roman" w:hAnsi="Times New Roman"/>
                <w:b w:val="0"/>
                <w:i w:val="0"/>
                <w:sz w:val="13"/>
              </w:rPr>
              <w:t>[9]</w:t>
            </w:r>
          </w:p>
        </w:tc>
        <w:tc>
          <w:tcPr>
            <w:tcW w:type="dxa" w:w="1123"/>
            <w:tcBorders>
              <w:top w:val="nil"/>
              <w:bottom w:val="nil"/>
              <w:left w:val="nil"/>
              <w:right w:val="nil"/>
            </w:tcBorders>
          </w:tcPr>
          <w:p>
            <w:pPr>
              <w:keepNext/>
              <w:jc w:val="center"/>
            </w:pPr>
            <w:r>
              <w:rPr>
                <w:rFonts w:ascii="Times New Roman" w:hAnsi="Times New Roman"/>
                <w:b w:val="0"/>
                <w:i w:val="0"/>
                <w:sz w:val="13"/>
              </w:rPr>
              <w:t>AC1 trends</w:t>
            </w:r>
          </w:p>
        </w:tc>
        <w:tc>
          <w:tcPr>
            <w:tcW w:type="dxa" w:w="1066"/>
            <w:tcBorders>
              <w:top w:val="nil"/>
              <w:bottom w:val="nil"/>
              <w:left w:val="nil"/>
              <w:right w:val="nil"/>
            </w:tcBorders>
          </w:tcPr>
          <w:p>
            <w:pPr>
              <w:keepNext/>
              <w:jc w:val="center"/>
            </w:pPr>
            <w:r>
              <w:rPr>
                <w:rFonts w:ascii="Times New Roman" w:hAnsi="Times New Roman"/>
                <w:b w:val="0"/>
                <w:i w:val="0"/>
                <w:sz w:val="13"/>
              </w:rPr>
              <w:t>AVHRR/MODIS, global</w:t>
            </w:r>
          </w:p>
        </w:tc>
        <w:tc>
          <w:tcPr>
            <w:tcW w:type="dxa" w:w="1238"/>
            <w:tcBorders>
              <w:top w:val="nil"/>
              <w:bottom w:val="nil"/>
              <w:left w:val="nil"/>
              <w:right w:val="nil"/>
            </w:tcBorders>
          </w:tcPr>
          <w:p>
            <w:pPr>
              <w:keepNext/>
              <w:jc w:val="center"/>
            </w:pPr>
            <w:r>
              <w:rPr>
                <w:rFonts w:ascii="Times New Roman" w:hAnsi="Times New Roman"/>
                <w:b w:val="0"/>
                <w:i w:val="0"/>
                <w:sz w:val="13"/>
              </w:rPr>
              <w:t>Resilience loss mapped</w:t>
            </w:r>
          </w:p>
        </w:tc>
        <w:tc>
          <w:tcPr>
            <w:tcW w:type="dxa" w:w="1008"/>
            <w:tcBorders>
              <w:top w:val="nil"/>
              <w:bottom w:val="nil"/>
              <w:left w:val="nil"/>
              <w:right w:val="nil"/>
            </w:tcBorders>
          </w:tcPr>
          <w:p>
            <w:pPr>
              <w:keepNext/>
              <w:jc w:val="center"/>
            </w:pPr>
            <w:r>
              <w:rPr>
                <w:rFonts w:ascii="Times New Roman" w:hAnsi="Times New Roman"/>
                <w:b w:val="0"/>
                <w:i w:val="0"/>
                <w:sz w:val="13"/>
              </w:rPr>
              <w:t>Descriptive</w:t>
            </w:r>
          </w:p>
        </w:tc>
      </w:tr>
      <w:tr>
        <w:tc>
          <w:tcPr>
            <w:tcW w:type="dxa" w:w="605"/>
            <w:tcBorders>
              <w:top w:val="nil"/>
              <w:bottom w:val="single" w:sz="8" w:color="000000"/>
              <w:left w:val="nil"/>
              <w:right w:val="nil"/>
            </w:tcBorders>
          </w:tcPr>
          <w:p>
            <w:pPr>
              <w:jc w:val="left"/>
            </w:pPr>
            <w:r>
              <w:rPr>
                <w:rFonts w:ascii="Times New Roman" w:hAnsi="Times New Roman"/>
                <w:b/>
                <w:i w:val="0"/>
                <w:sz w:val="13"/>
              </w:rPr>
              <w:t>Ours</w:t>
            </w:r>
          </w:p>
        </w:tc>
        <w:tc>
          <w:tcPr>
            <w:tcW w:type="dxa" w:w="1123"/>
            <w:tcBorders>
              <w:top w:val="nil"/>
              <w:bottom w:val="single" w:sz="8" w:color="000000"/>
              <w:left w:val="nil"/>
              <w:right w:val="nil"/>
            </w:tcBorders>
          </w:tcPr>
          <w:p>
            <w:pPr>
              <w:jc w:val="center"/>
            </w:pPr>
            <w:r>
              <w:rPr>
                <w:rFonts w:ascii="Times New Roman" w:hAnsi="Times New Roman"/>
                <w:b w:val="0"/>
                <w:i w:val="0"/>
                <w:sz w:val="13"/>
              </w:rPr>
              <w:t>LightGBM + residual + resilience + conformal</w:t>
            </w:r>
          </w:p>
        </w:tc>
        <w:tc>
          <w:tcPr>
            <w:tcW w:type="dxa" w:w="1066"/>
            <w:tcBorders>
              <w:top w:val="nil"/>
              <w:bottom w:val="single" w:sz="8" w:color="000000"/>
              <w:left w:val="nil"/>
              <w:right w:val="nil"/>
            </w:tcBorders>
          </w:tcPr>
          <w:p>
            <w:pPr>
              <w:jc w:val="center"/>
            </w:pPr>
            <w:r>
              <w:rPr>
                <w:rFonts w:ascii="Times New Roman" w:hAnsi="Times New Roman"/>
                <w:b w:val="0"/>
                <w:i w:val="0"/>
                <w:sz w:val="13"/>
              </w:rPr>
              <w:t>Sentinel-2, 23 sites, 9 countries</w:t>
            </w:r>
          </w:p>
        </w:tc>
        <w:tc>
          <w:tcPr>
            <w:tcW w:type="dxa" w:w="1238"/>
            <w:tcBorders>
              <w:top w:val="nil"/>
              <w:bottom w:val="single" w:sz="8" w:color="000000"/>
              <w:left w:val="nil"/>
              <w:right w:val="nil"/>
            </w:tcBorders>
          </w:tcPr>
          <w:p>
            <w:pPr>
              <w:jc w:val="center"/>
            </w:pPr>
            <w:r>
              <w:rPr>
                <w:rFonts w:ascii="Times New Roman" w:hAnsi="Times New Roman"/>
                <w:b w:val="0"/>
                <w:i w:val="0"/>
                <w:sz w:val="13"/>
              </w:rPr>
              <w:t>ROC 0.805, PR-AUC 0.144 (5.7×) on space–time hold-out</w:t>
            </w:r>
          </w:p>
        </w:tc>
        <w:tc>
          <w:tcPr>
            <w:tcW w:type="dxa" w:w="1008"/>
            <w:tcBorders>
              <w:top w:val="nil"/>
              <w:bottom w:val="single" w:sz="8" w:color="000000"/>
              <w:left w:val="nil"/>
              <w:right w:val="nil"/>
            </w:tcBorders>
          </w:tcPr>
          <w:p>
            <w:pPr>
              <w:jc w:val="center"/>
            </w:pPr>
            <w:r>
              <w:rPr>
                <w:rFonts w:ascii="Times New Roman" w:hAnsi="Times New Roman"/>
                <w:b w:val="0"/>
                <w:i w:val="0"/>
                <w:sz w:val="13"/>
              </w:rPr>
              <w:t>Precision 0.22; cropland weak</w:t>
            </w:r>
          </w:p>
        </w:tc>
      </w:tr>
    </w:tbl>
    <w:p>
      <w:pPr>
        <w:spacing w:after="80"/>
      </w:pPr>
    </w:p>
    <w:p>
      <w:pPr>
        <w:keepNext/>
        <w:spacing w:before="160" w:after="80"/>
        <w:jc w:val="center"/>
      </w:pPr>
      <w:r>
        <w:rPr>
          <w:rFonts w:ascii="Times New Roman" w:hAnsi="Times New Roman"/>
          <w:b w:val="0"/>
          <w:i w:val="0"/>
          <w:smallCaps/>
          <w:sz w:val="20"/>
        </w:rPr>
        <w:t xml:space="preserve">III. </w:t>
      </w:r>
      <w:r>
        <w:rPr>
          <w:rFonts w:ascii="Times New Roman" w:hAnsi="Times New Roman"/>
          <w:b w:val="0"/>
          <w:i w:val="0"/>
          <w:smallCaps/>
          <w:sz w:val="20"/>
        </w:rPr>
        <w:t>Proposed Methodology</w:t>
      </w:r>
    </w:p>
    <w:p>
      <w:pPr>
        <w:keepNext/>
        <w:spacing w:before="80" w:after="40"/>
      </w:pPr>
      <w:r>
        <w:rPr>
          <w:rFonts w:ascii="Times New Roman" w:hAnsi="Times New Roman"/>
          <w:b w:val="0"/>
          <w:i/>
          <w:sz w:val="20"/>
        </w:rPr>
        <w:t>A. System architecture</w:t>
      </w:r>
    </w:p>
    <w:p>
      <w:pPr>
        <w:keepNext/>
        <w:spacing w:before="120"/>
        <w:jc w:val="center"/>
      </w:pPr>
      <w:r>
        <w:drawing>
          <wp:inline xmlns:a="http://schemas.openxmlformats.org/drawingml/2006/main" xmlns:pic="http://schemas.openxmlformats.org/drawingml/2006/picture">
            <wp:extent cx="3154680" cy="2584847"/>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3154680" cy="2584847"/>
                    </a:xfrm>
                    <a:prstGeom prst="rect"/>
                  </pic:spPr>
                </pic:pic>
              </a:graphicData>
            </a:graphic>
          </wp:inline>
        </w:drawing>
      </w:r>
    </w:p>
    <w:p>
      <w:pPr>
        <w:spacing w:after="160"/>
        <w:jc w:val="both"/>
      </w:pPr>
      <w:r>
        <w:rPr>
          <w:rFonts w:ascii="Times New Roman" w:hAnsi="Times New Roman"/>
          <w:b w:val="0"/>
          <w:i w:val="0"/>
          <w:sz w:val="16"/>
        </w:rPr>
        <w:t xml:space="preserve">Fig. 1.  </w:t>
      </w:r>
      <w:r>
        <w:rPr>
          <w:rFonts w:ascii="Times New Roman" w:hAnsi="Times New Roman"/>
          <w:b w:val="0"/>
          <w:i w:val="0"/>
          <w:sz w:val="16"/>
        </w:rPr>
        <w:t>CARE-EW architecture. Open data are composited monthly, the climate-driven part of the anomaly is removed, causal features feed a regularised LightGBM model, and calibrated probabilities are turned into warning, no-event or abstain decisions shown in a web console.</w:t>
      </w:r>
    </w:p>
    <w:p>
      <w:pPr>
        <w:spacing w:after="0"/>
        <w:ind w:firstLine="245"/>
        <w:jc w:val="both"/>
      </w:pPr>
      <w:r>
        <w:rPr>
          <w:rFonts w:ascii="Times New Roman" w:hAnsi="Times New Roman"/>
          <w:b w:val="0"/>
          <w:i w:val="0"/>
          <w:sz w:val="20"/>
        </w:rPr>
        <w:t xml:space="preserve">Fig. 1 shows the pipeline. Every step uses data at or before the prediction month </w:t>
      </w:r>
      <w:r>
        <w:rPr>
          <w:rFonts w:ascii="Times New Roman" w:hAnsi="Times New Roman"/>
          <w:b w:val="0"/>
          <w:i/>
          <w:sz w:val="20"/>
        </w:rPr>
        <w:t>t</w:t>
      </w:r>
      <w:r>
        <w:rPr>
          <w:rFonts w:ascii="Times New Roman" w:hAnsi="Times New Roman"/>
          <w:b w:val="0"/>
          <w:i w:val="0"/>
          <w:sz w:val="20"/>
        </w:rPr>
        <w:t>; unit tests perturb future values and confirm that no feature changes.</w:t>
      </w:r>
    </w:p>
    <w:p>
      <w:pPr>
        <w:keepNext/>
        <w:spacing w:before="80" w:after="40"/>
      </w:pPr>
      <w:r>
        <w:rPr>
          <w:rFonts w:ascii="Times New Roman" w:hAnsi="Times New Roman"/>
          <w:b w:val="0"/>
          <w:i/>
          <w:sz w:val="20"/>
        </w:rPr>
        <w:t>B. Dataset</w:t>
      </w:r>
    </w:p>
    <w:p>
      <w:pPr>
        <w:spacing w:after="0"/>
        <w:ind w:firstLine="245"/>
        <w:jc w:val="both"/>
      </w:pPr>
      <w:r>
        <w:rPr>
          <w:rFonts w:ascii="Times New Roman" w:hAnsi="Times New Roman"/>
          <w:b/>
          <w:i w:val="0"/>
          <w:sz w:val="20"/>
        </w:rPr>
        <w:t>Study areas.</w:t>
      </w:r>
      <w:r>
        <w:rPr>
          <w:rFonts w:ascii="Times New Roman" w:hAnsi="Times New Roman"/>
          <w:b w:val="0"/>
          <w:i w:val="0"/>
          <w:sz w:val="20"/>
        </w:rPr>
        <w:t xml:space="preserve"> The model is trained on 17 areas of 5.12 × 5.12 km (512 × 512 pixels) in nine countries: Nepal (5), India (5), Ethiopia, Kenya, Senegal, Spain, Brazil, Mongolia and Australia. They cover Himalayan foothill forest, semi-arid cropland, rangeland, Mediterranean dryland and a mining landscape. Six further sites (Udayapur, Kailali and Sindhupalchok in Nepal; Marathwada, Singrauli and Shivalik in India) are used only as independent test sites.</w:t>
      </w:r>
    </w:p>
    <w:p>
      <w:pPr>
        <w:spacing w:after="0"/>
        <w:ind w:firstLine="245"/>
        <w:jc w:val="both"/>
      </w:pPr>
      <w:r>
        <w:rPr>
          <w:rFonts w:ascii="Times New Roman" w:hAnsi="Times New Roman"/>
          <w:b/>
          <w:i w:val="0"/>
          <w:sz w:val="20"/>
        </w:rPr>
        <w:t>Sources.</w:t>
      </w:r>
      <w:r>
        <w:rPr>
          <w:rFonts w:ascii="Times New Roman" w:hAnsi="Times New Roman"/>
          <w:b w:val="0"/>
          <w:i w:val="0"/>
          <w:sz w:val="20"/>
        </w:rPr>
        <w:t xml:space="preserve"> All inputs are open: Sentinel-2 L2A [23] (10–20 m, 2017–2026), MODIS MOD13Q1 NDVI (250 m, 2000–), ERA5/ERA5-Land [24] climate (precipitation, temperature, soil moisture, reference evapotranspiration), ESA WorldCover 2021 [17], NASADEM terrain, JRC surface water and HydroRIVERS. Landsat 8/9 is used only to check labels.</w:t>
      </w:r>
    </w:p>
    <w:p>
      <w:pPr>
        <w:spacing w:after="0"/>
        <w:ind w:firstLine="245"/>
        <w:jc w:val="both"/>
      </w:pPr>
      <w:r>
        <w:rPr>
          <w:rFonts w:ascii="Times New Roman" w:hAnsi="Times New Roman"/>
          <w:b/>
          <w:i w:val="0"/>
          <w:sz w:val="20"/>
        </w:rPr>
        <w:t>Preprocessing.</w:t>
      </w:r>
      <w:r>
        <w:rPr>
          <w:rFonts w:ascii="Times New Roman" w:hAnsi="Times New Roman"/>
          <w:b w:val="0"/>
          <w:i w:val="0"/>
          <w:sz w:val="20"/>
        </w:rPr>
        <w:t xml:space="preserve"> For each month the four least-cloudy Sentinel-2 scenes of one MGRS tile are used. Duplicate processings are removed, and the bottom-of-atmosphere offset of processing baseline 04.00 and later is corrected. Pixels outside the vegetation, soil and water scene classes are masked. NDVI, NDMI, NBR and BSI are computed per scene and composited by the monthly median:</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NDVI = (</w:t>
      </w:r>
      <w:r>
        <w:rPr>
          <w:rFonts w:ascii="Times New Roman" w:hAnsi="Times New Roman"/>
          <w:b w:val="0"/>
          <w:i/>
          <w:sz w:val="20"/>
        </w:rPr>
        <w:t>ρ</w:t>
      </w:r>
      <w:r>
        <w:rPr>
          <w:rFonts w:ascii="Times New Roman" w:hAnsi="Times New Roman"/>
          <w:b w:val="0"/>
          <w:i w:val="0"/>
          <w:sz w:val="20"/>
          <w:vertAlign w:val="subscript"/>
        </w:rPr>
        <w:t>NIR</w:t>
      </w:r>
      <w:r>
        <w:rPr>
          <w:rFonts w:ascii="Times New Roman" w:hAnsi="Times New Roman"/>
          <w:b w:val="0"/>
          <w:i/>
          <w:sz w:val="20"/>
        </w:rPr>
        <w:t xml:space="preserve"> − </w:t>
      </w:r>
      <w:r>
        <w:rPr>
          <w:rFonts w:ascii="Times New Roman" w:hAnsi="Times New Roman"/>
          <w:b w:val="0"/>
          <w:i/>
          <w:sz w:val="20"/>
        </w:rPr>
        <w:t>ρ</w:t>
      </w:r>
      <w:r>
        <w:rPr>
          <w:rFonts w:ascii="Times New Roman" w:hAnsi="Times New Roman"/>
          <w:b w:val="0"/>
          <w:i w:val="0"/>
          <w:sz w:val="20"/>
          <w:vertAlign w:val="subscript"/>
        </w:rPr>
        <w:t>red</w:t>
      </w:r>
      <w:r>
        <w:rPr>
          <w:rFonts w:ascii="Times New Roman" w:hAnsi="Times New Roman"/>
          <w:b w:val="0"/>
          <w:i/>
          <w:sz w:val="20"/>
        </w:rPr>
        <w:t>) / (</w:t>
      </w:r>
      <w:r>
        <w:rPr>
          <w:rFonts w:ascii="Times New Roman" w:hAnsi="Times New Roman"/>
          <w:b w:val="0"/>
          <w:i/>
          <w:sz w:val="20"/>
        </w:rPr>
        <w:t>ρ</w:t>
      </w:r>
      <w:r>
        <w:rPr>
          <w:rFonts w:ascii="Times New Roman" w:hAnsi="Times New Roman"/>
          <w:b w:val="0"/>
          <w:i w:val="0"/>
          <w:sz w:val="20"/>
          <w:vertAlign w:val="subscript"/>
        </w:rPr>
        <w:t>NIR</w:t>
      </w:r>
      <w:r>
        <w:rPr>
          <w:rFonts w:ascii="Times New Roman" w:hAnsi="Times New Roman"/>
          <w:b w:val="0"/>
          <w:i/>
          <w:sz w:val="20"/>
        </w:rPr>
        <w:t xml:space="preserve"> + </w:t>
      </w:r>
      <w:r>
        <w:rPr>
          <w:rFonts w:ascii="Times New Roman" w:hAnsi="Times New Roman"/>
          <w:b w:val="0"/>
          <w:i/>
          <w:sz w:val="20"/>
        </w:rPr>
        <w:t>ρ</w:t>
      </w:r>
      <w:r>
        <w:rPr>
          <w:rFonts w:ascii="Times New Roman" w:hAnsi="Times New Roman"/>
          <w:b w:val="0"/>
          <w:i w:val="0"/>
          <w:sz w:val="20"/>
          <w:vertAlign w:val="subscript"/>
        </w:rPr>
        <w:t>red</w:t>
      </w:r>
      <w:r>
        <w:rPr>
          <w:rFonts w:ascii="Times New Roman" w:hAnsi="Times New Roman"/>
          <w:b w:val="0"/>
          <w:i/>
          <w:sz w:val="20"/>
        </w:rPr>
        <w:t>)</w:t>
      </w:r>
      <w:r>
        <w:rPr>
          <w:rFonts w:ascii="Times New Roman" w:hAnsi="Times New Roman"/>
          <w:b w:val="0"/>
          <w:i w:val="0"/>
          <w:sz w:val="20"/>
        </w:rPr>
        <w:tab/>
        <w:t>(1)</w:t>
      </w:r>
    </w:p>
    <w:p>
      <w:pPr>
        <w:spacing w:after="0"/>
        <w:jc w:val="both"/>
      </w:pPr>
      <w:r>
        <w:rPr>
          <w:rFonts w:ascii="Times New Roman" w:hAnsi="Times New Roman"/>
          <w:b w:val="0"/>
          <w:i w:val="0"/>
          <w:sz w:val="20"/>
        </w:rPr>
        <w:t>A seasonal baseline μₘ (calendar-month median, 2017–2020) and a robust spread σ (1.4826 × MAD) give the standardised anomaly:</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z</w:t>
      </w:r>
      <w:r>
        <w:rPr>
          <w:rFonts w:ascii="Times New Roman" w:hAnsi="Times New Roman"/>
          <w:b w:val="0"/>
          <w:i/>
          <w:sz w:val="20"/>
          <w:vertAlign w:val="subscript"/>
        </w:rPr>
        <w:t>t</w:t>
      </w:r>
      <w:r>
        <w:rPr>
          <w:rFonts w:ascii="Times New Roman" w:hAnsi="Times New Roman"/>
          <w:b w:val="0"/>
          <w:i/>
          <w:sz w:val="20"/>
        </w:rPr>
        <w:t xml:space="preserve"> = (Y</w:t>
      </w:r>
      <w:r>
        <w:rPr>
          <w:rFonts w:ascii="Times New Roman" w:hAnsi="Times New Roman"/>
          <w:b w:val="0"/>
          <w:i/>
          <w:sz w:val="20"/>
          <w:vertAlign w:val="subscript"/>
        </w:rPr>
        <w:t>t</w:t>
      </w:r>
      <w:r>
        <w:rPr>
          <w:rFonts w:ascii="Times New Roman" w:hAnsi="Times New Roman"/>
          <w:b w:val="0"/>
          <w:i/>
          <w:sz w:val="20"/>
        </w:rPr>
        <w:t xml:space="preserve"> − μ</w:t>
      </w:r>
      <w:r>
        <w:rPr>
          <w:rFonts w:ascii="Times New Roman" w:hAnsi="Times New Roman"/>
          <w:b w:val="0"/>
          <w:i/>
          <w:sz w:val="20"/>
          <w:vertAlign w:val="subscript"/>
        </w:rPr>
        <w:t>m(t)</w:t>
      </w:r>
      <w:r>
        <w:rPr>
          <w:rFonts w:ascii="Times New Roman" w:hAnsi="Times New Roman"/>
          <w:b w:val="0"/>
          <w:i/>
          <w:sz w:val="20"/>
        </w:rPr>
        <w:t>) / σ</w:t>
      </w:r>
      <w:r>
        <w:rPr>
          <w:rFonts w:ascii="Times New Roman" w:hAnsi="Times New Roman"/>
          <w:b w:val="0"/>
          <w:i w:val="0"/>
          <w:sz w:val="20"/>
        </w:rPr>
        <w:tab/>
        <w:t>(2)</w:t>
      </w:r>
    </w:p>
    <w:p>
      <w:pPr>
        <w:spacing w:after="0"/>
        <w:jc w:val="both"/>
      </w:pPr>
      <w:r>
        <w:rPr>
          <w:rFonts w:ascii="Times New Roman" w:hAnsi="Times New Roman"/>
          <w:b/>
          <w:i w:val="0"/>
          <w:sz w:val="20"/>
        </w:rPr>
        <w:t>Size.</w:t>
      </w:r>
      <w:r>
        <w:rPr>
          <w:rFonts w:ascii="Times New Roman" w:hAnsi="Times New Roman"/>
          <w:b w:val="0"/>
          <w:i w:val="0"/>
          <w:sz w:val="20"/>
        </w:rPr>
        <w:t xml:space="preserve"> The labelled table holds 4,294,330 pixel-months, from 5000 sampled pixels per site (Table II).</w:t>
      </w:r>
    </w:p>
    <w:p>
      <w:pPr>
        <w:keepNext/>
        <w:spacing w:before="120"/>
        <w:jc w:val="center"/>
      </w:pPr>
      <w:r>
        <w:rPr>
          <w:rFonts w:ascii="Times New Roman" w:hAnsi="Times New Roman"/>
          <w:b w:val="0"/>
          <w:i w:val="0"/>
          <w:smallCaps/>
          <w:sz w:val="16"/>
        </w:rPr>
        <w:t>TABLE II</w:t>
      </w:r>
    </w:p>
    <w:p>
      <w:pPr>
        <w:keepNext/>
        <w:spacing w:after="60"/>
        <w:jc w:val="center"/>
      </w:pPr>
      <w:r>
        <w:rPr>
          <w:rFonts w:ascii="Times New Roman" w:hAnsi="Times New Roman"/>
          <w:b w:val="0"/>
          <w:i w:val="0"/>
          <w:smallCaps/>
          <w:sz w:val="16"/>
        </w:rPr>
        <w:t>Study Areas (5.12 × 5.12 km Each)</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720"/>
            <w:tcBorders>
              <w:top w:val="single" w:sz="8" w:color="000000"/>
              <w:bottom w:val="nil"/>
              <w:left w:val="nil"/>
              <w:right w:val="nil"/>
            </w:tcBorders>
          </w:tcPr>
          <w:p>
            <w:pPr>
              <w:keepNext/>
              <w:jc w:val="left"/>
            </w:pPr>
            <w:r>
              <w:rPr>
                <w:rFonts w:ascii="Times New Roman" w:hAnsi="Times New Roman"/>
                <w:b/>
                <w:i w:val="0"/>
                <w:sz w:val="13"/>
              </w:rPr>
              <w:t>Region</w:t>
            </w:r>
          </w:p>
        </w:tc>
        <w:tc>
          <w:tcPr>
            <w:tcW w:type="dxa" w:w="1944"/>
            <w:tcBorders>
              <w:top w:val="single" w:sz="8" w:color="000000"/>
              <w:bottom w:val="nil"/>
              <w:left w:val="nil"/>
              <w:right w:val="nil"/>
            </w:tcBorders>
          </w:tcPr>
          <w:p>
            <w:pPr>
              <w:keepNext/>
              <w:jc w:val="center"/>
            </w:pPr>
            <w:r>
              <w:rPr>
                <w:rFonts w:ascii="Times New Roman" w:hAnsi="Times New Roman"/>
                <w:b/>
                <w:i w:val="0"/>
                <w:sz w:val="13"/>
              </w:rPr>
              <w:t>Sites</w:t>
            </w:r>
          </w:p>
        </w:tc>
        <w:tc>
          <w:tcPr>
            <w:tcW w:type="dxa" w:w="1512"/>
            <w:tcBorders>
              <w:top w:val="single" w:sz="8" w:color="000000"/>
              <w:bottom w:val="nil"/>
              <w:left w:val="nil"/>
              <w:right w:val="nil"/>
            </w:tcBorders>
          </w:tcPr>
          <w:p>
            <w:pPr>
              <w:keepNext/>
              <w:jc w:val="center"/>
            </w:pPr>
            <w:r>
              <w:rPr>
                <w:rFonts w:ascii="Times New Roman" w:hAnsi="Times New Roman"/>
                <w:b/>
                <w:i w:val="0"/>
                <w:sz w:val="13"/>
              </w:rPr>
              <w:t>Landscape</w:t>
            </w:r>
          </w:p>
        </w:tc>
        <w:tc>
          <w:tcPr>
            <w:tcW w:type="dxa" w:w="864"/>
            <w:tcBorders>
              <w:top w:val="single" w:sz="8" w:color="000000"/>
              <w:bottom w:val="nil"/>
              <w:left w:val="nil"/>
              <w:right w:val="nil"/>
            </w:tcBorders>
          </w:tcPr>
          <w:p>
            <w:pPr>
              <w:keepNext/>
              <w:jc w:val="center"/>
            </w:pPr>
            <w:r>
              <w:rPr>
                <w:rFonts w:ascii="Times New Roman" w:hAnsi="Times New Roman"/>
                <w:b/>
                <w:i w:val="0"/>
                <w:sz w:val="13"/>
              </w:rPr>
              <w:t>Role</w:t>
            </w:r>
          </w:p>
        </w:tc>
      </w:tr>
      <w:tr>
        <w:tc>
          <w:tcPr>
            <w:tcW w:type="dxa" w:w="720"/>
            <w:tcBorders>
              <w:top w:val="single" w:sz="4" w:color="000000"/>
              <w:bottom w:val="nil"/>
              <w:left w:val="nil"/>
              <w:right w:val="nil"/>
            </w:tcBorders>
          </w:tcPr>
          <w:p>
            <w:pPr>
              <w:keepNext/>
              <w:jc w:val="left"/>
            </w:pPr>
            <w:r>
              <w:rPr>
                <w:rFonts w:ascii="Times New Roman" w:hAnsi="Times New Roman"/>
                <w:b w:val="0"/>
                <w:i w:val="0"/>
                <w:sz w:val="13"/>
              </w:rPr>
              <w:t>Nepal</w:t>
            </w:r>
          </w:p>
        </w:tc>
        <w:tc>
          <w:tcPr>
            <w:tcW w:type="dxa" w:w="1944"/>
            <w:tcBorders>
              <w:top w:val="single" w:sz="4" w:color="000000"/>
              <w:bottom w:val="nil"/>
              <w:left w:val="nil"/>
              <w:right w:val="nil"/>
            </w:tcBorders>
          </w:tcPr>
          <w:p>
            <w:pPr>
              <w:keepNext/>
              <w:jc w:val="center"/>
            </w:pPr>
            <w:r>
              <w:rPr>
                <w:rFonts w:ascii="Times New Roman" w:hAnsi="Times New Roman"/>
                <w:b w:val="0"/>
                <w:i w:val="0"/>
                <w:sz w:val="13"/>
              </w:rPr>
              <w:t>Chure, Dang, Sarlahi, Kavre, Surkhet</w:t>
            </w:r>
          </w:p>
        </w:tc>
        <w:tc>
          <w:tcPr>
            <w:tcW w:type="dxa" w:w="1512"/>
            <w:tcBorders>
              <w:top w:val="single" w:sz="4" w:color="000000"/>
              <w:bottom w:val="nil"/>
              <w:left w:val="nil"/>
              <w:right w:val="nil"/>
            </w:tcBorders>
          </w:tcPr>
          <w:p>
            <w:pPr>
              <w:keepNext/>
              <w:jc w:val="center"/>
            </w:pPr>
            <w:r>
              <w:rPr>
                <w:rFonts w:ascii="Times New Roman" w:hAnsi="Times New Roman"/>
                <w:b w:val="0"/>
                <w:i w:val="0"/>
                <w:sz w:val="13"/>
              </w:rPr>
              <w:t>foothill forest, mid-hills</w:t>
            </w:r>
          </w:p>
        </w:tc>
        <w:tc>
          <w:tcPr>
            <w:tcW w:type="dxa" w:w="864"/>
            <w:tcBorders>
              <w:top w:val="single" w:sz="4" w:color="000000"/>
              <w:bottom w:val="nil"/>
              <w:left w:val="nil"/>
              <w:right w:val="nil"/>
            </w:tcBorders>
          </w:tcPr>
          <w:p>
            <w:pPr>
              <w:keepNext/>
              <w:jc w:val="center"/>
            </w:pPr>
            <w:r>
              <w:rPr>
                <w:rFonts w:ascii="Times New Roman" w:hAnsi="Times New Roman"/>
                <w:b w:val="0"/>
                <w:i w:val="0"/>
                <w:sz w:val="13"/>
              </w:rPr>
              <w:t>train / test</w:t>
            </w:r>
          </w:p>
        </w:tc>
      </w:tr>
      <w:tr>
        <w:tc>
          <w:tcPr>
            <w:tcW w:type="dxa" w:w="720"/>
            <w:tcBorders>
              <w:top w:val="nil"/>
              <w:bottom w:val="nil"/>
              <w:left w:val="nil"/>
              <w:right w:val="nil"/>
            </w:tcBorders>
          </w:tcPr>
          <w:p>
            <w:pPr>
              <w:keepNext/>
              <w:jc w:val="left"/>
            </w:pPr>
            <w:r>
              <w:rPr>
                <w:rFonts w:ascii="Times New Roman" w:hAnsi="Times New Roman"/>
                <w:b w:val="0"/>
                <w:i w:val="0"/>
                <w:sz w:val="13"/>
              </w:rPr>
              <w:t>India</w:t>
            </w:r>
          </w:p>
        </w:tc>
        <w:tc>
          <w:tcPr>
            <w:tcW w:type="dxa" w:w="1944"/>
            <w:tcBorders>
              <w:top w:val="nil"/>
              <w:bottom w:val="nil"/>
              <w:left w:val="nil"/>
              <w:right w:val="nil"/>
            </w:tcBorders>
          </w:tcPr>
          <w:p>
            <w:pPr>
              <w:keepNext/>
              <w:jc w:val="center"/>
            </w:pPr>
            <w:r>
              <w:rPr>
                <w:rFonts w:ascii="Times New Roman" w:hAnsi="Times New Roman"/>
                <w:b w:val="0"/>
                <w:i w:val="0"/>
                <w:sz w:val="13"/>
              </w:rPr>
              <w:t>Bundelkhand, Chambal, Thar, Banni, Jharia</w:t>
            </w:r>
          </w:p>
        </w:tc>
        <w:tc>
          <w:tcPr>
            <w:tcW w:type="dxa" w:w="1512"/>
            <w:tcBorders>
              <w:top w:val="nil"/>
              <w:bottom w:val="nil"/>
              <w:left w:val="nil"/>
              <w:right w:val="nil"/>
            </w:tcBorders>
          </w:tcPr>
          <w:p>
            <w:pPr>
              <w:keepNext/>
              <w:jc w:val="center"/>
            </w:pPr>
            <w:r>
              <w:rPr>
                <w:rFonts w:ascii="Times New Roman" w:hAnsi="Times New Roman"/>
                <w:b w:val="0"/>
                <w:i w:val="0"/>
                <w:sz w:val="13"/>
              </w:rPr>
              <w:t>cropland, rangeland, mining</w:t>
            </w:r>
          </w:p>
        </w:tc>
        <w:tc>
          <w:tcPr>
            <w:tcW w:type="dxa" w:w="864"/>
            <w:tcBorders>
              <w:top w:val="nil"/>
              <w:bottom w:val="nil"/>
              <w:left w:val="nil"/>
              <w:right w:val="nil"/>
            </w:tcBorders>
          </w:tcPr>
          <w:p>
            <w:pPr>
              <w:keepNext/>
              <w:jc w:val="center"/>
            </w:pPr>
            <w:r>
              <w:rPr>
                <w:rFonts w:ascii="Times New Roman" w:hAnsi="Times New Roman"/>
                <w:b w:val="0"/>
                <w:i w:val="0"/>
                <w:sz w:val="13"/>
              </w:rPr>
              <w:t>train / test</w:t>
            </w:r>
          </w:p>
        </w:tc>
      </w:tr>
      <w:tr>
        <w:tc>
          <w:tcPr>
            <w:tcW w:type="dxa" w:w="720"/>
            <w:tcBorders>
              <w:top w:val="nil"/>
              <w:bottom w:val="nil"/>
              <w:left w:val="nil"/>
              <w:right w:val="nil"/>
            </w:tcBorders>
          </w:tcPr>
          <w:p>
            <w:pPr>
              <w:keepNext/>
              <w:jc w:val="left"/>
            </w:pPr>
            <w:r>
              <w:rPr>
                <w:rFonts w:ascii="Times New Roman" w:hAnsi="Times New Roman"/>
                <w:b w:val="0"/>
                <w:i w:val="0"/>
                <w:sz w:val="13"/>
              </w:rPr>
              <w:t>Africa</w:t>
            </w:r>
          </w:p>
        </w:tc>
        <w:tc>
          <w:tcPr>
            <w:tcW w:type="dxa" w:w="1944"/>
            <w:tcBorders>
              <w:top w:val="nil"/>
              <w:bottom w:val="nil"/>
              <w:left w:val="nil"/>
              <w:right w:val="nil"/>
            </w:tcBorders>
          </w:tcPr>
          <w:p>
            <w:pPr>
              <w:keepNext/>
              <w:jc w:val="center"/>
            </w:pPr>
            <w:r>
              <w:rPr>
                <w:rFonts w:ascii="Times New Roman" w:hAnsi="Times New Roman"/>
                <w:b w:val="0"/>
                <w:i w:val="0"/>
                <w:sz w:val="13"/>
              </w:rPr>
              <w:t>Tigray (ET), Baringo (KE), Ferlo (SN)</w:t>
            </w:r>
          </w:p>
        </w:tc>
        <w:tc>
          <w:tcPr>
            <w:tcW w:type="dxa" w:w="1512"/>
            <w:tcBorders>
              <w:top w:val="nil"/>
              <w:bottom w:val="nil"/>
              <w:left w:val="nil"/>
              <w:right w:val="nil"/>
            </w:tcBorders>
          </w:tcPr>
          <w:p>
            <w:pPr>
              <w:keepNext/>
              <w:jc w:val="center"/>
            </w:pPr>
            <w:r>
              <w:rPr>
                <w:rFonts w:ascii="Times New Roman" w:hAnsi="Times New Roman"/>
                <w:b w:val="0"/>
                <w:i w:val="0"/>
                <w:sz w:val="13"/>
              </w:rPr>
              <w:t>highland crop, rangeland</w:t>
            </w:r>
          </w:p>
        </w:tc>
        <w:tc>
          <w:tcPr>
            <w:tcW w:type="dxa" w:w="864"/>
            <w:tcBorders>
              <w:top w:val="nil"/>
              <w:bottom w:val="nil"/>
              <w:left w:val="nil"/>
              <w:right w:val="nil"/>
            </w:tcBorders>
          </w:tcPr>
          <w:p>
            <w:pPr>
              <w:keepNext/>
              <w:jc w:val="center"/>
            </w:pPr>
            <w:r>
              <w:rPr>
                <w:rFonts w:ascii="Times New Roman" w:hAnsi="Times New Roman"/>
                <w:b w:val="0"/>
                <w:i w:val="0"/>
                <w:sz w:val="13"/>
              </w:rPr>
              <w:t>train / test</w:t>
            </w:r>
          </w:p>
        </w:tc>
      </w:tr>
      <w:tr>
        <w:tc>
          <w:tcPr>
            <w:tcW w:type="dxa" w:w="720"/>
            <w:tcBorders>
              <w:top w:val="nil"/>
              <w:bottom w:val="nil"/>
              <w:left w:val="nil"/>
              <w:right w:val="nil"/>
            </w:tcBorders>
          </w:tcPr>
          <w:p>
            <w:pPr>
              <w:keepNext/>
              <w:jc w:val="left"/>
            </w:pPr>
            <w:r>
              <w:rPr>
                <w:rFonts w:ascii="Times New Roman" w:hAnsi="Times New Roman"/>
                <w:b w:val="0"/>
                <w:i w:val="0"/>
                <w:sz w:val="13"/>
              </w:rPr>
              <w:t>Other</w:t>
            </w:r>
          </w:p>
        </w:tc>
        <w:tc>
          <w:tcPr>
            <w:tcW w:type="dxa" w:w="1944"/>
            <w:tcBorders>
              <w:top w:val="nil"/>
              <w:bottom w:val="nil"/>
              <w:left w:val="nil"/>
              <w:right w:val="nil"/>
            </w:tcBorders>
          </w:tcPr>
          <w:p>
            <w:pPr>
              <w:keepNext/>
              <w:jc w:val="center"/>
            </w:pPr>
            <w:r>
              <w:rPr>
                <w:rFonts w:ascii="Times New Roman" w:hAnsi="Times New Roman"/>
                <w:b w:val="0"/>
                <w:i w:val="0"/>
                <w:sz w:val="13"/>
              </w:rPr>
              <w:t>Murcia (ES), Matopiba (BR), steppe (MN), Murray–Darling (AU)</w:t>
            </w:r>
          </w:p>
        </w:tc>
        <w:tc>
          <w:tcPr>
            <w:tcW w:type="dxa" w:w="1512"/>
            <w:tcBorders>
              <w:top w:val="nil"/>
              <w:bottom w:val="nil"/>
              <w:left w:val="nil"/>
              <w:right w:val="nil"/>
            </w:tcBorders>
          </w:tcPr>
          <w:p>
            <w:pPr>
              <w:keepNext/>
              <w:jc w:val="center"/>
            </w:pPr>
            <w:r>
              <w:rPr>
                <w:rFonts w:ascii="Times New Roman" w:hAnsi="Times New Roman"/>
                <w:b w:val="0"/>
                <w:i w:val="0"/>
                <w:sz w:val="13"/>
              </w:rPr>
              <w:t>dryland, cerrado, steppe, woodland</w:t>
            </w:r>
          </w:p>
        </w:tc>
        <w:tc>
          <w:tcPr>
            <w:tcW w:type="dxa" w:w="864"/>
            <w:tcBorders>
              <w:top w:val="nil"/>
              <w:bottom w:val="nil"/>
              <w:left w:val="nil"/>
              <w:right w:val="nil"/>
            </w:tcBorders>
          </w:tcPr>
          <w:p>
            <w:pPr>
              <w:keepNext/>
              <w:jc w:val="center"/>
            </w:pPr>
            <w:r>
              <w:rPr>
                <w:rFonts w:ascii="Times New Roman" w:hAnsi="Times New Roman"/>
                <w:b w:val="0"/>
                <w:i w:val="0"/>
                <w:sz w:val="13"/>
              </w:rPr>
              <w:t>train / test</w:t>
            </w:r>
          </w:p>
        </w:tc>
      </w:tr>
      <w:tr>
        <w:tc>
          <w:tcPr>
            <w:tcW w:type="dxa" w:w="720"/>
            <w:tcBorders>
              <w:top w:val="nil"/>
              <w:bottom w:val="nil"/>
              <w:left w:val="nil"/>
              <w:right w:val="nil"/>
            </w:tcBorders>
          </w:tcPr>
          <w:p>
            <w:pPr>
              <w:keepNext/>
              <w:jc w:val="left"/>
            </w:pPr>
            <w:r>
              <w:rPr>
                <w:rFonts w:ascii="Times New Roman" w:hAnsi="Times New Roman"/>
                <w:b w:val="0"/>
                <w:i w:val="0"/>
                <w:sz w:val="13"/>
              </w:rPr>
              <w:t>Nepal</w:t>
            </w:r>
          </w:p>
        </w:tc>
        <w:tc>
          <w:tcPr>
            <w:tcW w:type="dxa" w:w="1944"/>
            <w:tcBorders>
              <w:top w:val="nil"/>
              <w:bottom w:val="nil"/>
              <w:left w:val="nil"/>
              <w:right w:val="nil"/>
            </w:tcBorders>
          </w:tcPr>
          <w:p>
            <w:pPr>
              <w:keepNext/>
              <w:jc w:val="center"/>
            </w:pPr>
            <w:r>
              <w:rPr>
                <w:rFonts w:ascii="Times New Roman" w:hAnsi="Times New Roman"/>
                <w:b w:val="0"/>
                <w:i w:val="0"/>
                <w:sz w:val="13"/>
              </w:rPr>
              <w:t>Udayapur, Kailali, Sindhupalchok</w:t>
            </w:r>
          </w:p>
        </w:tc>
        <w:tc>
          <w:tcPr>
            <w:tcW w:type="dxa" w:w="1512"/>
            <w:tcBorders>
              <w:top w:val="nil"/>
              <w:bottom w:val="nil"/>
              <w:left w:val="nil"/>
              <w:right w:val="nil"/>
            </w:tcBorders>
          </w:tcPr>
          <w:p>
            <w:pPr>
              <w:keepNext/>
              <w:jc w:val="center"/>
            </w:pPr>
            <w:r>
              <w:rPr>
                <w:rFonts w:ascii="Times New Roman" w:hAnsi="Times New Roman"/>
                <w:b w:val="0"/>
                <w:i w:val="0"/>
                <w:sz w:val="13"/>
              </w:rPr>
              <w:t>foothills, landslide hills</w:t>
            </w:r>
          </w:p>
        </w:tc>
        <w:tc>
          <w:tcPr>
            <w:tcW w:type="dxa" w:w="864"/>
            <w:tcBorders>
              <w:top w:val="nil"/>
              <w:bottom w:val="nil"/>
              <w:left w:val="nil"/>
              <w:right w:val="nil"/>
            </w:tcBorders>
          </w:tcPr>
          <w:p>
            <w:pPr>
              <w:keepNext/>
              <w:jc w:val="center"/>
            </w:pPr>
            <w:r>
              <w:rPr>
                <w:rFonts w:ascii="Times New Roman" w:hAnsi="Times New Roman"/>
                <w:b w:val="0"/>
                <w:i w:val="0"/>
                <w:sz w:val="13"/>
              </w:rPr>
              <w:t>independent test</w:t>
            </w:r>
          </w:p>
        </w:tc>
      </w:tr>
      <w:tr>
        <w:tc>
          <w:tcPr>
            <w:tcW w:type="dxa" w:w="720"/>
            <w:tcBorders>
              <w:top w:val="nil"/>
              <w:bottom w:val="single" w:sz="8" w:color="000000"/>
              <w:left w:val="nil"/>
              <w:right w:val="nil"/>
            </w:tcBorders>
          </w:tcPr>
          <w:p>
            <w:pPr>
              <w:jc w:val="left"/>
            </w:pPr>
            <w:r>
              <w:rPr>
                <w:rFonts w:ascii="Times New Roman" w:hAnsi="Times New Roman"/>
                <w:b w:val="0"/>
                <w:i w:val="0"/>
                <w:sz w:val="13"/>
              </w:rPr>
              <w:t>India</w:t>
            </w:r>
          </w:p>
        </w:tc>
        <w:tc>
          <w:tcPr>
            <w:tcW w:type="dxa" w:w="1944"/>
            <w:tcBorders>
              <w:top w:val="nil"/>
              <w:bottom w:val="single" w:sz="8" w:color="000000"/>
              <w:left w:val="nil"/>
              <w:right w:val="nil"/>
            </w:tcBorders>
          </w:tcPr>
          <w:p>
            <w:pPr>
              <w:jc w:val="center"/>
            </w:pPr>
            <w:r>
              <w:rPr>
                <w:rFonts w:ascii="Times New Roman" w:hAnsi="Times New Roman"/>
                <w:b w:val="0"/>
                <w:i w:val="0"/>
                <w:sz w:val="13"/>
              </w:rPr>
              <w:t>Marathwada, Singrauli, Shivalik</w:t>
            </w:r>
          </w:p>
        </w:tc>
        <w:tc>
          <w:tcPr>
            <w:tcW w:type="dxa" w:w="1512"/>
            <w:tcBorders>
              <w:top w:val="nil"/>
              <w:bottom w:val="single" w:sz="8" w:color="000000"/>
              <w:left w:val="nil"/>
              <w:right w:val="nil"/>
            </w:tcBorders>
          </w:tcPr>
          <w:p>
            <w:pPr>
              <w:jc w:val="center"/>
            </w:pPr>
            <w:r>
              <w:rPr>
                <w:rFonts w:ascii="Times New Roman" w:hAnsi="Times New Roman"/>
                <w:b w:val="0"/>
                <w:i w:val="0"/>
                <w:sz w:val="13"/>
              </w:rPr>
              <w:t>rainfed crop, mining, forest</w:t>
            </w:r>
          </w:p>
        </w:tc>
        <w:tc>
          <w:tcPr>
            <w:tcW w:type="dxa" w:w="864"/>
            <w:tcBorders>
              <w:top w:val="nil"/>
              <w:bottom w:val="single" w:sz="8" w:color="000000"/>
              <w:left w:val="nil"/>
              <w:right w:val="nil"/>
            </w:tcBorders>
          </w:tcPr>
          <w:p>
            <w:pPr>
              <w:jc w:val="center"/>
            </w:pPr>
            <w:r>
              <w:rPr>
                <w:rFonts w:ascii="Times New Roman" w:hAnsi="Times New Roman"/>
                <w:b w:val="0"/>
                <w:i w:val="0"/>
                <w:sz w:val="13"/>
              </w:rPr>
              <w:t>independent test</w:t>
            </w:r>
          </w:p>
        </w:tc>
      </w:tr>
    </w:tbl>
    <w:p>
      <w:pPr>
        <w:spacing w:after="80"/>
      </w:pPr>
    </w:p>
    <w:p>
      <w:pPr>
        <w:keepNext/>
        <w:spacing w:before="80" w:after="40"/>
      </w:pPr>
      <w:r>
        <w:rPr>
          <w:rFonts w:ascii="Times New Roman" w:hAnsi="Times New Roman"/>
          <w:b w:val="0"/>
          <w:i/>
          <w:sz w:val="20"/>
        </w:rPr>
        <w:t>C. Climate conditioning and residual</w:t>
      </w:r>
    </w:p>
    <w:p>
      <w:pPr>
        <w:spacing w:after="0"/>
        <w:ind w:firstLine="245"/>
        <w:jc w:val="both"/>
      </w:pPr>
      <w:r>
        <w:rPr>
          <w:rFonts w:ascii="Times New Roman" w:hAnsi="Times New Roman"/>
          <w:b w:val="0"/>
          <w:i w:val="0"/>
          <w:sz w:val="20"/>
        </w:rPr>
        <w:t xml:space="preserve">For each site and land-cover class, a ridge regression </w:t>
      </w:r>
      <w:r>
        <w:rPr>
          <w:rFonts w:ascii="Times New Roman" w:hAnsi="Times New Roman"/>
          <w:b w:val="0"/>
          <w:i/>
          <w:sz w:val="20"/>
        </w:rPr>
        <w:t>g</w:t>
      </w:r>
      <w:r>
        <w:rPr>
          <w:rFonts w:ascii="Times New Roman" w:hAnsi="Times New Roman"/>
          <w:b w:val="0"/>
          <w:i w:val="0"/>
          <w:sz w:val="20"/>
        </w:rPr>
        <w:t xml:space="preserve"> predicts the class-mean anomaly from 1/3/6/12-month standardised precipitation, temperature and soil-moisture anomalies, and climatic water balance. It is fitted only on the training period and cross-fitted by leaving one year out. Pixel sensitivity β is shrunk toward 1. The residual is taken relative to landscape peers, so that a drought or haze affecting every pixel of a class is not called degradation:</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R</w:t>
      </w:r>
      <w:r>
        <w:rPr>
          <w:rFonts w:ascii="Times New Roman" w:hAnsi="Times New Roman"/>
          <w:b w:val="0"/>
          <w:i/>
          <w:sz w:val="20"/>
          <w:vertAlign w:val="subscript"/>
        </w:rPr>
        <w:t>t</w:t>
      </w:r>
      <w:r>
        <w:rPr>
          <w:rFonts w:ascii="Times New Roman" w:hAnsi="Times New Roman"/>
          <w:b w:val="0"/>
          <w:i/>
          <w:sz w:val="20"/>
        </w:rPr>
        <w:t xml:space="preserve"> = (z</w:t>
      </w:r>
      <w:r>
        <w:rPr>
          <w:rFonts w:ascii="Times New Roman" w:hAnsi="Times New Roman"/>
          <w:b w:val="0"/>
          <w:i/>
          <w:sz w:val="20"/>
          <w:vertAlign w:val="subscript"/>
        </w:rPr>
        <w:t>t</w:t>
      </w:r>
      <w:r>
        <w:rPr>
          <w:rFonts w:ascii="Times New Roman" w:hAnsi="Times New Roman"/>
          <w:b w:val="0"/>
          <w:i/>
          <w:sz w:val="20"/>
        </w:rPr>
        <w:t xml:space="preserve"> − βg</w:t>
      </w:r>
      <w:r>
        <w:rPr>
          <w:rFonts w:ascii="Times New Roman" w:hAnsi="Times New Roman"/>
          <w:b w:val="0"/>
          <w:i/>
          <w:sz w:val="20"/>
          <w:vertAlign w:val="subscript"/>
        </w:rPr>
        <w:t>t</w:t>
      </w:r>
      <w:r>
        <w:rPr>
          <w:rFonts w:ascii="Times New Roman" w:hAnsi="Times New Roman"/>
          <w:b w:val="0"/>
          <w:i/>
          <w:sz w:val="20"/>
        </w:rPr>
        <w:t>) − med</w:t>
      </w:r>
      <w:r>
        <w:rPr>
          <w:rFonts w:ascii="Times New Roman" w:hAnsi="Times New Roman"/>
          <w:b w:val="0"/>
          <w:i w:val="0"/>
          <w:sz w:val="20"/>
          <w:vertAlign w:val="subscript"/>
        </w:rPr>
        <w:t>peer</w:t>
      </w:r>
      <w:r>
        <w:rPr>
          <w:rFonts w:ascii="Times New Roman" w:hAnsi="Times New Roman"/>
          <w:b w:val="0"/>
          <w:i/>
          <w:sz w:val="20"/>
        </w:rPr>
        <w:t>(z − βg)</w:t>
      </w:r>
      <w:r>
        <w:rPr>
          <w:rFonts w:ascii="Times New Roman" w:hAnsi="Times New Roman"/>
          <w:b w:val="0"/>
          <w:i w:val="0"/>
          <w:sz w:val="20"/>
        </w:rPr>
        <w:tab/>
        <w:t>(3)</w:t>
      </w:r>
    </w:p>
    <w:p>
      <w:pPr>
        <w:spacing w:after="0"/>
        <w:jc w:val="both"/>
      </w:pPr>
      <w:r>
        <w:rPr>
          <w:rFonts w:ascii="Times New Roman" w:hAnsi="Times New Roman"/>
          <w:b w:val="0"/>
          <w:i w:val="0"/>
          <w:sz w:val="20"/>
        </w:rPr>
        <w:t xml:space="preserve">Climate adjustment is applied only where its leave-one-year-out R² is at least 0.05; elsewhere </w:t>
      </w:r>
      <w:r>
        <w:rPr>
          <w:rFonts w:ascii="Times New Roman" w:hAnsi="Times New Roman"/>
          <w:b w:val="0"/>
          <w:i/>
          <w:sz w:val="20"/>
        </w:rPr>
        <w:t>R</w:t>
      </w:r>
      <w:r>
        <w:rPr>
          <w:rFonts w:ascii="Times New Roman" w:hAnsi="Times New Roman"/>
          <w:b w:val="0"/>
          <w:i w:val="0"/>
          <w:sz w:val="20"/>
        </w:rPr>
        <w:t xml:space="preserve"> = </w:t>
      </w:r>
      <w:r>
        <w:rPr>
          <w:rFonts w:ascii="Times New Roman" w:hAnsi="Times New Roman"/>
          <w:b w:val="0"/>
          <w:i/>
          <w:sz w:val="20"/>
        </w:rPr>
        <w:t>z</w:t>
      </w:r>
      <w:r>
        <w:rPr>
          <w:rFonts w:ascii="Times New Roman" w:hAnsi="Times New Roman"/>
          <w:b w:val="0"/>
          <w:i w:val="0"/>
          <w:sz w:val="20"/>
        </w:rPr>
        <w:t xml:space="preserve"> minus the peer median. Weather data are therefore used only where they demonstrably help.</w:t>
      </w:r>
    </w:p>
    <w:p>
      <w:pPr>
        <w:keepNext/>
        <w:spacing w:before="80" w:after="40"/>
      </w:pPr>
      <w:r>
        <w:rPr>
          <w:rFonts w:ascii="Times New Roman" w:hAnsi="Times New Roman"/>
          <w:b w:val="0"/>
          <w:i/>
          <w:sz w:val="20"/>
        </w:rPr>
        <w:t>D. Labels</w:t>
      </w:r>
    </w:p>
    <w:p>
      <w:pPr>
        <w:spacing w:after="0"/>
        <w:ind w:firstLine="245"/>
        <w:jc w:val="both"/>
      </w:pPr>
      <w:r>
        <w:rPr>
          <w:rFonts w:ascii="Times New Roman" w:hAnsi="Times New Roman"/>
          <w:b w:val="0"/>
          <w:i w:val="0"/>
          <w:sz w:val="20"/>
        </w:rPr>
        <w:t xml:space="preserve">Month </w:t>
      </w:r>
      <w:r>
        <w:rPr>
          <w:rFonts w:ascii="Times New Roman" w:hAnsi="Times New Roman"/>
          <w:b w:val="0"/>
          <w:i/>
          <w:sz w:val="20"/>
        </w:rPr>
        <w:t>s</w:t>
      </w:r>
      <w:r>
        <w:rPr>
          <w:rFonts w:ascii="Times New Roman" w:hAnsi="Times New Roman"/>
          <w:b w:val="0"/>
          <w:i w:val="0"/>
          <w:sz w:val="20"/>
        </w:rPr>
        <w:t xml:space="preserve"> is below expectation when Rₛ ≤ −1 and the peer-relative NDVI deviation is ≤ −0.02. An onset occurs when such a run starts and lasts at least six months, with at least 75 % real observations and a mean loss of at least 0.05 NDVI. The prediction target at month </w:t>
      </w:r>
      <w:r>
        <w:rPr>
          <w:rFonts w:ascii="Times New Roman" w:hAnsi="Times New Roman"/>
          <w:b w:val="0"/>
          <w:i/>
          <w:sz w:val="20"/>
        </w:rPr>
        <w:t>t</w:t>
      </w:r>
      <w:r>
        <w:rPr>
          <w:rFonts w:ascii="Times New Roman" w:hAnsi="Times New Roman"/>
          <w:b w:val="0"/>
          <w:i w:val="0"/>
          <w:sz w:val="20"/>
        </w:rPr>
        <w:t xml:space="preserve"> is:</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y</w:t>
      </w:r>
      <w:r>
        <w:rPr>
          <w:rFonts w:ascii="Times New Roman" w:hAnsi="Times New Roman"/>
          <w:b w:val="0"/>
          <w:i/>
          <w:sz w:val="20"/>
          <w:vertAlign w:val="subscript"/>
        </w:rPr>
        <w:t>t</w:t>
      </w:r>
      <w:r>
        <w:rPr>
          <w:rFonts w:ascii="Times New Roman" w:hAnsi="Times New Roman"/>
          <w:b w:val="0"/>
          <w:i/>
          <w:sz w:val="20"/>
        </w:rPr>
        <w:t xml:space="preserve"> = 1  if an onset occurs in (t, t + 6]</w:t>
      </w:r>
      <w:r>
        <w:rPr>
          <w:rFonts w:ascii="Times New Roman" w:hAnsi="Times New Roman"/>
          <w:b w:val="0"/>
          <w:i w:val="0"/>
          <w:sz w:val="20"/>
        </w:rPr>
        <w:tab/>
        <w:t>(4)</w:t>
      </w:r>
    </w:p>
    <w:p>
      <w:pPr>
        <w:spacing w:after="0"/>
        <w:jc w:val="both"/>
      </w:pPr>
      <w:r>
        <w:rPr>
          <w:rFonts w:ascii="Times New Roman" w:hAnsi="Times New Roman"/>
          <w:b w:val="0"/>
          <w:i w:val="0"/>
          <w:sz w:val="20"/>
        </w:rPr>
        <w:t>Labels are undefined when fewer than 60 % of the following 11 months are observed. The same rule and thresholds are used in every country. Fig. 2 traces one pixel through the steps.</w:t>
      </w:r>
    </w:p>
    <w:p>
      <w:pPr>
        <w:keepNext/>
        <w:spacing w:before="120"/>
        <w:jc w:val="center"/>
      </w:pPr>
      <w:r>
        <w:drawing>
          <wp:inline xmlns:a="http://schemas.openxmlformats.org/drawingml/2006/main" xmlns:pic="http://schemas.openxmlformats.org/drawingml/2006/picture">
            <wp:extent cx="3154680" cy="2268580"/>
            <wp:docPr id="2" name="Picture 2"/>
            <wp:cNvGraphicFramePr>
              <a:graphicFrameLocks noChangeAspect="1"/>
            </wp:cNvGraphicFramePr>
            <a:graphic>
              <a:graphicData uri="http://schemas.openxmlformats.org/drawingml/2006/picture">
                <pic:pic>
                  <pic:nvPicPr>
                    <pic:cNvPr id="0" name="fig03_method_example.png"/>
                    <pic:cNvPicPr/>
                  </pic:nvPicPr>
                  <pic:blipFill>
                    <a:blip r:embed="rId10"/>
                    <a:stretch>
                      <a:fillRect/>
                    </a:stretch>
                  </pic:blipFill>
                  <pic:spPr>
                    <a:xfrm>
                      <a:off x="0" y="0"/>
                      <a:ext cx="3154680" cy="2268580"/>
                    </a:xfrm>
                    <a:prstGeom prst="rect"/>
                  </pic:spPr>
                </pic:pic>
              </a:graphicData>
            </a:graphic>
          </wp:inline>
        </w:drawing>
      </w:r>
    </w:p>
    <w:p>
      <w:pPr>
        <w:spacing w:after="160"/>
        <w:jc w:val="both"/>
      </w:pPr>
      <w:r>
        <w:rPr>
          <w:rFonts w:ascii="Times New Roman" w:hAnsi="Times New Roman"/>
          <w:b w:val="0"/>
          <w:i w:val="0"/>
          <w:sz w:val="16"/>
        </w:rPr>
        <w:t xml:space="preserve">Fig. 2.  </w:t>
      </w:r>
      <w:r>
        <w:rPr>
          <w:rFonts w:ascii="Times New Roman" w:hAnsi="Times New Roman"/>
          <w:b w:val="0"/>
          <w:i w:val="0"/>
          <w:sz w:val="16"/>
        </w:rPr>
        <w:t xml:space="preserve">One Murcia (Spain) pixel: (a) observed NDVI and its 2017–2020 seasonal baseline; (b) the anomaly </w:t>
      </w:r>
      <w:r>
        <w:rPr>
          <w:rFonts w:ascii="Times New Roman" w:hAnsi="Times New Roman"/>
          <w:b w:val="0"/>
          <w:i/>
          <w:sz w:val="16"/>
        </w:rPr>
        <w:t>z</w:t>
      </w:r>
      <w:r>
        <w:rPr>
          <w:rFonts w:ascii="Times New Roman" w:hAnsi="Times New Roman"/>
          <w:b w:val="0"/>
          <w:i w:val="0"/>
          <w:sz w:val="16"/>
        </w:rPr>
        <w:t xml:space="preserve"> and the climate-expected anomaly; (c) the peer-relative residual </w:t>
      </w:r>
      <w:r>
        <w:rPr>
          <w:rFonts w:ascii="Times New Roman" w:hAnsi="Times New Roman"/>
          <w:b w:val="0"/>
          <w:i/>
          <w:sz w:val="16"/>
        </w:rPr>
        <w:t>R</w:t>
      </w:r>
      <w:r>
        <w:rPr>
          <w:rFonts w:ascii="Times New Roman" w:hAnsi="Times New Roman"/>
          <w:b w:val="0"/>
          <w:i w:val="0"/>
          <w:sz w:val="16"/>
        </w:rPr>
        <w:t xml:space="preserve">, two onsets (red lines) and the months labelled </w:t>
      </w:r>
      <w:r>
        <w:rPr>
          <w:rFonts w:ascii="Times New Roman" w:hAnsi="Times New Roman"/>
          <w:b w:val="0"/>
          <w:i/>
          <w:sz w:val="16"/>
        </w:rPr>
        <w:t>y</w:t>
      </w:r>
      <w:r>
        <w:rPr>
          <w:rFonts w:ascii="Times New Roman" w:hAnsi="Times New Roman"/>
          <w:b w:val="0"/>
          <w:i w:val="0"/>
          <w:sz w:val="16"/>
        </w:rPr>
        <w:t xml:space="preserve"> = 1 (shaded).</w:t>
      </w:r>
    </w:p>
    <w:p>
      <w:pPr>
        <w:keepNext/>
        <w:spacing w:before="80" w:after="40"/>
      </w:pPr>
      <w:r>
        <w:rPr>
          <w:rFonts w:ascii="Times New Roman" w:hAnsi="Times New Roman"/>
          <w:b w:val="0"/>
          <w:i/>
          <w:sz w:val="20"/>
        </w:rPr>
        <w:t>E. Features</w:t>
      </w:r>
    </w:p>
    <w:p>
      <w:pPr>
        <w:spacing w:after="0"/>
        <w:ind w:firstLine="245"/>
        <w:jc w:val="both"/>
      </w:pPr>
      <w:r>
        <w:rPr>
          <w:rFonts w:ascii="Times New Roman" w:hAnsi="Times New Roman"/>
          <w:b w:val="0"/>
          <w:i w:val="0"/>
          <w:sz w:val="20"/>
        </w:rPr>
        <w:t xml:space="preserve">64 features in six groups, all causal: A1 spectral state; A2 change (1/3/12-month differences and slopes); A3 climate; A4 residual statistics; A5 resilience; A6 spatial and terrain context. The resilience features use the lag-1 autocorrelation and variance of the high-pass-filtered residual </w:t>
      </w:r>
      <w:r>
        <w:rPr>
          <w:rFonts w:ascii="Times New Roman" w:hAnsi="Times New Roman"/>
          <w:b w:val="0"/>
          <w:i/>
          <w:sz w:val="20"/>
        </w:rPr>
        <w:t>x</w:t>
      </w:r>
      <w:r>
        <w:rPr>
          <w:rFonts w:ascii="Times New Roman" w:hAnsi="Times New Roman"/>
          <w:b w:val="0"/>
          <w:i w:val="0"/>
          <w:sz w:val="20"/>
        </w:rPr>
        <w:t xml:space="preserve"> over 12- and 24-month windows:</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AC1 = Σ(x</w:t>
      </w:r>
      <w:r>
        <w:rPr>
          <w:rFonts w:ascii="Times New Roman" w:hAnsi="Times New Roman"/>
          <w:b w:val="0"/>
          <w:i/>
          <w:sz w:val="20"/>
          <w:vertAlign w:val="subscript"/>
        </w:rPr>
        <w:t>t</w:t>
      </w:r>
      <w:r>
        <w:rPr>
          <w:rFonts w:ascii="Times New Roman" w:hAnsi="Times New Roman"/>
          <w:b w:val="0"/>
          <w:i/>
          <w:sz w:val="20"/>
        </w:rPr>
        <w:t xml:space="preserve"> − x̄)(x</w:t>
      </w:r>
      <w:r>
        <w:rPr>
          <w:rFonts w:ascii="Times New Roman" w:hAnsi="Times New Roman"/>
          <w:b w:val="0"/>
          <w:i/>
          <w:sz w:val="20"/>
          <w:vertAlign w:val="subscript"/>
        </w:rPr>
        <w:t>t−1</w:t>
      </w:r>
      <w:r>
        <w:rPr>
          <w:rFonts w:ascii="Times New Roman" w:hAnsi="Times New Roman"/>
          <w:b w:val="0"/>
          <w:i/>
          <w:sz w:val="20"/>
        </w:rPr>
        <w:t xml:space="preserve"> − x̄) / Σ(x</w:t>
      </w:r>
      <w:r>
        <w:rPr>
          <w:rFonts w:ascii="Times New Roman" w:hAnsi="Times New Roman"/>
          <w:b w:val="0"/>
          <w:i/>
          <w:sz w:val="20"/>
          <w:vertAlign w:val="subscript"/>
        </w:rPr>
        <w:t>t</w:t>
      </w:r>
      <w:r>
        <w:rPr>
          <w:rFonts w:ascii="Times New Roman" w:hAnsi="Times New Roman"/>
          <w:b w:val="0"/>
          <w:i/>
          <w:sz w:val="20"/>
        </w:rPr>
        <w:t xml:space="preserve"> − x̄)</w:t>
      </w:r>
      <w:r>
        <w:rPr>
          <w:rFonts w:ascii="Times New Roman" w:hAnsi="Times New Roman"/>
          <w:b w:val="0"/>
          <w:i w:val="0"/>
          <w:sz w:val="20"/>
          <w:vertAlign w:val="superscript"/>
        </w:rPr>
        <w:t>2</w:t>
      </w:r>
      <w:r>
        <w:rPr>
          <w:rFonts w:ascii="Times New Roman" w:hAnsi="Times New Roman"/>
          <w:b w:val="0"/>
          <w:i w:val="0"/>
          <w:sz w:val="20"/>
        </w:rPr>
        <w:tab/>
        <w:t>(5)</w:t>
      </w:r>
    </w:p>
    <w:p>
      <w:pPr>
        <w:spacing w:after="0"/>
        <w:jc w:val="both"/>
      </w:pPr>
      <w:r>
        <w:rPr>
          <w:rFonts w:ascii="Times New Roman" w:hAnsi="Times New Roman"/>
          <w:b w:val="0"/>
          <w:i w:val="0"/>
          <w:sz w:val="20"/>
        </w:rPr>
        <w:t>together with months since the last dip, recovery fraction and MODIS 60-month variance and autocorrelation.</w:t>
      </w:r>
    </w:p>
    <w:p>
      <w:pPr>
        <w:keepNext/>
        <w:spacing w:before="80" w:after="40"/>
      </w:pPr>
      <w:r>
        <w:rPr>
          <w:rFonts w:ascii="Times New Roman" w:hAnsi="Times New Roman"/>
          <w:b w:val="0"/>
          <w:i/>
          <w:sz w:val="20"/>
        </w:rPr>
        <w:t>F. Model, calibration and abstention</w:t>
      </w:r>
    </w:p>
    <w:p>
      <w:pPr>
        <w:spacing w:after="0"/>
        <w:ind w:firstLine="245"/>
        <w:jc w:val="both"/>
      </w:pPr>
      <w:r>
        <w:rPr>
          <w:rFonts w:ascii="Times New Roman" w:hAnsi="Times New Roman"/>
          <w:b w:val="0"/>
          <w:i w:val="0"/>
          <w:sz w:val="20"/>
        </w:rPr>
        <w:t xml:space="preserve">LightGBM [18] minimises the weighted logistic loss with an L2 penalty on leaf values </w:t>
      </w:r>
      <w:r>
        <w:rPr>
          <w:rFonts w:ascii="Times New Roman" w:hAnsi="Times New Roman"/>
          <w:b w:val="0"/>
          <w:i/>
          <w:sz w:val="20"/>
        </w:rPr>
        <w:t>v</w:t>
      </w:r>
      <w:r>
        <w:rPr>
          <w:rFonts w:ascii="Times New Roman" w:hAnsi="Times New Roman"/>
          <w:b w:val="0"/>
          <w:i w:val="0"/>
          <w:sz w:val="20"/>
        </w:rPr>
        <w:t>:</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L = −Σ</w:t>
      </w:r>
      <w:r>
        <w:rPr>
          <w:rFonts w:ascii="Times New Roman" w:hAnsi="Times New Roman"/>
          <w:b w:val="0"/>
          <w:i/>
          <w:sz w:val="20"/>
          <w:vertAlign w:val="subscript"/>
        </w:rPr>
        <w:t>i</w:t>
      </w:r>
      <w:r>
        <w:rPr>
          <w:rFonts w:ascii="Times New Roman" w:hAnsi="Times New Roman"/>
          <w:b w:val="0"/>
          <w:i/>
          <w:sz w:val="20"/>
        </w:rPr>
        <w:t xml:space="preserve"> w</w:t>
      </w:r>
      <w:r>
        <w:rPr>
          <w:rFonts w:ascii="Times New Roman" w:hAnsi="Times New Roman"/>
          <w:b w:val="0"/>
          <w:i/>
          <w:sz w:val="20"/>
          <w:vertAlign w:val="subscript"/>
        </w:rPr>
        <w:t>i</w:t>
      </w:r>
      <w:r>
        <w:rPr>
          <w:rFonts w:ascii="Times New Roman" w:hAnsi="Times New Roman"/>
          <w:b w:val="0"/>
          <w:i/>
          <w:sz w:val="20"/>
        </w:rPr>
        <w:t>[y</w:t>
      </w:r>
      <w:r>
        <w:rPr>
          <w:rFonts w:ascii="Times New Roman" w:hAnsi="Times New Roman"/>
          <w:b w:val="0"/>
          <w:i/>
          <w:sz w:val="20"/>
          <w:vertAlign w:val="subscript"/>
        </w:rPr>
        <w:t>i</w:t>
      </w:r>
      <w:r>
        <w:rPr>
          <w:rFonts w:ascii="Times New Roman" w:hAnsi="Times New Roman"/>
          <w:b w:val="0"/>
          <w:i/>
          <w:sz w:val="20"/>
        </w:rPr>
        <w:t xml:space="preserve"> ln p</w:t>
      </w:r>
      <w:r>
        <w:rPr>
          <w:rFonts w:ascii="Times New Roman" w:hAnsi="Times New Roman"/>
          <w:b w:val="0"/>
          <w:i/>
          <w:sz w:val="20"/>
          <w:vertAlign w:val="subscript"/>
        </w:rPr>
        <w:t>i</w:t>
      </w:r>
      <w:r>
        <w:rPr>
          <w:rFonts w:ascii="Times New Roman" w:hAnsi="Times New Roman"/>
          <w:b w:val="0"/>
          <w:i/>
          <w:sz w:val="20"/>
        </w:rPr>
        <w:t xml:space="preserve"> + (1−y</w:t>
      </w:r>
      <w:r>
        <w:rPr>
          <w:rFonts w:ascii="Times New Roman" w:hAnsi="Times New Roman"/>
          <w:b w:val="0"/>
          <w:i/>
          <w:sz w:val="20"/>
          <w:vertAlign w:val="subscript"/>
        </w:rPr>
        <w:t>i</w:t>
      </w:r>
      <w:r>
        <w:rPr>
          <w:rFonts w:ascii="Times New Roman" w:hAnsi="Times New Roman"/>
          <w:b w:val="0"/>
          <w:i/>
          <w:sz w:val="20"/>
        </w:rPr>
        <w:t>)ln(1−p</w:t>
      </w:r>
      <w:r>
        <w:rPr>
          <w:rFonts w:ascii="Times New Roman" w:hAnsi="Times New Roman"/>
          <w:b w:val="0"/>
          <w:i/>
          <w:sz w:val="20"/>
          <w:vertAlign w:val="subscript"/>
        </w:rPr>
        <w:t>i</w:t>
      </w:r>
      <w:r>
        <w:rPr>
          <w:rFonts w:ascii="Times New Roman" w:hAnsi="Times New Roman"/>
          <w:b w:val="0"/>
          <w:i/>
          <w:sz w:val="20"/>
        </w:rPr>
        <w:t>)] + ½λΣ</w:t>
      </w:r>
      <w:r>
        <w:rPr>
          <w:rFonts w:ascii="Times New Roman" w:hAnsi="Times New Roman"/>
          <w:b w:val="0"/>
          <w:i/>
          <w:sz w:val="20"/>
          <w:vertAlign w:val="subscript"/>
        </w:rPr>
        <w:t>j</w:t>
      </w:r>
      <w:r>
        <w:rPr>
          <w:rFonts w:ascii="Times New Roman" w:hAnsi="Times New Roman"/>
          <w:b w:val="0"/>
          <w:i/>
          <w:sz w:val="20"/>
        </w:rPr>
        <w:t xml:space="preserve"> v</w:t>
      </w:r>
      <w:r>
        <w:rPr>
          <w:rFonts w:ascii="Times New Roman" w:hAnsi="Times New Roman"/>
          <w:b w:val="0"/>
          <w:i/>
          <w:sz w:val="20"/>
          <w:vertAlign w:val="subscript"/>
        </w:rPr>
        <w:t>j</w:t>
      </w:r>
      <w:r>
        <w:rPr>
          <w:rFonts w:ascii="Times New Roman" w:hAnsi="Times New Roman"/>
          <w:b w:val="0"/>
          <w:i w:val="0"/>
          <w:sz w:val="20"/>
          <w:vertAlign w:val="superscript"/>
        </w:rPr>
        <w:t>2</w:t>
      </w:r>
      <w:r>
        <w:rPr>
          <w:rFonts w:ascii="Times New Roman" w:hAnsi="Times New Roman"/>
          <w:b w:val="0"/>
          <w:i w:val="0"/>
          <w:sz w:val="20"/>
        </w:rPr>
        <w:tab/>
        <w:t>(6)</w:t>
      </w:r>
    </w:p>
    <w:p>
      <w:pPr>
        <w:spacing w:after="0"/>
        <w:ind w:firstLine="245"/>
        <w:jc w:val="both"/>
      </w:pPr>
      <w:r>
        <w:rPr>
          <w:rFonts w:ascii="Times New Roman" w:hAnsi="Times New Roman"/>
          <w:b w:val="0"/>
          <w:i w:val="0"/>
          <w:sz w:val="20"/>
        </w:rPr>
        <w:t>Each pixel contributes about 40 strongly autocorrelated monthly rows, so deep trees memorise pixels. Trees are therefore kept small (Table III). Scores are calibrated by isotonic regression [19] on a disjoint calibration set. A Mondrian split-conformal predictor [20], [21] with α = 0.10 returns the prediction set:</w:t>
      </w:r>
    </w:p>
    <w:p>
      <w:pPr>
        <w:tabs>
          <w:tab w:pos="2520" w:val="center"/>
          <w:tab w:pos="5040" w:val="right"/>
        </w:tabs>
        <w:spacing w:before="60" w:after="60"/>
      </w:pPr>
      <w:r>
        <w:rPr>
          <w:rFonts w:ascii="Times New Roman" w:hAnsi="Times New Roman"/>
          <w:b w:val="0"/>
          <w:i w:val="0"/>
          <w:sz w:val="20"/>
        </w:rPr>
        <w:tab/>
      </w:r>
      <w:r>
        <w:rPr>
          <w:rFonts w:ascii="Times New Roman" w:hAnsi="Times New Roman"/>
          <w:b w:val="0"/>
          <w:i/>
          <w:sz w:val="20"/>
        </w:rPr>
        <w:t>Γ(x) = {y : s</w:t>
      </w:r>
      <w:r>
        <w:rPr>
          <w:rFonts w:ascii="Times New Roman" w:hAnsi="Times New Roman"/>
          <w:b w:val="0"/>
          <w:i/>
          <w:sz w:val="20"/>
          <w:vertAlign w:val="subscript"/>
        </w:rPr>
        <w:t>y</w:t>
      </w:r>
      <w:r>
        <w:rPr>
          <w:rFonts w:ascii="Times New Roman" w:hAnsi="Times New Roman"/>
          <w:b w:val="0"/>
          <w:i/>
          <w:sz w:val="20"/>
        </w:rPr>
        <w:t>(x) ≤ q̂</w:t>
      </w:r>
      <w:r>
        <w:rPr>
          <w:rFonts w:ascii="Times New Roman" w:hAnsi="Times New Roman"/>
          <w:b w:val="0"/>
          <w:i/>
          <w:sz w:val="20"/>
          <w:vertAlign w:val="subscript"/>
        </w:rPr>
        <w:t>y</w:t>
      </w:r>
      <w:r>
        <w:rPr>
          <w:rFonts w:ascii="Times New Roman" w:hAnsi="Times New Roman"/>
          <w:b w:val="0"/>
          <w:i/>
          <w:sz w:val="20"/>
        </w:rPr>
        <w:t>}</w:t>
      </w:r>
      <w:r>
        <w:rPr>
          <w:rFonts w:ascii="Times New Roman" w:hAnsi="Times New Roman"/>
          <w:b w:val="0"/>
          <w:i w:val="0"/>
          <w:sz w:val="20"/>
        </w:rPr>
        <w:tab/>
        <w:t>(7)</w:t>
      </w:r>
    </w:p>
    <w:p>
      <w:pPr>
        <w:spacing w:after="0"/>
        <w:jc w:val="both"/>
      </w:pPr>
      <w:r>
        <w:rPr>
          <w:rFonts w:ascii="Times New Roman" w:hAnsi="Times New Roman"/>
          <w:b w:val="0"/>
          <w:i w:val="0"/>
          <w:sz w:val="20"/>
        </w:rPr>
        <w:t xml:space="preserve">A set {0, 1} is reported as </w:t>
      </w:r>
      <w:r>
        <w:rPr>
          <w:rFonts w:ascii="Times New Roman" w:hAnsi="Times New Roman"/>
          <w:b w:val="0"/>
          <w:i/>
          <w:sz w:val="20"/>
        </w:rPr>
        <w:t>abstain</w:t>
      </w:r>
      <w:r>
        <w:rPr>
          <w:rFonts w:ascii="Times New Roman" w:hAnsi="Times New Roman"/>
          <w:b w:val="0"/>
          <w:i w:val="0"/>
          <w:sz w:val="20"/>
        </w:rPr>
        <w:t>. The warning threshold maximises F1 on the calibration set.</w:t>
      </w:r>
    </w:p>
    <w:p>
      <w:pPr>
        <w:keepNext/>
        <w:spacing w:before="80" w:after="40"/>
      </w:pPr>
      <w:r>
        <w:rPr>
          <w:rFonts w:ascii="Times New Roman" w:hAnsi="Times New Roman"/>
          <w:b w:val="0"/>
          <w:i/>
          <w:sz w:val="20"/>
        </w:rPr>
        <w:t>G. Training setup</w:t>
      </w:r>
    </w:p>
    <w:p>
      <w:pPr>
        <w:keepNext/>
        <w:spacing w:before="120"/>
        <w:jc w:val="center"/>
      </w:pPr>
      <w:r>
        <w:rPr>
          <w:rFonts w:ascii="Times New Roman" w:hAnsi="Times New Roman"/>
          <w:b w:val="0"/>
          <w:i w:val="0"/>
          <w:smallCaps/>
          <w:sz w:val="16"/>
        </w:rPr>
        <w:t>TABLE III</w:t>
      </w:r>
    </w:p>
    <w:p>
      <w:pPr>
        <w:keepNext/>
        <w:spacing w:after="60"/>
        <w:jc w:val="center"/>
      </w:pPr>
      <w:r>
        <w:rPr>
          <w:rFonts w:ascii="Times New Roman" w:hAnsi="Times New Roman"/>
          <w:b w:val="0"/>
          <w:i w:val="0"/>
          <w:smallCaps/>
          <w:sz w:val="16"/>
        </w:rPr>
        <w:t>Training Setup and Hyperparameters</w:t>
      </w:r>
    </w:p>
    <w:tbl>
      <w:tblPr>
        <w:tblW w:type="auto" w:w="0"/>
        <w:jc w:val="center"/>
        <w:tblLayout w:type="fixed"/>
        <w:tblLook w:firstColumn="1" w:firstRow="1" w:lastColumn="0" w:lastRow="0" w:noHBand="0" w:noVBand="1" w:val="04A0"/>
      </w:tblPr>
      <w:tblGrid>
        <w:gridCol w:w="5220"/>
        <w:gridCol w:w="5220"/>
      </w:tblGrid>
      <w:tr>
        <w:tc>
          <w:tcPr>
            <w:tcW w:type="dxa" w:w="1656"/>
            <w:tcBorders>
              <w:top w:val="single" w:sz="8" w:color="000000"/>
              <w:bottom w:val="nil"/>
              <w:left w:val="nil"/>
              <w:right w:val="nil"/>
            </w:tcBorders>
          </w:tcPr>
          <w:p>
            <w:pPr>
              <w:keepNext/>
              <w:jc w:val="left"/>
            </w:pPr>
            <w:r>
              <w:rPr>
                <w:rFonts w:ascii="Times New Roman" w:hAnsi="Times New Roman"/>
                <w:b/>
                <w:i w:val="0"/>
                <w:sz w:val="14"/>
              </w:rPr>
              <w:t>Item</w:t>
            </w:r>
          </w:p>
        </w:tc>
        <w:tc>
          <w:tcPr>
            <w:tcW w:type="dxa" w:w="3312"/>
            <w:tcBorders>
              <w:top w:val="single" w:sz="8" w:color="000000"/>
              <w:bottom w:val="nil"/>
              <w:left w:val="nil"/>
              <w:right w:val="nil"/>
            </w:tcBorders>
          </w:tcPr>
          <w:p>
            <w:pPr>
              <w:keepNext/>
              <w:jc w:val="center"/>
            </w:pPr>
            <w:r>
              <w:rPr>
                <w:rFonts w:ascii="Times New Roman" w:hAnsi="Times New Roman"/>
                <w:b/>
                <w:i w:val="0"/>
                <w:sz w:val="14"/>
              </w:rPr>
              <w:t>Setting</w:t>
            </w:r>
          </w:p>
        </w:tc>
      </w:tr>
      <w:tr>
        <w:tc>
          <w:tcPr>
            <w:tcW w:type="dxa" w:w="1656"/>
            <w:tcBorders>
              <w:top w:val="single" w:sz="4" w:color="000000"/>
              <w:bottom w:val="nil"/>
              <w:left w:val="nil"/>
              <w:right w:val="nil"/>
            </w:tcBorders>
          </w:tcPr>
          <w:p>
            <w:pPr>
              <w:keepNext/>
              <w:jc w:val="left"/>
            </w:pPr>
            <w:r>
              <w:rPr>
                <w:rFonts w:ascii="Times New Roman" w:hAnsi="Times New Roman"/>
                <w:b w:val="0"/>
                <w:i w:val="0"/>
                <w:sz w:val="14"/>
              </w:rPr>
              <w:t>Model</w:t>
            </w:r>
          </w:p>
        </w:tc>
        <w:tc>
          <w:tcPr>
            <w:tcW w:type="dxa" w:w="3312"/>
            <w:tcBorders>
              <w:top w:val="single" w:sz="4" w:color="000000"/>
              <w:bottom w:val="nil"/>
              <w:left w:val="nil"/>
              <w:right w:val="nil"/>
            </w:tcBorders>
          </w:tcPr>
          <w:p>
            <w:pPr>
              <w:keepNext/>
              <w:jc w:val="center"/>
            </w:pPr>
            <w:r>
              <w:rPr>
                <w:rFonts w:ascii="Times New Roman" w:hAnsi="Times New Roman"/>
                <w:b w:val="0"/>
                <w:i w:val="0"/>
                <w:sz w:val="14"/>
              </w:rPr>
              <w:t>LightGBM, binary log-loss, early stopping on AP</w:t>
            </w:r>
          </w:p>
        </w:tc>
      </w:tr>
      <w:tr>
        <w:tc>
          <w:tcPr>
            <w:tcW w:type="dxa" w:w="1656"/>
            <w:tcBorders>
              <w:top w:val="nil"/>
              <w:bottom w:val="nil"/>
              <w:left w:val="nil"/>
              <w:right w:val="nil"/>
            </w:tcBorders>
          </w:tcPr>
          <w:p>
            <w:pPr>
              <w:keepNext/>
              <w:jc w:val="left"/>
            </w:pPr>
            <w:r>
              <w:rPr>
                <w:rFonts w:ascii="Times New Roman" w:hAnsi="Times New Roman"/>
                <w:b w:val="0"/>
                <w:i w:val="0"/>
                <w:sz w:val="14"/>
              </w:rPr>
              <w:t>Trees</w:t>
            </w:r>
          </w:p>
        </w:tc>
        <w:tc>
          <w:tcPr>
            <w:tcW w:type="dxa" w:w="3312"/>
            <w:tcBorders>
              <w:top w:val="nil"/>
              <w:bottom w:val="nil"/>
              <w:left w:val="nil"/>
              <w:right w:val="nil"/>
            </w:tcBorders>
          </w:tcPr>
          <w:p>
            <w:pPr>
              <w:keepNext/>
              <w:jc w:val="center"/>
            </w:pPr>
            <w:r>
              <w:rPr>
                <w:rFonts w:ascii="Times New Roman" w:hAnsi="Times New Roman"/>
                <w:b w:val="0"/>
                <w:i w:val="0"/>
                <w:sz w:val="14"/>
              </w:rPr>
              <w:t>7 leaves, ≥ 4000 rows per leaf, learning rate 0.03</w:t>
            </w:r>
          </w:p>
        </w:tc>
      </w:tr>
      <w:tr>
        <w:tc>
          <w:tcPr>
            <w:tcW w:type="dxa" w:w="1656"/>
            <w:tcBorders>
              <w:top w:val="nil"/>
              <w:bottom w:val="nil"/>
              <w:left w:val="nil"/>
              <w:right w:val="nil"/>
            </w:tcBorders>
          </w:tcPr>
          <w:p>
            <w:pPr>
              <w:keepNext/>
              <w:jc w:val="left"/>
            </w:pPr>
            <w:r>
              <w:rPr>
                <w:rFonts w:ascii="Times New Roman" w:hAnsi="Times New Roman"/>
                <w:b w:val="0"/>
                <w:i w:val="0"/>
                <w:sz w:val="14"/>
              </w:rPr>
              <w:t>Regularisation</w:t>
            </w:r>
          </w:p>
        </w:tc>
        <w:tc>
          <w:tcPr>
            <w:tcW w:type="dxa" w:w="3312"/>
            <w:tcBorders>
              <w:top w:val="nil"/>
              <w:bottom w:val="nil"/>
              <w:left w:val="nil"/>
              <w:right w:val="nil"/>
            </w:tcBorders>
          </w:tcPr>
          <w:p>
            <w:pPr>
              <w:keepNext/>
              <w:jc w:val="center"/>
            </w:pPr>
            <w:r>
              <w:rPr>
                <w:rFonts w:ascii="Times New Roman" w:hAnsi="Times New Roman"/>
                <w:b w:val="0"/>
                <w:i w:val="0"/>
                <w:sz w:val="14"/>
              </w:rPr>
              <w:t>L2 λ = 50, feature fraction 0.4, bagging 0.7, extra-trees</w:t>
            </w:r>
          </w:p>
        </w:tc>
      </w:tr>
      <w:tr>
        <w:tc>
          <w:tcPr>
            <w:tcW w:type="dxa" w:w="1656"/>
            <w:tcBorders>
              <w:top w:val="nil"/>
              <w:bottom w:val="nil"/>
              <w:left w:val="nil"/>
              <w:right w:val="nil"/>
            </w:tcBorders>
          </w:tcPr>
          <w:p>
            <w:pPr>
              <w:keepNext/>
              <w:jc w:val="left"/>
            </w:pPr>
            <w:r>
              <w:rPr>
                <w:rFonts w:ascii="Times New Roman" w:hAnsi="Times New Roman"/>
                <w:b w:val="0"/>
                <w:i w:val="0"/>
                <w:sz w:val="14"/>
              </w:rPr>
              <w:t>Class balance</w:t>
            </w:r>
          </w:p>
        </w:tc>
        <w:tc>
          <w:tcPr>
            <w:tcW w:type="dxa" w:w="3312"/>
            <w:tcBorders>
              <w:top w:val="nil"/>
              <w:bottom w:val="nil"/>
              <w:left w:val="nil"/>
              <w:right w:val="nil"/>
            </w:tcBorders>
          </w:tcPr>
          <w:p>
            <w:pPr>
              <w:keepNext/>
              <w:jc w:val="center"/>
            </w:pPr>
            <w:r>
              <w:rPr>
                <w:rFonts w:ascii="Times New Roman" w:hAnsi="Times New Roman"/>
                <w:b w:val="0"/>
                <w:i w:val="0"/>
                <w:sz w:val="14"/>
              </w:rPr>
              <w:t>weight √(neg/pos), area-balanced sample weights</w:t>
            </w:r>
          </w:p>
        </w:tc>
      </w:tr>
      <w:tr>
        <w:tc>
          <w:tcPr>
            <w:tcW w:type="dxa" w:w="1656"/>
            <w:tcBorders>
              <w:top w:val="nil"/>
              <w:bottom w:val="nil"/>
              <w:left w:val="nil"/>
              <w:right w:val="nil"/>
            </w:tcBorders>
          </w:tcPr>
          <w:p>
            <w:pPr>
              <w:keepNext/>
              <w:jc w:val="left"/>
            </w:pPr>
            <w:r>
              <w:rPr>
                <w:rFonts w:ascii="Times New Roman" w:hAnsi="Times New Roman"/>
                <w:b w:val="0"/>
                <w:i w:val="0"/>
                <w:sz w:val="14"/>
              </w:rPr>
              <w:t>Train</w:t>
            </w:r>
          </w:p>
        </w:tc>
        <w:tc>
          <w:tcPr>
            <w:tcW w:type="dxa" w:w="3312"/>
            <w:tcBorders>
              <w:top w:val="nil"/>
              <w:bottom w:val="nil"/>
              <w:left w:val="nil"/>
              <w:right w:val="nil"/>
            </w:tcBorders>
          </w:tcPr>
          <w:p>
            <w:pPr>
              <w:keepNext/>
              <w:jc w:val="center"/>
            </w:pPr>
            <w:r>
              <w:rPr>
                <w:rFonts w:ascii="Times New Roman" w:hAnsi="Times New Roman"/>
                <w:b w:val="0"/>
                <w:i w:val="0"/>
                <w:sz w:val="14"/>
              </w:rPr>
              <w:t>months ≤ 2022-03, 60 % of 1 km blocks; 800,784 rows</w:t>
            </w:r>
          </w:p>
        </w:tc>
      </w:tr>
      <w:tr>
        <w:tc>
          <w:tcPr>
            <w:tcW w:type="dxa" w:w="1656"/>
            <w:tcBorders>
              <w:top w:val="nil"/>
              <w:bottom w:val="nil"/>
              <w:left w:val="nil"/>
              <w:right w:val="nil"/>
            </w:tcBorders>
          </w:tcPr>
          <w:p>
            <w:pPr>
              <w:keepNext/>
              <w:jc w:val="left"/>
            </w:pPr>
            <w:r>
              <w:rPr>
                <w:rFonts w:ascii="Times New Roman" w:hAnsi="Times New Roman"/>
                <w:b w:val="0"/>
                <w:i w:val="0"/>
                <w:sz w:val="14"/>
              </w:rPr>
              <w:t>Validation / calibration</w:t>
            </w:r>
          </w:p>
        </w:tc>
        <w:tc>
          <w:tcPr>
            <w:tcW w:type="dxa" w:w="3312"/>
            <w:tcBorders>
              <w:top w:val="nil"/>
              <w:bottom w:val="nil"/>
              <w:left w:val="nil"/>
              <w:right w:val="nil"/>
            </w:tcBorders>
          </w:tcPr>
          <w:p>
            <w:pPr>
              <w:keepNext/>
              <w:jc w:val="center"/>
            </w:pPr>
            <w:r>
              <w:rPr>
                <w:rFonts w:ascii="Times New Roman" w:hAnsi="Times New Roman"/>
                <w:b w:val="0"/>
                <w:i w:val="0"/>
                <w:sz w:val="14"/>
              </w:rPr>
              <w:t>2023-03 … 2023-12; 169,049 / 378,057 rows</w:t>
            </w:r>
          </w:p>
        </w:tc>
      </w:tr>
      <w:tr>
        <w:tc>
          <w:tcPr>
            <w:tcW w:type="dxa" w:w="1656"/>
            <w:tcBorders>
              <w:top w:val="nil"/>
              <w:bottom w:val="nil"/>
              <w:left w:val="nil"/>
              <w:right w:val="nil"/>
            </w:tcBorders>
          </w:tcPr>
          <w:p>
            <w:pPr>
              <w:keepNext/>
              <w:jc w:val="left"/>
            </w:pPr>
            <w:r>
              <w:rPr>
                <w:rFonts w:ascii="Times New Roman" w:hAnsi="Times New Roman"/>
                <w:b w:val="0"/>
                <w:i w:val="0"/>
                <w:sz w:val="14"/>
              </w:rPr>
              <w:t>Test (locked)</w:t>
            </w:r>
          </w:p>
        </w:tc>
        <w:tc>
          <w:tcPr>
            <w:tcW w:type="dxa" w:w="3312"/>
            <w:tcBorders>
              <w:top w:val="nil"/>
              <w:bottom w:val="nil"/>
              <w:left w:val="nil"/>
              <w:right w:val="nil"/>
            </w:tcBorders>
          </w:tcPr>
          <w:p>
            <w:pPr>
              <w:keepNext/>
              <w:jc w:val="center"/>
            </w:pPr>
            <w:r>
              <w:rPr>
                <w:rFonts w:ascii="Times New Roman" w:hAnsi="Times New Roman"/>
                <w:b w:val="0"/>
                <w:i w:val="0"/>
                <w:sz w:val="14"/>
              </w:rPr>
              <w:t>months ≥ 2024-12 on test blocks; 132,230 rows</w:t>
            </w:r>
          </w:p>
        </w:tc>
      </w:tr>
      <w:tr>
        <w:tc>
          <w:tcPr>
            <w:tcW w:type="dxa" w:w="1656"/>
            <w:tcBorders>
              <w:top w:val="nil"/>
              <w:bottom w:val="nil"/>
              <w:left w:val="nil"/>
              <w:right w:val="nil"/>
            </w:tcBorders>
          </w:tcPr>
          <w:p>
            <w:pPr>
              <w:keepNext/>
              <w:jc w:val="left"/>
            </w:pPr>
            <w:r>
              <w:rPr>
                <w:rFonts w:ascii="Times New Roman" w:hAnsi="Times New Roman"/>
                <w:b w:val="0"/>
                <w:i w:val="0"/>
                <w:sz w:val="14"/>
              </w:rPr>
              <w:t>Embargo</w:t>
            </w:r>
          </w:p>
        </w:tc>
        <w:tc>
          <w:tcPr>
            <w:tcW w:type="dxa" w:w="3312"/>
            <w:tcBorders>
              <w:top w:val="nil"/>
              <w:bottom w:val="nil"/>
              <w:left w:val="nil"/>
              <w:right w:val="nil"/>
            </w:tcBorders>
          </w:tcPr>
          <w:p>
            <w:pPr>
              <w:keepNext/>
              <w:jc w:val="center"/>
            </w:pPr>
            <w:r>
              <w:rPr>
                <w:rFonts w:ascii="Times New Roman" w:hAnsi="Times New Roman"/>
                <w:b w:val="0"/>
                <w:i w:val="0"/>
                <w:sz w:val="14"/>
              </w:rPr>
              <w:t>≥ 11-month gaps = label look-ahead (no leakage)</w:t>
            </w:r>
          </w:p>
        </w:tc>
      </w:tr>
      <w:tr>
        <w:tc>
          <w:tcPr>
            <w:tcW w:type="dxa" w:w="1656"/>
            <w:tcBorders>
              <w:top w:val="nil"/>
              <w:bottom w:val="nil"/>
              <w:left w:val="nil"/>
              <w:right w:val="nil"/>
            </w:tcBorders>
          </w:tcPr>
          <w:p>
            <w:pPr>
              <w:keepNext/>
              <w:jc w:val="left"/>
            </w:pPr>
            <w:r>
              <w:rPr>
                <w:rFonts w:ascii="Times New Roman" w:hAnsi="Times New Roman"/>
                <w:b w:val="0"/>
                <w:i w:val="0"/>
                <w:sz w:val="14"/>
              </w:rPr>
              <w:t>Hardware</w:t>
            </w:r>
          </w:p>
        </w:tc>
        <w:tc>
          <w:tcPr>
            <w:tcW w:type="dxa" w:w="3312"/>
            <w:tcBorders>
              <w:top w:val="nil"/>
              <w:bottom w:val="nil"/>
              <w:left w:val="nil"/>
              <w:right w:val="nil"/>
            </w:tcBorders>
          </w:tcPr>
          <w:p>
            <w:pPr>
              <w:keepNext/>
              <w:jc w:val="center"/>
            </w:pPr>
            <w:r>
              <w:rPr>
                <w:rFonts w:ascii="Times New Roman" w:hAnsi="Times New Roman"/>
                <w:b w:val="0"/>
                <w:i w:val="0"/>
                <w:sz w:val="14"/>
              </w:rPr>
              <w:t>Intel Core 5 210H, 16 GB RAM, CPU only; final fit 14 s</w:t>
            </w:r>
          </w:p>
        </w:tc>
      </w:tr>
      <w:tr>
        <w:tc>
          <w:tcPr>
            <w:tcW w:type="dxa" w:w="1656"/>
            <w:tcBorders>
              <w:top w:val="nil"/>
              <w:bottom w:val="single" w:sz="8" w:color="000000"/>
              <w:left w:val="nil"/>
              <w:right w:val="nil"/>
            </w:tcBorders>
          </w:tcPr>
          <w:p>
            <w:pPr>
              <w:jc w:val="left"/>
            </w:pPr>
            <w:r>
              <w:rPr>
                <w:rFonts w:ascii="Times New Roman" w:hAnsi="Times New Roman"/>
                <w:b w:val="0"/>
                <w:i w:val="0"/>
                <w:sz w:val="14"/>
              </w:rPr>
              <w:t>Decision rule</w:t>
            </w:r>
          </w:p>
        </w:tc>
        <w:tc>
          <w:tcPr>
            <w:tcW w:type="dxa" w:w="3312"/>
            <w:tcBorders>
              <w:top w:val="nil"/>
              <w:bottom w:val="single" w:sz="8" w:color="000000"/>
              <w:left w:val="nil"/>
              <w:right w:val="nil"/>
            </w:tcBorders>
          </w:tcPr>
          <w:p>
            <w:pPr>
              <w:jc w:val="center"/>
            </w:pPr>
            <w:r>
              <w:rPr>
                <w:rFonts w:ascii="Times New Roman" w:hAnsi="Times New Roman"/>
                <w:b w:val="0"/>
                <w:i w:val="0"/>
                <w:sz w:val="14"/>
              </w:rPr>
              <w:t>a change is adopted only if validation AP gains ≥ 0.005 (5 seeds)</w:t>
            </w:r>
          </w:p>
        </w:tc>
      </w:tr>
    </w:tbl>
    <w:p>
      <w:pPr>
        <w:spacing w:after="80"/>
      </w:pPr>
    </w:p>
    <w:p>
      <w:pPr>
        <w:spacing w:after="0"/>
        <w:ind w:firstLine="245"/>
        <w:jc w:val="both"/>
      </w:pPr>
      <w:r>
        <w:rPr>
          <w:rFonts w:ascii="Times New Roman" w:hAnsi="Times New Roman"/>
          <w:b w:val="0"/>
          <w:i w:val="0"/>
          <w:sz w:val="20"/>
        </w:rPr>
        <w:t>Model choices were made on validation data only. The test set was evaluated once. 95 % confidence intervals use a cluster bootstrap over (site, block).</w:t>
      </w:r>
    </w:p>
    <w:p>
      <w:pPr>
        <w:keepNext/>
        <w:spacing w:before="160" w:after="80"/>
        <w:jc w:val="center"/>
      </w:pPr>
      <w:r>
        <w:rPr>
          <w:rFonts w:ascii="Times New Roman" w:hAnsi="Times New Roman"/>
          <w:b w:val="0"/>
          <w:i w:val="0"/>
          <w:smallCaps/>
          <w:sz w:val="20"/>
        </w:rPr>
        <w:t xml:space="preserve">IV. </w:t>
      </w:r>
      <w:r>
        <w:rPr>
          <w:rFonts w:ascii="Times New Roman" w:hAnsi="Times New Roman"/>
          <w:b w:val="0"/>
          <w:i w:val="0"/>
          <w:smallCaps/>
          <w:sz w:val="20"/>
        </w:rPr>
        <w:t>Results and Discussion</w:t>
      </w:r>
    </w:p>
    <w:p>
      <w:pPr>
        <w:keepNext/>
        <w:spacing w:before="80" w:after="40"/>
      </w:pPr>
      <w:r>
        <w:rPr>
          <w:rFonts w:ascii="Times New Roman" w:hAnsi="Times New Roman"/>
          <w:b w:val="0"/>
          <w:i/>
          <w:sz w:val="20"/>
        </w:rPr>
        <w:t>A. Evaluation metrics</w:t>
      </w:r>
    </w:p>
    <w:p>
      <w:pPr>
        <w:spacing w:after="0"/>
        <w:ind w:firstLine="245"/>
        <w:jc w:val="both"/>
      </w:pPr>
      <w:r>
        <w:rPr>
          <w:rFonts w:ascii="Times New Roman" w:hAnsi="Times New Roman"/>
          <w:b w:val="0"/>
          <w:i w:val="0"/>
          <w:sz w:val="20"/>
        </w:rPr>
        <w:t>Degradation onsets are rare (2.5 % of test pixel-months). A model that never warns would therefore score 97.5 % accuracy, so PR-AUC and its lift over chance are the primary metrics. Table IV reports all metrics at the calibrated threshold (p = 0.129) on the locked test set.</w:t>
      </w:r>
    </w:p>
    <w:p>
      <w:pPr>
        <w:keepNext/>
        <w:spacing w:before="120"/>
        <w:jc w:val="center"/>
      </w:pPr>
      <w:r>
        <w:rPr>
          <w:rFonts w:ascii="Times New Roman" w:hAnsi="Times New Roman"/>
          <w:b w:val="0"/>
          <w:i w:val="0"/>
          <w:smallCaps/>
          <w:sz w:val="16"/>
        </w:rPr>
        <w:t>TABLE IV</w:t>
      </w:r>
    </w:p>
    <w:p>
      <w:pPr>
        <w:keepNext/>
        <w:spacing w:after="60"/>
        <w:jc w:val="center"/>
      </w:pPr>
      <w:r>
        <w:rPr>
          <w:rFonts w:ascii="Times New Roman" w:hAnsi="Times New Roman"/>
          <w:b w:val="0"/>
          <w:i w:val="0"/>
          <w:smallCaps/>
          <w:sz w:val="16"/>
        </w:rPr>
        <w:t>Test-Set Performance (132,230 Pixel-Months)</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1368"/>
            <w:tcBorders>
              <w:top w:val="single" w:sz="8" w:color="000000"/>
              <w:bottom w:val="nil"/>
              <w:left w:val="nil"/>
              <w:right w:val="nil"/>
            </w:tcBorders>
          </w:tcPr>
          <w:p>
            <w:pPr>
              <w:keepNext/>
              <w:jc w:val="left"/>
            </w:pPr>
            <w:r>
              <w:rPr>
                <w:rFonts w:ascii="Times New Roman" w:hAnsi="Times New Roman"/>
                <w:b/>
                <w:i w:val="0"/>
                <w:sz w:val="14"/>
              </w:rPr>
              <w:t>Metric</w:t>
            </w:r>
          </w:p>
        </w:tc>
        <w:tc>
          <w:tcPr>
            <w:tcW w:type="dxa" w:w="1368"/>
            <w:tcBorders>
              <w:top w:val="single" w:sz="8" w:color="000000"/>
              <w:bottom w:val="nil"/>
              <w:left w:val="nil"/>
              <w:right w:val="nil"/>
            </w:tcBorders>
          </w:tcPr>
          <w:p>
            <w:pPr>
              <w:keepNext/>
              <w:jc w:val="center"/>
            </w:pPr>
            <w:r>
              <w:rPr>
                <w:rFonts w:ascii="Times New Roman" w:hAnsi="Times New Roman"/>
                <w:b/>
                <w:i w:val="0"/>
                <w:sz w:val="14"/>
              </w:rPr>
              <w:t>Value</w:t>
            </w:r>
          </w:p>
        </w:tc>
        <w:tc>
          <w:tcPr>
            <w:tcW w:type="dxa" w:w="1152"/>
            <w:tcBorders>
              <w:top w:val="single" w:sz="8" w:color="000000"/>
              <w:bottom w:val="nil"/>
              <w:left w:val="nil"/>
              <w:right w:val="nil"/>
            </w:tcBorders>
          </w:tcPr>
          <w:p>
            <w:pPr>
              <w:keepNext/>
              <w:jc w:val="center"/>
            </w:pPr>
            <w:r>
              <w:rPr>
                <w:rFonts w:ascii="Times New Roman" w:hAnsi="Times New Roman"/>
                <w:b/>
                <w:i w:val="0"/>
                <w:sz w:val="14"/>
              </w:rPr>
              <w:t>Metric</w:t>
            </w:r>
          </w:p>
        </w:tc>
        <w:tc>
          <w:tcPr>
            <w:tcW w:type="dxa" w:w="1080"/>
            <w:tcBorders>
              <w:top w:val="single" w:sz="8" w:color="000000"/>
              <w:bottom w:val="nil"/>
              <w:left w:val="nil"/>
              <w:right w:val="nil"/>
            </w:tcBorders>
          </w:tcPr>
          <w:p>
            <w:pPr>
              <w:keepNext/>
              <w:jc w:val="center"/>
            </w:pPr>
            <w:r>
              <w:rPr>
                <w:rFonts w:ascii="Times New Roman" w:hAnsi="Times New Roman"/>
                <w:b/>
                <w:i w:val="0"/>
                <w:sz w:val="14"/>
              </w:rPr>
              <w:t>Value</w:t>
            </w:r>
          </w:p>
        </w:tc>
      </w:tr>
      <w:tr>
        <w:tc>
          <w:tcPr>
            <w:tcW w:type="dxa" w:w="1368"/>
            <w:tcBorders>
              <w:top w:val="single" w:sz="4" w:color="000000"/>
              <w:bottom w:val="nil"/>
              <w:left w:val="nil"/>
              <w:right w:val="nil"/>
            </w:tcBorders>
          </w:tcPr>
          <w:p>
            <w:pPr>
              <w:keepNext/>
              <w:jc w:val="left"/>
            </w:pPr>
            <w:r>
              <w:rPr>
                <w:rFonts w:ascii="Times New Roman" w:hAnsi="Times New Roman"/>
                <w:b w:val="0"/>
                <w:i w:val="0"/>
                <w:sz w:val="14"/>
              </w:rPr>
              <w:t>ROC-AUC</w:t>
            </w:r>
          </w:p>
        </w:tc>
        <w:tc>
          <w:tcPr>
            <w:tcW w:type="dxa" w:w="1368"/>
            <w:tcBorders>
              <w:top w:val="single" w:sz="4" w:color="000000"/>
              <w:bottom w:val="nil"/>
              <w:left w:val="nil"/>
              <w:right w:val="nil"/>
            </w:tcBorders>
          </w:tcPr>
          <w:p>
            <w:pPr>
              <w:keepNext/>
              <w:jc w:val="center"/>
            </w:pPr>
            <w:r>
              <w:rPr>
                <w:rFonts w:ascii="Times New Roman" w:hAnsi="Times New Roman"/>
                <w:b w:val="0"/>
                <w:i w:val="0"/>
                <w:sz w:val="14"/>
              </w:rPr>
              <w:t>0.805 (0.766–0.838)</w:t>
            </w:r>
          </w:p>
        </w:tc>
        <w:tc>
          <w:tcPr>
            <w:tcW w:type="dxa" w:w="1152"/>
            <w:tcBorders>
              <w:top w:val="single" w:sz="4" w:color="000000"/>
              <w:bottom w:val="nil"/>
              <w:left w:val="nil"/>
              <w:right w:val="nil"/>
            </w:tcBorders>
          </w:tcPr>
          <w:p>
            <w:pPr>
              <w:keepNext/>
              <w:jc w:val="center"/>
            </w:pPr>
            <w:r>
              <w:rPr>
                <w:rFonts w:ascii="Times New Roman" w:hAnsi="Times New Roman"/>
                <w:b w:val="0"/>
                <w:i w:val="0"/>
                <w:sz w:val="14"/>
              </w:rPr>
              <w:t>Precision</w:t>
            </w:r>
          </w:p>
        </w:tc>
        <w:tc>
          <w:tcPr>
            <w:tcW w:type="dxa" w:w="1080"/>
            <w:tcBorders>
              <w:top w:val="single" w:sz="4" w:color="000000"/>
              <w:bottom w:val="nil"/>
              <w:left w:val="nil"/>
              <w:right w:val="nil"/>
            </w:tcBorders>
          </w:tcPr>
          <w:p>
            <w:pPr>
              <w:keepNext/>
              <w:jc w:val="center"/>
            </w:pPr>
            <w:r>
              <w:rPr>
                <w:rFonts w:ascii="Times New Roman" w:hAnsi="Times New Roman"/>
                <w:b w:val="0"/>
                <w:i w:val="0"/>
                <w:sz w:val="14"/>
              </w:rPr>
              <w:t>0.217</w:t>
            </w:r>
          </w:p>
        </w:tc>
      </w:tr>
      <w:tr>
        <w:tc>
          <w:tcPr>
            <w:tcW w:type="dxa" w:w="1368"/>
            <w:tcBorders>
              <w:top w:val="nil"/>
              <w:bottom w:val="nil"/>
              <w:left w:val="nil"/>
              <w:right w:val="nil"/>
            </w:tcBorders>
          </w:tcPr>
          <w:p>
            <w:pPr>
              <w:keepNext/>
              <w:jc w:val="left"/>
            </w:pPr>
            <w:r>
              <w:rPr>
                <w:rFonts w:ascii="Times New Roman" w:hAnsi="Times New Roman"/>
                <w:b w:val="0"/>
                <w:i w:val="0"/>
                <w:sz w:val="14"/>
              </w:rPr>
              <w:t>PR-AUC</w:t>
            </w:r>
          </w:p>
        </w:tc>
        <w:tc>
          <w:tcPr>
            <w:tcW w:type="dxa" w:w="1368"/>
            <w:tcBorders>
              <w:top w:val="nil"/>
              <w:bottom w:val="nil"/>
              <w:left w:val="nil"/>
              <w:right w:val="nil"/>
            </w:tcBorders>
          </w:tcPr>
          <w:p>
            <w:pPr>
              <w:keepNext/>
              <w:jc w:val="center"/>
            </w:pPr>
            <w:r>
              <w:rPr>
                <w:rFonts w:ascii="Times New Roman" w:hAnsi="Times New Roman"/>
                <w:b w:val="0"/>
                <w:i w:val="0"/>
                <w:sz w:val="14"/>
              </w:rPr>
              <w:t>0.144 (0.112–0.184)</w:t>
            </w:r>
          </w:p>
        </w:tc>
        <w:tc>
          <w:tcPr>
            <w:tcW w:type="dxa" w:w="1152"/>
            <w:tcBorders>
              <w:top w:val="nil"/>
              <w:bottom w:val="nil"/>
              <w:left w:val="nil"/>
              <w:right w:val="nil"/>
            </w:tcBorders>
          </w:tcPr>
          <w:p>
            <w:pPr>
              <w:keepNext/>
              <w:jc w:val="center"/>
            </w:pPr>
            <w:r>
              <w:rPr>
                <w:rFonts w:ascii="Times New Roman" w:hAnsi="Times New Roman"/>
                <w:b w:val="0"/>
                <w:i w:val="0"/>
                <w:sz w:val="14"/>
              </w:rPr>
              <w:t>Recall</w:t>
            </w:r>
          </w:p>
        </w:tc>
        <w:tc>
          <w:tcPr>
            <w:tcW w:type="dxa" w:w="1080"/>
            <w:tcBorders>
              <w:top w:val="nil"/>
              <w:bottom w:val="nil"/>
              <w:left w:val="nil"/>
              <w:right w:val="nil"/>
            </w:tcBorders>
          </w:tcPr>
          <w:p>
            <w:pPr>
              <w:keepNext/>
              <w:jc w:val="center"/>
            </w:pPr>
            <w:r>
              <w:rPr>
                <w:rFonts w:ascii="Times New Roman" w:hAnsi="Times New Roman"/>
                <w:b w:val="0"/>
                <w:i w:val="0"/>
                <w:sz w:val="14"/>
              </w:rPr>
              <w:t>0.289</w:t>
            </w:r>
          </w:p>
        </w:tc>
      </w:tr>
      <w:tr>
        <w:tc>
          <w:tcPr>
            <w:tcW w:type="dxa" w:w="1368"/>
            <w:tcBorders>
              <w:top w:val="nil"/>
              <w:bottom w:val="nil"/>
              <w:left w:val="nil"/>
              <w:right w:val="nil"/>
            </w:tcBorders>
          </w:tcPr>
          <w:p>
            <w:pPr>
              <w:keepNext/>
              <w:jc w:val="left"/>
            </w:pPr>
            <w:r>
              <w:rPr>
                <w:rFonts w:ascii="Times New Roman" w:hAnsi="Times New Roman"/>
                <w:b w:val="0"/>
                <w:i w:val="0"/>
                <w:sz w:val="14"/>
              </w:rPr>
              <w:t>Lift over chance</w:t>
            </w:r>
          </w:p>
        </w:tc>
        <w:tc>
          <w:tcPr>
            <w:tcW w:type="dxa" w:w="1368"/>
            <w:tcBorders>
              <w:top w:val="nil"/>
              <w:bottom w:val="nil"/>
              <w:left w:val="nil"/>
              <w:right w:val="nil"/>
            </w:tcBorders>
          </w:tcPr>
          <w:p>
            <w:pPr>
              <w:keepNext/>
              <w:jc w:val="center"/>
            </w:pPr>
            <w:r>
              <w:rPr>
                <w:rFonts w:ascii="Times New Roman" w:hAnsi="Times New Roman"/>
                <w:b w:val="0"/>
                <w:i w:val="0"/>
                <w:sz w:val="14"/>
              </w:rPr>
              <w:t>5.7×</w:t>
            </w:r>
          </w:p>
        </w:tc>
        <w:tc>
          <w:tcPr>
            <w:tcW w:type="dxa" w:w="1152"/>
            <w:tcBorders>
              <w:top w:val="nil"/>
              <w:bottom w:val="nil"/>
              <w:left w:val="nil"/>
              <w:right w:val="nil"/>
            </w:tcBorders>
          </w:tcPr>
          <w:p>
            <w:pPr>
              <w:keepNext/>
              <w:jc w:val="center"/>
            </w:pPr>
            <w:r>
              <w:rPr>
                <w:rFonts w:ascii="Times New Roman" w:hAnsi="Times New Roman"/>
                <w:b w:val="0"/>
                <w:i w:val="0"/>
                <w:sz w:val="14"/>
              </w:rPr>
              <w:t>F1-score</w:t>
            </w:r>
          </w:p>
        </w:tc>
        <w:tc>
          <w:tcPr>
            <w:tcW w:type="dxa" w:w="1080"/>
            <w:tcBorders>
              <w:top w:val="nil"/>
              <w:bottom w:val="nil"/>
              <w:left w:val="nil"/>
              <w:right w:val="nil"/>
            </w:tcBorders>
          </w:tcPr>
          <w:p>
            <w:pPr>
              <w:keepNext/>
              <w:jc w:val="center"/>
            </w:pPr>
            <w:r>
              <w:rPr>
                <w:rFonts w:ascii="Times New Roman" w:hAnsi="Times New Roman"/>
                <w:b w:val="0"/>
                <w:i w:val="0"/>
                <w:sz w:val="14"/>
              </w:rPr>
              <w:t>0.248</w:t>
            </w:r>
          </w:p>
        </w:tc>
      </w:tr>
      <w:tr>
        <w:tc>
          <w:tcPr>
            <w:tcW w:type="dxa" w:w="1368"/>
            <w:tcBorders>
              <w:top w:val="nil"/>
              <w:bottom w:val="nil"/>
              <w:left w:val="nil"/>
              <w:right w:val="nil"/>
            </w:tcBorders>
          </w:tcPr>
          <w:p>
            <w:pPr>
              <w:keepNext/>
              <w:jc w:val="left"/>
            </w:pPr>
            <w:r>
              <w:rPr>
                <w:rFonts w:ascii="Times New Roman" w:hAnsi="Times New Roman"/>
                <w:b w:val="0"/>
                <w:i w:val="0"/>
                <w:sz w:val="14"/>
              </w:rPr>
              <w:t>Accuracy</w:t>
            </w:r>
          </w:p>
        </w:tc>
        <w:tc>
          <w:tcPr>
            <w:tcW w:type="dxa" w:w="1368"/>
            <w:tcBorders>
              <w:top w:val="nil"/>
              <w:bottom w:val="nil"/>
              <w:left w:val="nil"/>
              <w:right w:val="nil"/>
            </w:tcBorders>
          </w:tcPr>
          <w:p>
            <w:pPr>
              <w:keepNext/>
              <w:jc w:val="center"/>
            </w:pPr>
            <w:r>
              <w:rPr>
                <w:rFonts w:ascii="Times New Roman" w:hAnsi="Times New Roman"/>
                <w:b w:val="0"/>
                <w:i w:val="0"/>
                <w:sz w:val="14"/>
              </w:rPr>
              <w:t>95.6 %</w:t>
            </w:r>
          </w:p>
        </w:tc>
        <w:tc>
          <w:tcPr>
            <w:tcW w:type="dxa" w:w="1152"/>
            <w:tcBorders>
              <w:top w:val="nil"/>
              <w:bottom w:val="nil"/>
              <w:left w:val="nil"/>
              <w:right w:val="nil"/>
            </w:tcBorders>
          </w:tcPr>
          <w:p>
            <w:pPr>
              <w:keepNext/>
              <w:jc w:val="center"/>
            </w:pPr>
            <w:r>
              <w:rPr>
                <w:rFonts w:ascii="Times New Roman" w:hAnsi="Times New Roman"/>
                <w:b w:val="0"/>
                <w:i w:val="0"/>
                <w:sz w:val="14"/>
              </w:rPr>
              <w:t>False-alarm rate</w:t>
            </w:r>
          </w:p>
        </w:tc>
        <w:tc>
          <w:tcPr>
            <w:tcW w:type="dxa" w:w="1080"/>
            <w:tcBorders>
              <w:top w:val="nil"/>
              <w:bottom w:val="nil"/>
              <w:left w:val="nil"/>
              <w:right w:val="nil"/>
            </w:tcBorders>
          </w:tcPr>
          <w:p>
            <w:pPr>
              <w:keepNext/>
              <w:jc w:val="center"/>
            </w:pPr>
            <w:r>
              <w:rPr>
                <w:rFonts w:ascii="Times New Roman" w:hAnsi="Times New Roman"/>
                <w:b w:val="0"/>
                <w:i w:val="0"/>
                <w:sz w:val="14"/>
              </w:rPr>
              <w:t>2.7 %</w:t>
            </w:r>
          </w:p>
        </w:tc>
      </w:tr>
      <w:tr>
        <w:tc>
          <w:tcPr>
            <w:tcW w:type="dxa" w:w="1368"/>
            <w:tcBorders>
              <w:top w:val="nil"/>
              <w:bottom w:val="nil"/>
              <w:left w:val="nil"/>
              <w:right w:val="nil"/>
            </w:tcBorders>
          </w:tcPr>
          <w:p>
            <w:pPr>
              <w:keepNext/>
              <w:jc w:val="left"/>
            </w:pPr>
            <w:r>
              <w:rPr>
                <w:rFonts w:ascii="Times New Roman" w:hAnsi="Times New Roman"/>
                <w:b w:val="0"/>
                <w:i w:val="0"/>
                <w:sz w:val="14"/>
              </w:rPr>
              <w:t>ECE / Brier</w:t>
            </w:r>
          </w:p>
        </w:tc>
        <w:tc>
          <w:tcPr>
            <w:tcW w:type="dxa" w:w="1368"/>
            <w:tcBorders>
              <w:top w:val="nil"/>
              <w:bottom w:val="nil"/>
              <w:left w:val="nil"/>
              <w:right w:val="nil"/>
            </w:tcBorders>
          </w:tcPr>
          <w:p>
            <w:pPr>
              <w:keepNext/>
              <w:jc w:val="center"/>
            </w:pPr>
            <w:r>
              <w:rPr>
                <w:rFonts w:ascii="Times New Roman" w:hAnsi="Times New Roman"/>
                <w:b w:val="0"/>
                <w:i w:val="0"/>
                <w:sz w:val="14"/>
              </w:rPr>
              <w:t>0.0025 / 0.0228</w:t>
            </w:r>
          </w:p>
        </w:tc>
        <w:tc>
          <w:tcPr>
            <w:tcW w:type="dxa" w:w="1152"/>
            <w:tcBorders>
              <w:top w:val="nil"/>
              <w:bottom w:val="nil"/>
              <w:left w:val="nil"/>
              <w:right w:val="nil"/>
            </w:tcBorders>
          </w:tcPr>
          <w:p>
            <w:pPr>
              <w:keepNext/>
              <w:jc w:val="center"/>
            </w:pPr>
            <w:r>
              <w:rPr>
                <w:rFonts w:ascii="Times New Roman" w:hAnsi="Times New Roman"/>
                <w:b w:val="0"/>
                <w:i w:val="0"/>
                <w:sz w:val="14"/>
              </w:rPr>
              <w:t>Specificity</w:t>
            </w:r>
          </w:p>
        </w:tc>
        <w:tc>
          <w:tcPr>
            <w:tcW w:type="dxa" w:w="1080"/>
            <w:tcBorders>
              <w:top w:val="nil"/>
              <w:bottom w:val="nil"/>
              <w:left w:val="nil"/>
              <w:right w:val="nil"/>
            </w:tcBorders>
          </w:tcPr>
          <w:p>
            <w:pPr>
              <w:keepNext/>
              <w:jc w:val="center"/>
            </w:pPr>
            <w:r>
              <w:rPr>
                <w:rFonts w:ascii="Times New Roman" w:hAnsi="Times New Roman"/>
                <w:b w:val="0"/>
                <w:i w:val="0"/>
                <w:sz w:val="14"/>
              </w:rPr>
              <w:t>97.3 %</w:t>
            </w:r>
          </w:p>
        </w:tc>
      </w:tr>
      <w:tr>
        <w:tc>
          <w:tcPr>
            <w:tcW w:type="dxa" w:w="1368"/>
            <w:tcBorders>
              <w:top w:val="nil"/>
              <w:bottom w:val="nil"/>
              <w:left w:val="nil"/>
              <w:right w:val="nil"/>
            </w:tcBorders>
          </w:tcPr>
          <w:p>
            <w:pPr>
              <w:keepNext/>
              <w:jc w:val="left"/>
            </w:pPr>
            <w:r>
              <w:rPr>
                <w:rFonts w:ascii="Times New Roman" w:hAnsi="Times New Roman"/>
                <w:b w:val="0"/>
                <w:i w:val="0"/>
                <w:sz w:val="14"/>
              </w:rPr>
              <w:t>Onsets warned ≥ 1 mo</w:t>
            </w:r>
          </w:p>
        </w:tc>
        <w:tc>
          <w:tcPr>
            <w:tcW w:type="dxa" w:w="1368"/>
            <w:tcBorders>
              <w:top w:val="nil"/>
              <w:bottom w:val="nil"/>
              <w:left w:val="nil"/>
              <w:right w:val="nil"/>
            </w:tcBorders>
          </w:tcPr>
          <w:p>
            <w:pPr>
              <w:keepNext/>
              <w:jc w:val="center"/>
            </w:pPr>
            <w:r>
              <w:rPr>
                <w:rFonts w:ascii="Times New Roman" w:hAnsi="Times New Roman"/>
                <w:b w:val="0"/>
                <w:i w:val="0"/>
                <w:sz w:val="14"/>
              </w:rPr>
              <w:t>41 % (median 3 mo)</w:t>
            </w:r>
          </w:p>
        </w:tc>
        <w:tc>
          <w:tcPr>
            <w:tcW w:type="dxa" w:w="1152"/>
            <w:tcBorders>
              <w:top w:val="nil"/>
              <w:bottom w:val="nil"/>
              <w:left w:val="nil"/>
              <w:right w:val="nil"/>
            </w:tcBorders>
          </w:tcPr>
          <w:p>
            <w:pPr>
              <w:keepNext/>
              <w:jc w:val="center"/>
            </w:pPr>
            <w:r>
              <w:rPr>
                <w:rFonts w:ascii="Times New Roman" w:hAnsi="Times New Roman"/>
                <w:b w:val="0"/>
                <w:i w:val="0"/>
                <w:sz w:val="14"/>
              </w:rPr>
              <w:t>NPV of “no event”</w:t>
            </w:r>
          </w:p>
        </w:tc>
        <w:tc>
          <w:tcPr>
            <w:tcW w:type="dxa" w:w="1080"/>
            <w:tcBorders>
              <w:top w:val="nil"/>
              <w:bottom w:val="nil"/>
              <w:left w:val="nil"/>
              <w:right w:val="nil"/>
            </w:tcBorders>
          </w:tcPr>
          <w:p>
            <w:pPr>
              <w:keepNext/>
              <w:jc w:val="center"/>
            </w:pPr>
            <w:r>
              <w:rPr>
                <w:rFonts w:ascii="Times New Roman" w:hAnsi="Times New Roman"/>
                <w:b w:val="0"/>
                <w:i w:val="0"/>
                <w:sz w:val="14"/>
              </w:rPr>
              <w:t>99.6 %</w:t>
            </w:r>
          </w:p>
        </w:tc>
      </w:tr>
      <w:tr>
        <w:tc>
          <w:tcPr>
            <w:tcW w:type="dxa" w:w="1368"/>
            <w:tcBorders>
              <w:top w:val="nil"/>
              <w:bottom w:val="single" w:sz="8" w:color="000000"/>
              <w:left w:val="nil"/>
              <w:right w:val="nil"/>
            </w:tcBorders>
          </w:tcPr>
          <w:p>
            <w:pPr>
              <w:jc w:val="left"/>
            </w:pPr>
            <w:r>
              <w:rPr>
                <w:rFonts w:ascii="Times New Roman" w:hAnsi="Times New Roman"/>
                <w:b w:val="0"/>
                <w:i w:val="0"/>
                <w:sz w:val="14"/>
              </w:rPr>
              <w:t>Confusion: TP / FP</w:t>
            </w:r>
          </w:p>
        </w:tc>
        <w:tc>
          <w:tcPr>
            <w:tcW w:type="dxa" w:w="1368"/>
            <w:tcBorders>
              <w:top w:val="nil"/>
              <w:bottom w:val="single" w:sz="8" w:color="000000"/>
              <w:left w:val="nil"/>
              <w:right w:val="nil"/>
            </w:tcBorders>
          </w:tcPr>
          <w:p>
            <w:pPr>
              <w:jc w:val="center"/>
            </w:pPr>
            <w:r>
              <w:rPr>
                <w:rFonts w:ascii="Times New Roman" w:hAnsi="Times New Roman"/>
                <w:b w:val="0"/>
                <w:i w:val="0"/>
                <w:sz w:val="14"/>
              </w:rPr>
              <w:t>963 / 3,468</w:t>
            </w:r>
          </w:p>
        </w:tc>
        <w:tc>
          <w:tcPr>
            <w:tcW w:type="dxa" w:w="1152"/>
            <w:tcBorders>
              <w:top w:val="nil"/>
              <w:bottom w:val="single" w:sz="8" w:color="000000"/>
              <w:left w:val="nil"/>
              <w:right w:val="nil"/>
            </w:tcBorders>
          </w:tcPr>
          <w:p>
            <w:pPr>
              <w:jc w:val="center"/>
            </w:pPr>
            <w:r>
              <w:rPr>
                <w:rFonts w:ascii="Times New Roman" w:hAnsi="Times New Roman"/>
                <w:b w:val="0"/>
                <w:i w:val="0"/>
                <w:sz w:val="14"/>
              </w:rPr>
              <w:t>FN / TN</w:t>
            </w:r>
          </w:p>
        </w:tc>
        <w:tc>
          <w:tcPr>
            <w:tcW w:type="dxa" w:w="1080"/>
            <w:tcBorders>
              <w:top w:val="nil"/>
              <w:bottom w:val="single" w:sz="8" w:color="000000"/>
              <w:left w:val="nil"/>
              <w:right w:val="nil"/>
            </w:tcBorders>
          </w:tcPr>
          <w:p>
            <w:pPr>
              <w:jc w:val="center"/>
            </w:pPr>
            <w:r>
              <w:rPr>
                <w:rFonts w:ascii="Times New Roman" w:hAnsi="Times New Roman"/>
                <w:b w:val="0"/>
                <w:i w:val="0"/>
                <w:sz w:val="14"/>
              </w:rPr>
              <w:t>2,364 / 125,435</w:t>
            </w:r>
          </w:p>
        </w:tc>
      </w:tr>
    </w:tbl>
    <w:p>
      <w:pPr>
        <w:spacing w:before="40" w:after="120"/>
      </w:pPr>
      <w:r>
        <w:rPr>
          <w:rFonts w:ascii="Times New Roman" w:hAnsi="Times New Roman"/>
          <w:b w:val="0"/>
          <w:i w:val="0"/>
          <w:sz w:val="14"/>
        </w:rPr>
        <w:t>Brackets: 95 % cluster-bootstrap CI. NPV refers to the conformal “no event” decisions; the system abstains on 52 % of pixels, and on the confident remainder ROC-AUC is 0.877.</w:t>
      </w:r>
    </w:p>
    <w:p>
      <w:pPr>
        <w:keepNext/>
        <w:spacing w:before="120"/>
        <w:jc w:val="center"/>
      </w:pPr>
      <w:r>
        <w:drawing>
          <wp:inline xmlns:a="http://schemas.openxmlformats.org/drawingml/2006/main" xmlns:pic="http://schemas.openxmlformats.org/drawingml/2006/picture">
            <wp:extent cx="3154680" cy="2087656"/>
            <wp:docPr id="3" name="Picture 3"/>
            <wp:cNvGraphicFramePr>
              <a:graphicFrameLocks noChangeAspect="1"/>
            </wp:cNvGraphicFramePr>
            <a:graphic>
              <a:graphicData uri="http://schemas.openxmlformats.org/drawingml/2006/picture">
                <pic:pic>
                  <pic:nvPicPr>
                    <pic:cNvPr id="0" name="roc_pr.png"/>
                    <pic:cNvPicPr/>
                  </pic:nvPicPr>
                  <pic:blipFill>
                    <a:blip r:embed="rId11"/>
                    <a:stretch>
                      <a:fillRect/>
                    </a:stretch>
                  </pic:blipFill>
                  <pic:spPr>
                    <a:xfrm>
                      <a:off x="0" y="0"/>
                      <a:ext cx="3154680" cy="2087656"/>
                    </a:xfrm>
                    <a:prstGeom prst="rect"/>
                  </pic:spPr>
                </pic:pic>
              </a:graphicData>
            </a:graphic>
          </wp:inline>
        </w:drawing>
      </w:r>
    </w:p>
    <w:p>
      <w:pPr>
        <w:spacing w:after="160"/>
        <w:jc w:val="both"/>
      </w:pPr>
      <w:r>
        <w:rPr>
          <w:rFonts w:ascii="Times New Roman" w:hAnsi="Times New Roman"/>
          <w:b w:val="0"/>
          <w:i w:val="0"/>
          <w:sz w:val="16"/>
        </w:rPr>
        <w:t xml:space="preserve">Fig. 3.  </w:t>
      </w:r>
      <w:r>
        <w:rPr>
          <w:rFonts w:ascii="Times New Roman" w:hAnsi="Times New Roman"/>
          <w:b w:val="0"/>
          <w:i w:val="0"/>
          <w:sz w:val="16"/>
        </w:rPr>
        <w:t>ROC and precision–recall curves on the locked test set for CARE-EW and three baselines. The grey line in (b) is the 2.5 % base rate.</w:t>
      </w:r>
    </w:p>
    <w:p>
      <w:pPr>
        <w:keepNext/>
        <w:spacing w:before="80" w:after="40"/>
      </w:pPr>
      <w:r>
        <w:rPr>
          <w:rFonts w:ascii="Times New Roman" w:hAnsi="Times New Roman"/>
          <w:b w:val="0"/>
          <w:i/>
          <w:sz w:val="20"/>
        </w:rPr>
        <w:t>B. Comparison with baselines and ablation</w:t>
      </w:r>
    </w:p>
    <w:p>
      <w:pPr>
        <w:spacing w:after="0"/>
        <w:ind w:firstLine="245"/>
        <w:jc w:val="both"/>
      </w:pPr>
      <w:r>
        <w:rPr>
          <w:rFonts w:ascii="Times New Roman" w:hAnsi="Times New Roman"/>
          <w:b w:val="0"/>
          <w:i w:val="0"/>
          <w:sz w:val="20"/>
        </w:rPr>
        <w:t>Fig. 3 and Fig. 4 compare CARE-EW with three non-deep baselines on the same rows: anomaly persistence (PR-AUC 0.036), a residual threshold rule (0.055) and a random forest on Sentinel-2 state and change features (0.044). Adding feature groups one at a time shows where the signal lies. Spectral state, change and raw climate stay near chance (0.032–0.036). The climate-conditioned residual lifts PR-AUC to 0.131, and resilience and context features to 0.152. Weather data matter only through the residual, not as direct inputs.</w:t>
      </w:r>
    </w:p>
    <w:p>
      <w:pPr>
        <w:keepNext/>
        <w:spacing w:before="120"/>
        <w:jc w:val="center"/>
      </w:pPr>
      <w:r>
        <w:drawing>
          <wp:inline xmlns:a="http://schemas.openxmlformats.org/drawingml/2006/main" xmlns:pic="http://schemas.openxmlformats.org/drawingml/2006/picture">
            <wp:extent cx="3154680" cy="1577340"/>
            <wp:docPr id="4" name="Picture 4"/>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3154680" cy="1577340"/>
                    </a:xfrm>
                    <a:prstGeom prst="rect"/>
                  </pic:spPr>
                </pic:pic>
              </a:graphicData>
            </a:graphic>
          </wp:inline>
        </w:drawing>
      </w:r>
    </w:p>
    <w:p>
      <w:pPr>
        <w:spacing w:after="160"/>
        <w:jc w:val="both"/>
      </w:pPr>
      <w:r>
        <w:rPr>
          <w:rFonts w:ascii="Times New Roman" w:hAnsi="Times New Roman"/>
          <w:b w:val="0"/>
          <w:i w:val="0"/>
          <w:sz w:val="16"/>
        </w:rPr>
        <w:t xml:space="preserve">Fig. 4.  </w:t>
      </w:r>
      <w:r>
        <w:rPr>
          <w:rFonts w:ascii="Times New Roman" w:hAnsi="Times New Roman"/>
          <w:b w:val="0"/>
          <w:i w:val="0"/>
          <w:sz w:val="16"/>
        </w:rPr>
        <w:t>Cumulative ablation on the locked test set (uncalibrated scores). Grey: baselines; light blue: groups that add no skill; dark blue: residual, resilience and context.</w:t>
      </w:r>
    </w:p>
    <w:p>
      <w:pPr>
        <w:spacing w:after="0"/>
        <w:ind w:firstLine="245"/>
        <w:jc w:val="both"/>
      </w:pPr>
      <w:r>
        <w:rPr>
          <w:rFonts w:ascii="Times New Roman" w:hAnsi="Times New Roman"/>
          <w:b w:val="0"/>
          <w:i w:val="0"/>
          <w:sz w:val="20"/>
        </w:rPr>
        <w:t>Further pre-registered experiments were rejected because they did not raise validation AP by at least 0.005: GLCM texture, red-edge chlorophyll indices, doubling the pixels per site, confident-learning label cleaning [22], a five-seed ensemble and training on all 23 sites.</w:t>
      </w:r>
    </w:p>
    <w:p>
      <w:pPr>
        <w:keepNext/>
        <w:spacing w:before="80" w:after="40"/>
      </w:pPr>
      <w:r>
        <w:rPr>
          <w:rFonts w:ascii="Times New Roman" w:hAnsi="Times New Roman"/>
          <w:b w:val="0"/>
          <w:i/>
          <w:sz w:val="20"/>
        </w:rPr>
        <w:t>C. Over- and under-fitting</w:t>
      </w:r>
    </w:p>
    <w:p>
      <w:pPr>
        <w:spacing w:after="0"/>
        <w:ind w:firstLine="245"/>
        <w:jc w:val="both"/>
      </w:pPr>
      <w:r>
        <w:rPr>
          <w:rFonts w:ascii="Times New Roman" w:hAnsi="Times New Roman"/>
          <w:b w:val="0"/>
          <w:i w:val="0"/>
          <w:sz w:val="20"/>
        </w:rPr>
        <w:t>Fig. 5(a) varies tree size from 3 to 255 leaves. Validation PR-AUC stays within 0.13–0.15 and training AP never runs far above it, so larger trees add no skill. In Fig. 5(b), validation and test PR-AUC rise with training size (test 0.068 at 5 % of pixels to 0.152 at 100 %). The model is limited by data, not capacity.</w:t>
      </w:r>
    </w:p>
    <w:p>
      <w:pPr>
        <w:keepNext/>
        <w:spacing w:before="120"/>
        <w:jc w:val="center"/>
      </w:pPr>
      <w:r>
        <w:drawing>
          <wp:inline xmlns:a="http://schemas.openxmlformats.org/drawingml/2006/main" xmlns:pic="http://schemas.openxmlformats.org/drawingml/2006/picture">
            <wp:extent cx="3154680" cy="1484555"/>
            <wp:docPr id="5" name="Picture 5"/>
            <wp:cNvGraphicFramePr>
              <a:graphicFrameLocks noChangeAspect="1"/>
            </wp:cNvGraphicFramePr>
            <a:graphic>
              <a:graphicData uri="http://schemas.openxmlformats.org/drawingml/2006/picture">
                <pic:pic>
                  <pic:nvPicPr>
                    <pic:cNvPr id="0" name="fit_curves.png"/>
                    <pic:cNvPicPr/>
                  </pic:nvPicPr>
                  <pic:blipFill>
                    <a:blip r:embed="rId13"/>
                    <a:stretch>
                      <a:fillRect/>
                    </a:stretch>
                  </pic:blipFill>
                  <pic:spPr>
                    <a:xfrm>
                      <a:off x="0" y="0"/>
                      <a:ext cx="3154680" cy="1484555"/>
                    </a:xfrm>
                    <a:prstGeom prst="rect"/>
                  </pic:spPr>
                </pic:pic>
              </a:graphicData>
            </a:graphic>
          </wp:inline>
        </w:drawing>
      </w:r>
    </w:p>
    <w:p>
      <w:pPr>
        <w:spacing w:after="160"/>
        <w:jc w:val="both"/>
      </w:pPr>
      <w:r>
        <w:rPr>
          <w:rFonts w:ascii="Times New Roman" w:hAnsi="Times New Roman"/>
          <w:b w:val="0"/>
          <w:i w:val="0"/>
          <w:sz w:val="16"/>
        </w:rPr>
        <w:t xml:space="preserve">Fig. 5.  </w:t>
      </w:r>
      <w:r>
        <w:rPr>
          <w:rFonts w:ascii="Times New Roman" w:hAnsi="Times New Roman"/>
          <w:b w:val="0"/>
          <w:i w:val="0"/>
          <w:sz w:val="16"/>
        </w:rPr>
        <w:t>(a) Validation curve over model capacity (dashed: chosen 7 leaves). (b) Learning curve over training size.</w:t>
      </w:r>
    </w:p>
    <w:p>
      <w:pPr>
        <w:keepNext/>
        <w:spacing w:before="80" w:after="40"/>
      </w:pPr>
      <w:r>
        <w:rPr>
          <w:rFonts w:ascii="Times New Roman" w:hAnsi="Times New Roman"/>
          <w:b w:val="0"/>
          <w:i/>
          <w:sz w:val="20"/>
        </w:rPr>
        <w:t>D. Generalisation across countries, sites and time</w:t>
      </w:r>
    </w:p>
    <w:p>
      <w:pPr>
        <w:spacing w:after="0"/>
        <w:ind w:firstLine="245"/>
        <w:jc w:val="both"/>
      </w:pPr>
      <w:r>
        <w:rPr>
          <w:rFonts w:ascii="Times New Roman" w:hAnsi="Times New Roman"/>
          <w:b w:val="0"/>
          <w:i w:val="0"/>
          <w:sz w:val="20"/>
        </w:rPr>
        <w:t>When each country is held out entirely, lift remains 2.3–13.8×: Australia 13.8, Ethiopia 10.2, Senegal 9.8, Kenya 7.0, Nepal 6.2, Spain 4.6, India 4.1, Brazil 2.3. Mongolia has no test events. The 17-site model, without retraining, was applied to six new sites (Table V); together they reach ROC-AUC 0.839, lift 8.6× and PR-AUC 0.217. In walk-forward retraining (Fig. 6), test-year PR-AUC rises from chance in 2021 to 0.179 in 2025 as the Sentinel-2 record grows.</w:t>
      </w:r>
    </w:p>
    <w:p>
      <w:pPr>
        <w:keepNext/>
        <w:spacing w:before="120"/>
        <w:jc w:val="center"/>
      </w:pPr>
      <w:r>
        <w:rPr>
          <w:rFonts w:ascii="Times New Roman" w:hAnsi="Times New Roman"/>
          <w:b w:val="0"/>
          <w:i w:val="0"/>
          <w:smallCaps/>
          <w:sz w:val="16"/>
        </w:rPr>
        <w:t>TABLE V</w:t>
      </w:r>
    </w:p>
    <w:p>
      <w:pPr>
        <w:keepNext/>
        <w:spacing w:after="60"/>
        <w:jc w:val="center"/>
      </w:pPr>
      <w:r>
        <w:rPr>
          <w:rFonts w:ascii="Times New Roman" w:hAnsi="Times New Roman"/>
          <w:b w:val="0"/>
          <w:i w:val="0"/>
          <w:smallCaps/>
          <w:sz w:val="16"/>
        </w:rPr>
        <w:t>Independent Test on Six New Sites</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1440"/>
            <w:tcBorders>
              <w:top w:val="single" w:sz="8" w:color="000000"/>
              <w:bottom w:val="nil"/>
              <w:left w:val="nil"/>
              <w:right w:val="nil"/>
            </w:tcBorders>
          </w:tcPr>
          <w:p>
            <w:pPr>
              <w:keepNext/>
              <w:jc w:val="left"/>
            </w:pPr>
            <w:r>
              <w:rPr>
                <w:rFonts w:ascii="Times New Roman" w:hAnsi="Times New Roman"/>
                <w:b/>
                <w:i w:val="0"/>
                <w:sz w:val="14"/>
              </w:rPr>
              <w:t>Site</w:t>
            </w:r>
          </w:p>
        </w:tc>
        <w:tc>
          <w:tcPr>
            <w:tcW w:type="dxa" w:w="1800"/>
            <w:tcBorders>
              <w:top w:val="single" w:sz="8" w:color="000000"/>
              <w:bottom w:val="nil"/>
              <w:left w:val="nil"/>
              <w:right w:val="nil"/>
            </w:tcBorders>
          </w:tcPr>
          <w:p>
            <w:pPr>
              <w:keepNext/>
              <w:jc w:val="center"/>
            </w:pPr>
            <w:r>
              <w:rPr>
                <w:rFonts w:ascii="Times New Roman" w:hAnsi="Times New Roman"/>
                <w:b/>
                <w:i w:val="0"/>
                <w:sz w:val="14"/>
              </w:rPr>
              <w:t>Landscape</w:t>
            </w:r>
          </w:p>
        </w:tc>
        <w:tc>
          <w:tcPr>
            <w:tcW w:type="dxa" w:w="864"/>
            <w:tcBorders>
              <w:top w:val="single" w:sz="8" w:color="000000"/>
              <w:bottom w:val="nil"/>
              <w:left w:val="nil"/>
              <w:right w:val="nil"/>
            </w:tcBorders>
          </w:tcPr>
          <w:p>
            <w:pPr>
              <w:keepNext/>
              <w:jc w:val="center"/>
            </w:pPr>
            <w:r>
              <w:rPr>
                <w:rFonts w:ascii="Times New Roman" w:hAnsi="Times New Roman"/>
                <w:b/>
                <w:i w:val="0"/>
                <w:sz w:val="14"/>
              </w:rPr>
              <w:t>ROC-AUC</w:t>
            </w:r>
          </w:p>
        </w:tc>
        <w:tc>
          <w:tcPr>
            <w:tcW w:type="dxa" w:w="792"/>
            <w:tcBorders>
              <w:top w:val="single" w:sz="8" w:color="000000"/>
              <w:bottom w:val="nil"/>
              <w:left w:val="nil"/>
              <w:right w:val="nil"/>
            </w:tcBorders>
          </w:tcPr>
          <w:p>
            <w:pPr>
              <w:keepNext/>
              <w:jc w:val="center"/>
            </w:pPr>
            <w:r>
              <w:rPr>
                <w:rFonts w:ascii="Times New Roman" w:hAnsi="Times New Roman"/>
                <w:b/>
                <w:i w:val="0"/>
                <w:sz w:val="14"/>
              </w:rPr>
              <w:t>Lift</w:t>
            </w:r>
          </w:p>
        </w:tc>
      </w:tr>
      <w:tr>
        <w:tc>
          <w:tcPr>
            <w:tcW w:type="dxa" w:w="1440"/>
            <w:tcBorders>
              <w:top w:val="single" w:sz="4" w:color="000000"/>
              <w:bottom w:val="nil"/>
              <w:left w:val="nil"/>
              <w:right w:val="nil"/>
            </w:tcBorders>
          </w:tcPr>
          <w:p>
            <w:pPr>
              <w:keepNext/>
              <w:jc w:val="left"/>
            </w:pPr>
            <w:r>
              <w:rPr>
                <w:rFonts w:ascii="Times New Roman" w:hAnsi="Times New Roman"/>
                <w:b w:val="0"/>
                <w:i w:val="0"/>
                <w:sz w:val="14"/>
              </w:rPr>
              <w:t>Sindhupalchok (NP)</w:t>
            </w:r>
          </w:p>
        </w:tc>
        <w:tc>
          <w:tcPr>
            <w:tcW w:type="dxa" w:w="1800"/>
            <w:tcBorders>
              <w:top w:val="single" w:sz="4" w:color="000000"/>
              <w:bottom w:val="nil"/>
              <w:left w:val="nil"/>
              <w:right w:val="nil"/>
            </w:tcBorders>
          </w:tcPr>
          <w:p>
            <w:pPr>
              <w:keepNext/>
              <w:jc w:val="center"/>
            </w:pPr>
            <w:r>
              <w:rPr>
                <w:rFonts w:ascii="Times New Roman" w:hAnsi="Times New Roman"/>
                <w:b w:val="0"/>
                <w:i w:val="0"/>
                <w:sz w:val="14"/>
              </w:rPr>
              <w:t>mid-hill forest, landslides</w:t>
            </w:r>
          </w:p>
        </w:tc>
        <w:tc>
          <w:tcPr>
            <w:tcW w:type="dxa" w:w="864"/>
            <w:tcBorders>
              <w:top w:val="single" w:sz="4" w:color="000000"/>
              <w:bottom w:val="nil"/>
              <w:left w:val="nil"/>
              <w:right w:val="nil"/>
            </w:tcBorders>
          </w:tcPr>
          <w:p>
            <w:pPr>
              <w:keepNext/>
              <w:jc w:val="center"/>
            </w:pPr>
            <w:r>
              <w:rPr>
                <w:rFonts w:ascii="Times New Roman" w:hAnsi="Times New Roman"/>
                <w:b w:val="0"/>
                <w:i w:val="0"/>
                <w:sz w:val="14"/>
              </w:rPr>
              <w:t>0.873</w:t>
            </w:r>
          </w:p>
        </w:tc>
        <w:tc>
          <w:tcPr>
            <w:tcW w:type="dxa" w:w="792"/>
            <w:tcBorders>
              <w:top w:val="single" w:sz="4" w:color="000000"/>
              <w:bottom w:val="nil"/>
              <w:left w:val="nil"/>
              <w:right w:val="nil"/>
            </w:tcBorders>
          </w:tcPr>
          <w:p>
            <w:pPr>
              <w:keepNext/>
              <w:jc w:val="center"/>
            </w:pPr>
            <w:r>
              <w:rPr>
                <w:rFonts w:ascii="Times New Roman" w:hAnsi="Times New Roman"/>
                <w:b w:val="0"/>
                <w:i w:val="0"/>
                <w:sz w:val="14"/>
              </w:rPr>
              <w:t>9.8×</w:t>
            </w:r>
          </w:p>
        </w:tc>
      </w:tr>
      <w:tr>
        <w:tc>
          <w:tcPr>
            <w:tcW w:type="dxa" w:w="1440"/>
            <w:tcBorders>
              <w:top w:val="nil"/>
              <w:bottom w:val="nil"/>
              <w:left w:val="nil"/>
              <w:right w:val="nil"/>
            </w:tcBorders>
          </w:tcPr>
          <w:p>
            <w:pPr>
              <w:keepNext/>
              <w:jc w:val="left"/>
            </w:pPr>
            <w:r>
              <w:rPr>
                <w:rFonts w:ascii="Times New Roman" w:hAnsi="Times New Roman"/>
                <w:b w:val="0"/>
                <w:i w:val="0"/>
                <w:sz w:val="14"/>
              </w:rPr>
              <w:t>Singrauli (IN)</w:t>
            </w:r>
          </w:p>
        </w:tc>
        <w:tc>
          <w:tcPr>
            <w:tcW w:type="dxa" w:w="1800"/>
            <w:tcBorders>
              <w:top w:val="nil"/>
              <w:bottom w:val="nil"/>
              <w:left w:val="nil"/>
              <w:right w:val="nil"/>
            </w:tcBorders>
          </w:tcPr>
          <w:p>
            <w:pPr>
              <w:keepNext/>
              <w:jc w:val="center"/>
            </w:pPr>
            <w:r>
              <w:rPr>
                <w:rFonts w:ascii="Times New Roman" w:hAnsi="Times New Roman"/>
                <w:b w:val="0"/>
                <w:i w:val="0"/>
                <w:sz w:val="14"/>
              </w:rPr>
              <w:t>coal mining</w:t>
            </w:r>
          </w:p>
        </w:tc>
        <w:tc>
          <w:tcPr>
            <w:tcW w:type="dxa" w:w="864"/>
            <w:tcBorders>
              <w:top w:val="nil"/>
              <w:bottom w:val="nil"/>
              <w:left w:val="nil"/>
              <w:right w:val="nil"/>
            </w:tcBorders>
          </w:tcPr>
          <w:p>
            <w:pPr>
              <w:keepNext/>
              <w:jc w:val="center"/>
            </w:pPr>
            <w:r>
              <w:rPr>
                <w:rFonts w:ascii="Times New Roman" w:hAnsi="Times New Roman"/>
                <w:b w:val="0"/>
                <w:i w:val="0"/>
                <w:sz w:val="14"/>
              </w:rPr>
              <w:t>0.876</w:t>
            </w:r>
          </w:p>
        </w:tc>
        <w:tc>
          <w:tcPr>
            <w:tcW w:type="dxa" w:w="792"/>
            <w:tcBorders>
              <w:top w:val="nil"/>
              <w:bottom w:val="nil"/>
              <w:left w:val="nil"/>
              <w:right w:val="nil"/>
            </w:tcBorders>
          </w:tcPr>
          <w:p>
            <w:pPr>
              <w:keepNext/>
              <w:jc w:val="center"/>
            </w:pPr>
            <w:r>
              <w:rPr>
                <w:rFonts w:ascii="Times New Roman" w:hAnsi="Times New Roman"/>
                <w:b w:val="0"/>
                <w:i w:val="0"/>
                <w:sz w:val="14"/>
              </w:rPr>
              <w:t>6.8×</w:t>
            </w:r>
          </w:p>
        </w:tc>
      </w:tr>
      <w:tr>
        <w:tc>
          <w:tcPr>
            <w:tcW w:type="dxa" w:w="1440"/>
            <w:tcBorders>
              <w:top w:val="nil"/>
              <w:bottom w:val="nil"/>
              <w:left w:val="nil"/>
              <w:right w:val="nil"/>
            </w:tcBorders>
          </w:tcPr>
          <w:p>
            <w:pPr>
              <w:keepNext/>
              <w:jc w:val="left"/>
            </w:pPr>
            <w:r>
              <w:rPr>
                <w:rFonts w:ascii="Times New Roman" w:hAnsi="Times New Roman"/>
                <w:b w:val="0"/>
                <w:i w:val="0"/>
                <w:sz w:val="14"/>
              </w:rPr>
              <w:t>Udayapur (NP)</w:t>
            </w:r>
          </w:p>
        </w:tc>
        <w:tc>
          <w:tcPr>
            <w:tcW w:type="dxa" w:w="1800"/>
            <w:tcBorders>
              <w:top w:val="nil"/>
              <w:bottom w:val="nil"/>
              <w:left w:val="nil"/>
              <w:right w:val="nil"/>
            </w:tcBorders>
          </w:tcPr>
          <w:p>
            <w:pPr>
              <w:keepNext/>
              <w:jc w:val="center"/>
            </w:pPr>
            <w:r>
              <w:rPr>
                <w:rFonts w:ascii="Times New Roman" w:hAnsi="Times New Roman"/>
                <w:b w:val="0"/>
                <w:i w:val="0"/>
                <w:sz w:val="14"/>
              </w:rPr>
              <w:t>Chure foothills</w:t>
            </w:r>
          </w:p>
        </w:tc>
        <w:tc>
          <w:tcPr>
            <w:tcW w:type="dxa" w:w="864"/>
            <w:tcBorders>
              <w:top w:val="nil"/>
              <w:bottom w:val="nil"/>
              <w:left w:val="nil"/>
              <w:right w:val="nil"/>
            </w:tcBorders>
          </w:tcPr>
          <w:p>
            <w:pPr>
              <w:keepNext/>
              <w:jc w:val="center"/>
            </w:pPr>
            <w:r>
              <w:rPr>
                <w:rFonts w:ascii="Times New Roman" w:hAnsi="Times New Roman"/>
                <w:b w:val="0"/>
                <w:i w:val="0"/>
                <w:sz w:val="14"/>
              </w:rPr>
              <w:t>0.844</w:t>
            </w:r>
          </w:p>
        </w:tc>
        <w:tc>
          <w:tcPr>
            <w:tcW w:type="dxa" w:w="792"/>
            <w:tcBorders>
              <w:top w:val="nil"/>
              <w:bottom w:val="nil"/>
              <w:left w:val="nil"/>
              <w:right w:val="nil"/>
            </w:tcBorders>
          </w:tcPr>
          <w:p>
            <w:pPr>
              <w:keepNext/>
              <w:jc w:val="center"/>
            </w:pPr>
            <w:r>
              <w:rPr>
                <w:rFonts w:ascii="Times New Roman" w:hAnsi="Times New Roman"/>
                <w:b w:val="0"/>
                <w:i w:val="0"/>
                <w:sz w:val="14"/>
              </w:rPr>
              <w:t>7.0×</w:t>
            </w:r>
          </w:p>
        </w:tc>
      </w:tr>
      <w:tr>
        <w:tc>
          <w:tcPr>
            <w:tcW w:type="dxa" w:w="1440"/>
            <w:tcBorders>
              <w:top w:val="nil"/>
              <w:bottom w:val="nil"/>
              <w:left w:val="nil"/>
              <w:right w:val="nil"/>
            </w:tcBorders>
          </w:tcPr>
          <w:p>
            <w:pPr>
              <w:keepNext/>
              <w:jc w:val="left"/>
            </w:pPr>
            <w:r>
              <w:rPr>
                <w:rFonts w:ascii="Times New Roman" w:hAnsi="Times New Roman"/>
                <w:b w:val="0"/>
                <w:i w:val="0"/>
                <w:sz w:val="14"/>
              </w:rPr>
              <w:t>Kailali (NP)</w:t>
            </w:r>
          </w:p>
        </w:tc>
        <w:tc>
          <w:tcPr>
            <w:tcW w:type="dxa" w:w="1800"/>
            <w:tcBorders>
              <w:top w:val="nil"/>
              <w:bottom w:val="nil"/>
              <w:left w:val="nil"/>
              <w:right w:val="nil"/>
            </w:tcBorders>
          </w:tcPr>
          <w:p>
            <w:pPr>
              <w:keepNext/>
              <w:jc w:val="center"/>
            </w:pPr>
            <w:r>
              <w:rPr>
                <w:rFonts w:ascii="Times New Roman" w:hAnsi="Times New Roman"/>
                <w:b w:val="0"/>
                <w:i w:val="0"/>
                <w:sz w:val="14"/>
              </w:rPr>
              <w:t>Chure foothills</w:t>
            </w:r>
          </w:p>
        </w:tc>
        <w:tc>
          <w:tcPr>
            <w:tcW w:type="dxa" w:w="864"/>
            <w:tcBorders>
              <w:top w:val="nil"/>
              <w:bottom w:val="nil"/>
              <w:left w:val="nil"/>
              <w:right w:val="nil"/>
            </w:tcBorders>
          </w:tcPr>
          <w:p>
            <w:pPr>
              <w:keepNext/>
              <w:jc w:val="center"/>
            </w:pPr>
            <w:r>
              <w:rPr>
                <w:rFonts w:ascii="Times New Roman" w:hAnsi="Times New Roman"/>
                <w:b w:val="0"/>
                <w:i w:val="0"/>
                <w:sz w:val="14"/>
              </w:rPr>
              <w:t>0.803</w:t>
            </w:r>
          </w:p>
        </w:tc>
        <w:tc>
          <w:tcPr>
            <w:tcW w:type="dxa" w:w="792"/>
            <w:tcBorders>
              <w:top w:val="nil"/>
              <w:bottom w:val="nil"/>
              <w:left w:val="nil"/>
              <w:right w:val="nil"/>
            </w:tcBorders>
          </w:tcPr>
          <w:p>
            <w:pPr>
              <w:keepNext/>
              <w:jc w:val="center"/>
            </w:pPr>
            <w:r>
              <w:rPr>
                <w:rFonts w:ascii="Times New Roman" w:hAnsi="Times New Roman"/>
                <w:b w:val="0"/>
                <w:i w:val="0"/>
                <w:sz w:val="14"/>
              </w:rPr>
              <w:t>10.1×</w:t>
            </w:r>
          </w:p>
        </w:tc>
      </w:tr>
      <w:tr>
        <w:tc>
          <w:tcPr>
            <w:tcW w:type="dxa" w:w="1440"/>
            <w:tcBorders>
              <w:top w:val="nil"/>
              <w:bottom w:val="nil"/>
              <w:left w:val="nil"/>
              <w:right w:val="nil"/>
            </w:tcBorders>
          </w:tcPr>
          <w:p>
            <w:pPr>
              <w:keepNext/>
              <w:jc w:val="left"/>
            </w:pPr>
            <w:r>
              <w:rPr>
                <w:rFonts w:ascii="Times New Roman" w:hAnsi="Times New Roman"/>
                <w:b w:val="0"/>
                <w:i w:val="0"/>
                <w:sz w:val="14"/>
              </w:rPr>
              <w:t>Shivalik (IN)</w:t>
            </w:r>
          </w:p>
        </w:tc>
        <w:tc>
          <w:tcPr>
            <w:tcW w:type="dxa" w:w="1800"/>
            <w:tcBorders>
              <w:top w:val="nil"/>
              <w:bottom w:val="nil"/>
              <w:left w:val="nil"/>
              <w:right w:val="nil"/>
            </w:tcBorders>
          </w:tcPr>
          <w:p>
            <w:pPr>
              <w:keepNext/>
              <w:jc w:val="center"/>
            </w:pPr>
            <w:r>
              <w:rPr>
                <w:rFonts w:ascii="Times New Roman" w:hAnsi="Times New Roman"/>
                <w:b w:val="0"/>
                <w:i w:val="0"/>
                <w:sz w:val="14"/>
              </w:rPr>
              <w:t>foothill forest</w:t>
            </w:r>
          </w:p>
        </w:tc>
        <w:tc>
          <w:tcPr>
            <w:tcW w:type="dxa" w:w="864"/>
            <w:tcBorders>
              <w:top w:val="nil"/>
              <w:bottom w:val="nil"/>
              <w:left w:val="nil"/>
              <w:right w:val="nil"/>
            </w:tcBorders>
          </w:tcPr>
          <w:p>
            <w:pPr>
              <w:keepNext/>
              <w:jc w:val="center"/>
            </w:pPr>
            <w:r>
              <w:rPr>
                <w:rFonts w:ascii="Times New Roman" w:hAnsi="Times New Roman"/>
                <w:b w:val="0"/>
                <w:i w:val="0"/>
                <w:sz w:val="14"/>
              </w:rPr>
              <w:t>0.782</w:t>
            </w:r>
          </w:p>
        </w:tc>
        <w:tc>
          <w:tcPr>
            <w:tcW w:type="dxa" w:w="792"/>
            <w:tcBorders>
              <w:top w:val="nil"/>
              <w:bottom w:val="nil"/>
              <w:left w:val="nil"/>
              <w:right w:val="nil"/>
            </w:tcBorders>
          </w:tcPr>
          <w:p>
            <w:pPr>
              <w:keepNext/>
              <w:jc w:val="center"/>
            </w:pPr>
            <w:r>
              <w:rPr>
                <w:rFonts w:ascii="Times New Roman" w:hAnsi="Times New Roman"/>
                <w:b w:val="0"/>
                <w:i w:val="0"/>
                <w:sz w:val="14"/>
              </w:rPr>
              <w:t>12.7×</w:t>
            </w:r>
          </w:p>
        </w:tc>
      </w:tr>
      <w:tr>
        <w:tc>
          <w:tcPr>
            <w:tcW w:type="dxa" w:w="1440"/>
            <w:tcBorders>
              <w:top w:val="nil"/>
              <w:bottom w:val="nil"/>
              <w:left w:val="nil"/>
              <w:right w:val="nil"/>
            </w:tcBorders>
          </w:tcPr>
          <w:p>
            <w:pPr>
              <w:keepNext/>
              <w:jc w:val="left"/>
            </w:pPr>
            <w:r>
              <w:rPr>
                <w:rFonts w:ascii="Times New Roman" w:hAnsi="Times New Roman"/>
                <w:b w:val="0"/>
                <w:i w:val="0"/>
                <w:sz w:val="14"/>
              </w:rPr>
              <w:t>Marathwada (IN)</w:t>
            </w:r>
          </w:p>
        </w:tc>
        <w:tc>
          <w:tcPr>
            <w:tcW w:type="dxa" w:w="1800"/>
            <w:tcBorders>
              <w:top w:val="nil"/>
              <w:bottom w:val="nil"/>
              <w:left w:val="nil"/>
              <w:right w:val="nil"/>
            </w:tcBorders>
          </w:tcPr>
          <w:p>
            <w:pPr>
              <w:keepNext/>
              <w:jc w:val="center"/>
            </w:pPr>
            <w:r>
              <w:rPr>
                <w:rFonts w:ascii="Times New Roman" w:hAnsi="Times New Roman"/>
                <w:b w:val="0"/>
                <w:i w:val="0"/>
                <w:sz w:val="14"/>
              </w:rPr>
              <w:t>rainfed cropland</w:t>
            </w:r>
          </w:p>
        </w:tc>
        <w:tc>
          <w:tcPr>
            <w:tcW w:type="dxa" w:w="864"/>
            <w:tcBorders>
              <w:top w:val="nil"/>
              <w:bottom w:val="nil"/>
              <w:left w:val="nil"/>
              <w:right w:val="nil"/>
            </w:tcBorders>
          </w:tcPr>
          <w:p>
            <w:pPr>
              <w:keepNext/>
              <w:jc w:val="center"/>
            </w:pPr>
            <w:r>
              <w:rPr>
                <w:rFonts w:ascii="Times New Roman" w:hAnsi="Times New Roman"/>
                <w:b w:val="0"/>
                <w:i w:val="0"/>
                <w:sz w:val="14"/>
              </w:rPr>
              <w:t>0.597</w:t>
            </w:r>
          </w:p>
        </w:tc>
        <w:tc>
          <w:tcPr>
            <w:tcW w:type="dxa" w:w="792"/>
            <w:tcBorders>
              <w:top w:val="nil"/>
              <w:bottom w:val="nil"/>
              <w:left w:val="nil"/>
              <w:right w:val="nil"/>
            </w:tcBorders>
          </w:tcPr>
          <w:p>
            <w:pPr>
              <w:keepNext/>
              <w:jc w:val="center"/>
            </w:pPr>
            <w:r>
              <w:rPr>
                <w:rFonts w:ascii="Times New Roman" w:hAnsi="Times New Roman"/>
                <w:b w:val="0"/>
                <w:i w:val="0"/>
                <w:sz w:val="14"/>
              </w:rPr>
              <w:t>1.7×</w:t>
            </w:r>
          </w:p>
        </w:tc>
      </w:tr>
      <w:tr>
        <w:tc>
          <w:tcPr>
            <w:tcW w:type="dxa" w:w="1440"/>
            <w:tcBorders>
              <w:top w:val="nil"/>
              <w:bottom w:val="single" w:sz="8" w:color="000000"/>
              <w:left w:val="nil"/>
              <w:right w:val="nil"/>
            </w:tcBorders>
          </w:tcPr>
          <w:p>
            <w:pPr>
              <w:jc w:val="left"/>
            </w:pPr>
            <w:r>
              <w:rPr>
                <w:rFonts w:ascii="Times New Roman" w:hAnsi="Times New Roman"/>
                <w:b/>
                <w:i w:val="0"/>
                <w:sz w:val="14"/>
              </w:rPr>
              <w:t>All six</w:t>
            </w:r>
          </w:p>
        </w:tc>
        <w:tc>
          <w:tcPr>
            <w:tcW w:type="dxa" w:w="1800"/>
            <w:tcBorders>
              <w:top w:val="nil"/>
              <w:bottom w:val="single" w:sz="8" w:color="000000"/>
              <w:left w:val="nil"/>
              <w:right w:val="nil"/>
            </w:tcBorders>
          </w:tcPr>
          <w:p>
            <w:pPr>
              <w:jc w:val="center"/>
            </w:pPr>
          </w:p>
        </w:tc>
        <w:tc>
          <w:tcPr>
            <w:tcW w:type="dxa" w:w="864"/>
            <w:tcBorders>
              <w:top w:val="nil"/>
              <w:bottom w:val="single" w:sz="8" w:color="000000"/>
              <w:left w:val="nil"/>
              <w:right w:val="nil"/>
            </w:tcBorders>
          </w:tcPr>
          <w:p>
            <w:pPr>
              <w:jc w:val="center"/>
            </w:pPr>
            <w:r>
              <w:rPr>
                <w:rFonts w:ascii="Times New Roman" w:hAnsi="Times New Roman"/>
                <w:b/>
                <w:i w:val="0"/>
                <w:sz w:val="14"/>
              </w:rPr>
              <w:t>0.839</w:t>
            </w:r>
          </w:p>
        </w:tc>
        <w:tc>
          <w:tcPr>
            <w:tcW w:type="dxa" w:w="792"/>
            <w:tcBorders>
              <w:top w:val="nil"/>
              <w:bottom w:val="single" w:sz="8" w:color="000000"/>
              <w:left w:val="nil"/>
              <w:right w:val="nil"/>
            </w:tcBorders>
          </w:tcPr>
          <w:p>
            <w:pPr>
              <w:jc w:val="center"/>
            </w:pPr>
            <w:r>
              <w:rPr>
                <w:rFonts w:ascii="Times New Roman" w:hAnsi="Times New Roman"/>
                <w:b/>
                <w:i w:val="0"/>
                <w:sz w:val="14"/>
              </w:rPr>
              <w:t>8.6×</w:t>
            </w:r>
          </w:p>
        </w:tc>
      </w:tr>
    </w:tbl>
    <w:p>
      <w:pPr>
        <w:spacing w:after="80"/>
      </w:pPr>
    </w:p>
    <w:p>
      <w:pPr>
        <w:keepNext/>
        <w:spacing w:before="120"/>
        <w:jc w:val="center"/>
      </w:pPr>
      <w:r>
        <w:drawing>
          <wp:inline xmlns:a="http://schemas.openxmlformats.org/drawingml/2006/main" xmlns:pic="http://schemas.openxmlformats.org/drawingml/2006/picture">
            <wp:extent cx="3154680" cy="1345378"/>
            <wp:docPr id="6" name="Picture 6"/>
            <wp:cNvGraphicFramePr>
              <a:graphicFrameLocks noChangeAspect="1"/>
            </wp:cNvGraphicFramePr>
            <a:graphic>
              <a:graphicData uri="http://schemas.openxmlformats.org/drawingml/2006/picture">
                <pic:pic>
                  <pic:nvPicPr>
                    <pic:cNvPr id="0" name="walk_forward.png"/>
                    <pic:cNvPicPr/>
                  </pic:nvPicPr>
                  <pic:blipFill>
                    <a:blip r:embed="rId14"/>
                    <a:stretch>
                      <a:fillRect/>
                    </a:stretch>
                  </pic:blipFill>
                  <pic:spPr>
                    <a:xfrm>
                      <a:off x="0" y="0"/>
                      <a:ext cx="3154680" cy="1345378"/>
                    </a:xfrm>
                    <a:prstGeom prst="rect"/>
                  </pic:spPr>
                </pic:pic>
              </a:graphicData>
            </a:graphic>
          </wp:inline>
        </w:drawing>
      </w:r>
    </w:p>
    <w:p>
      <w:pPr>
        <w:spacing w:after="160"/>
        <w:jc w:val="both"/>
      </w:pPr>
      <w:r>
        <w:rPr>
          <w:rFonts w:ascii="Times New Roman" w:hAnsi="Times New Roman"/>
          <w:b w:val="0"/>
          <w:i w:val="0"/>
          <w:sz w:val="16"/>
        </w:rPr>
        <w:t xml:space="preserve">Fig. 6.  </w:t>
      </w:r>
      <w:r>
        <w:rPr>
          <w:rFonts w:ascii="Times New Roman" w:hAnsi="Times New Roman"/>
          <w:b w:val="0"/>
          <w:i w:val="0"/>
          <w:sz w:val="16"/>
        </w:rPr>
        <w:t>Walk-forward retraining: test-year PR-AUC (line) and training rows (bars).</w:t>
      </w:r>
    </w:p>
    <w:p>
      <w:pPr>
        <w:keepNext/>
        <w:spacing w:before="80" w:after="40"/>
      </w:pPr>
      <w:r>
        <w:rPr>
          <w:rFonts w:ascii="Times New Roman" w:hAnsi="Times New Roman"/>
          <w:b w:val="0"/>
          <w:i/>
          <w:sz w:val="20"/>
        </w:rPr>
        <w:t>E. Operational output</w:t>
      </w:r>
    </w:p>
    <w:p>
      <w:pPr>
        <w:spacing w:after="0"/>
        <w:ind w:firstLine="245"/>
        <w:jc w:val="both"/>
      </w:pPr>
      <w:r>
        <w:rPr>
          <w:rFonts w:ascii="Times New Roman" w:hAnsi="Times New Roman"/>
          <w:b w:val="0"/>
          <w:i w:val="0"/>
          <w:sz w:val="20"/>
        </w:rPr>
        <w:t>For every site and month the system produces a risk map, hotspot boxes with hectares at risk, a process explanation and the upstream river network. A user can also draw a box anywhere to run the full pipeline on demand (Fig. 7). Fig. 8 shows the maps for nine sites. By land cover (Table VI), skill is highest in shrubland and grassland and lowest in cropland, where sowing and harvest changes resemble degradation.</w:t>
      </w:r>
    </w:p>
    <w:p>
      <w:pPr>
        <w:keepNext/>
        <w:spacing w:before="120"/>
        <w:jc w:val="center"/>
      </w:pPr>
      <w:r>
        <w:drawing>
          <wp:inline xmlns:a="http://schemas.openxmlformats.org/drawingml/2006/main" xmlns:pic="http://schemas.openxmlformats.org/drawingml/2006/picture">
            <wp:extent cx="3154680" cy="1873091"/>
            <wp:docPr id="7" name="Picture 7"/>
            <wp:cNvGraphicFramePr>
              <a:graphicFrameLocks noChangeAspect="1"/>
            </wp:cNvGraphicFramePr>
            <a:graphic>
              <a:graphicData uri="http://schemas.openxmlformats.org/drawingml/2006/picture">
                <pic:pic>
                  <pic:nvPicPr>
                    <pic:cNvPr id="0" name="02_aoi_hotspots_rivers.png"/>
                    <pic:cNvPicPr/>
                  </pic:nvPicPr>
                  <pic:blipFill>
                    <a:blip r:embed="rId15"/>
                    <a:stretch>
                      <a:fillRect/>
                    </a:stretch>
                  </pic:blipFill>
                  <pic:spPr>
                    <a:xfrm>
                      <a:off x="0" y="0"/>
                      <a:ext cx="3154680" cy="1873091"/>
                    </a:xfrm>
                    <a:prstGeom prst="rect"/>
                  </pic:spPr>
                </pic:pic>
              </a:graphicData>
            </a:graphic>
          </wp:inline>
        </w:drawing>
      </w:r>
    </w:p>
    <w:p>
      <w:pPr>
        <w:spacing w:after="160"/>
        <w:jc w:val="both"/>
      </w:pPr>
      <w:r>
        <w:rPr>
          <w:rFonts w:ascii="Times New Roman" w:hAnsi="Times New Roman"/>
          <w:b w:val="0"/>
          <w:i w:val="0"/>
          <w:sz w:val="16"/>
        </w:rPr>
        <w:t xml:space="preserve">Fig. 7.  </w:t>
      </w:r>
      <w:r>
        <w:rPr>
          <w:rFonts w:ascii="Times New Roman" w:hAnsi="Times New Roman"/>
          <w:b w:val="0"/>
          <w:i w:val="0"/>
          <w:sz w:val="16"/>
        </w:rPr>
        <w:t>Web console: September 2026 warning hotspots (red boxes, probability and area) over Baringo, Kenya, with the upstream river network and monthly NDVI, residual, risk and rainfall series.</w:t>
      </w:r>
    </w:p>
    <w:p>
      <w:pPr>
        <w:keepNext/>
        <w:spacing w:before="120"/>
        <w:jc w:val="center"/>
      </w:pPr>
      <w:r>
        <w:rPr>
          <w:rFonts w:ascii="Times New Roman" w:hAnsi="Times New Roman"/>
          <w:b w:val="0"/>
          <w:i w:val="0"/>
          <w:smallCaps/>
          <w:sz w:val="16"/>
        </w:rPr>
        <w:t>TABLE VI</w:t>
      </w:r>
    </w:p>
    <w:p>
      <w:pPr>
        <w:keepNext/>
        <w:spacing w:after="60"/>
        <w:jc w:val="center"/>
      </w:pPr>
      <w:r>
        <w:rPr>
          <w:rFonts w:ascii="Times New Roman" w:hAnsi="Times New Roman"/>
          <w:b w:val="0"/>
          <w:i w:val="0"/>
          <w:smallCaps/>
          <w:sz w:val="16"/>
        </w:rPr>
        <w:t>Test Performance by Land Cover</w:t>
      </w:r>
    </w:p>
    <w:tbl>
      <w:tblPr>
        <w:tblW w:type="auto" w:w="0"/>
        <w:jc w:val="center"/>
        <w:tblLayout w:type="fixed"/>
        <w:tblLook w:firstColumn="1" w:firstRow="1" w:lastColumn="0" w:lastRow="0" w:noHBand="0" w:noVBand="1" w:val="04A0"/>
      </w:tblPr>
      <w:tblGrid>
        <w:gridCol w:w="1740"/>
        <w:gridCol w:w="1740"/>
        <w:gridCol w:w="1740"/>
        <w:gridCol w:w="1740"/>
        <w:gridCol w:w="1740"/>
        <w:gridCol w:w="1740"/>
      </w:tblGrid>
      <w:tr>
        <w:tc>
          <w:tcPr>
            <w:tcW w:type="dxa" w:w="1224"/>
            <w:tcBorders>
              <w:top w:val="single" w:sz="8" w:color="000000"/>
              <w:bottom w:val="nil"/>
              <w:left w:val="nil"/>
              <w:right w:val="nil"/>
            </w:tcBorders>
          </w:tcPr>
          <w:p>
            <w:pPr>
              <w:keepNext/>
              <w:jc w:val="left"/>
            </w:pPr>
            <w:r>
              <w:rPr>
                <w:rFonts w:ascii="Times New Roman" w:hAnsi="Times New Roman"/>
                <w:b/>
                <w:i w:val="0"/>
                <w:sz w:val="14"/>
              </w:rPr>
              <w:t>Land cover</w:t>
            </w:r>
          </w:p>
        </w:tc>
        <w:tc>
          <w:tcPr>
            <w:tcW w:type="dxa" w:w="720"/>
            <w:tcBorders>
              <w:top w:val="single" w:sz="8" w:color="000000"/>
              <w:bottom w:val="nil"/>
              <w:left w:val="nil"/>
              <w:right w:val="nil"/>
            </w:tcBorders>
          </w:tcPr>
          <w:p>
            <w:pPr>
              <w:keepNext/>
              <w:jc w:val="center"/>
            </w:pPr>
            <w:r>
              <w:rPr>
                <w:rFonts w:ascii="Times New Roman" w:hAnsi="Times New Roman"/>
                <w:b/>
                <w:i w:val="0"/>
                <w:sz w:val="14"/>
              </w:rPr>
              <w:t>PR-AUC</w:t>
            </w:r>
          </w:p>
        </w:tc>
        <w:tc>
          <w:tcPr>
            <w:tcW w:type="dxa" w:w="648"/>
            <w:tcBorders>
              <w:top w:val="single" w:sz="8" w:color="000000"/>
              <w:bottom w:val="nil"/>
              <w:left w:val="nil"/>
              <w:right w:val="nil"/>
            </w:tcBorders>
          </w:tcPr>
          <w:p>
            <w:pPr>
              <w:keepNext/>
              <w:jc w:val="center"/>
            </w:pPr>
            <w:r>
              <w:rPr>
                <w:rFonts w:ascii="Times New Roman" w:hAnsi="Times New Roman"/>
                <w:b/>
                <w:i w:val="0"/>
                <w:sz w:val="14"/>
              </w:rPr>
              <w:t>Lift</w:t>
            </w:r>
          </w:p>
        </w:tc>
        <w:tc>
          <w:tcPr>
            <w:tcW w:type="dxa" w:w="864"/>
            <w:tcBorders>
              <w:top w:val="single" w:sz="8" w:color="000000"/>
              <w:bottom w:val="nil"/>
              <w:left w:val="nil"/>
              <w:right w:val="nil"/>
            </w:tcBorders>
          </w:tcPr>
          <w:p>
            <w:pPr>
              <w:keepNext/>
              <w:jc w:val="center"/>
            </w:pPr>
            <w:r>
              <w:rPr>
                <w:rFonts w:ascii="Times New Roman" w:hAnsi="Times New Roman"/>
                <w:b/>
                <w:i w:val="0"/>
                <w:sz w:val="14"/>
              </w:rPr>
              <w:t>ROC-AUC</w:t>
            </w:r>
          </w:p>
        </w:tc>
        <w:tc>
          <w:tcPr>
            <w:tcW w:type="dxa" w:w="720"/>
            <w:tcBorders>
              <w:top w:val="single" w:sz="8" w:color="000000"/>
              <w:bottom w:val="nil"/>
              <w:left w:val="nil"/>
              <w:right w:val="nil"/>
            </w:tcBorders>
          </w:tcPr>
          <w:p>
            <w:pPr>
              <w:keepNext/>
              <w:jc w:val="center"/>
            </w:pPr>
            <w:r>
              <w:rPr>
                <w:rFonts w:ascii="Times New Roman" w:hAnsi="Times New Roman"/>
                <w:b/>
                <w:i w:val="0"/>
                <w:sz w:val="14"/>
              </w:rPr>
              <w:t>Recall</w:t>
            </w:r>
          </w:p>
        </w:tc>
        <w:tc>
          <w:tcPr>
            <w:tcW w:type="dxa" w:w="720"/>
            <w:tcBorders>
              <w:top w:val="single" w:sz="8" w:color="000000"/>
              <w:bottom w:val="nil"/>
              <w:left w:val="nil"/>
              <w:right w:val="nil"/>
            </w:tcBorders>
          </w:tcPr>
          <w:p>
            <w:pPr>
              <w:keepNext/>
              <w:jc w:val="center"/>
            </w:pPr>
            <w:r>
              <w:rPr>
                <w:rFonts w:ascii="Times New Roman" w:hAnsi="Times New Roman"/>
                <w:b/>
                <w:i w:val="0"/>
                <w:sz w:val="14"/>
              </w:rPr>
              <w:t>FAR</w:t>
            </w:r>
          </w:p>
        </w:tc>
      </w:tr>
      <w:tr>
        <w:tc>
          <w:tcPr>
            <w:tcW w:type="dxa" w:w="1224"/>
            <w:tcBorders>
              <w:top w:val="single" w:sz="4" w:color="000000"/>
              <w:bottom w:val="nil"/>
              <w:left w:val="nil"/>
              <w:right w:val="nil"/>
            </w:tcBorders>
          </w:tcPr>
          <w:p>
            <w:pPr>
              <w:keepNext/>
              <w:jc w:val="left"/>
            </w:pPr>
            <w:r>
              <w:rPr>
                <w:rFonts w:ascii="Times New Roman" w:hAnsi="Times New Roman"/>
                <w:b w:val="0"/>
                <w:i w:val="0"/>
                <w:sz w:val="14"/>
              </w:rPr>
              <w:t>Shrubland</w:t>
            </w:r>
          </w:p>
        </w:tc>
        <w:tc>
          <w:tcPr>
            <w:tcW w:type="dxa" w:w="720"/>
            <w:tcBorders>
              <w:top w:val="single" w:sz="4" w:color="000000"/>
              <w:bottom w:val="nil"/>
              <w:left w:val="nil"/>
              <w:right w:val="nil"/>
            </w:tcBorders>
          </w:tcPr>
          <w:p>
            <w:pPr>
              <w:keepNext/>
              <w:jc w:val="center"/>
            </w:pPr>
            <w:r>
              <w:rPr>
                <w:rFonts w:ascii="Times New Roman" w:hAnsi="Times New Roman"/>
                <w:b w:val="0"/>
                <w:i w:val="0"/>
                <w:sz w:val="14"/>
              </w:rPr>
              <w:t>0.275</w:t>
            </w:r>
          </w:p>
        </w:tc>
        <w:tc>
          <w:tcPr>
            <w:tcW w:type="dxa" w:w="648"/>
            <w:tcBorders>
              <w:top w:val="single" w:sz="4" w:color="000000"/>
              <w:bottom w:val="nil"/>
              <w:left w:val="nil"/>
              <w:right w:val="nil"/>
            </w:tcBorders>
          </w:tcPr>
          <w:p>
            <w:pPr>
              <w:keepNext/>
              <w:jc w:val="center"/>
            </w:pPr>
            <w:r>
              <w:rPr>
                <w:rFonts w:ascii="Times New Roman" w:hAnsi="Times New Roman"/>
                <w:b w:val="0"/>
                <w:i w:val="0"/>
                <w:sz w:val="14"/>
              </w:rPr>
              <w:t>6.8×</w:t>
            </w:r>
          </w:p>
        </w:tc>
        <w:tc>
          <w:tcPr>
            <w:tcW w:type="dxa" w:w="864"/>
            <w:tcBorders>
              <w:top w:val="single" w:sz="4" w:color="000000"/>
              <w:bottom w:val="nil"/>
              <w:left w:val="nil"/>
              <w:right w:val="nil"/>
            </w:tcBorders>
          </w:tcPr>
          <w:p>
            <w:pPr>
              <w:keepNext/>
              <w:jc w:val="center"/>
            </w:pPr>
            <w:r>
              <w:rPr>
                <w:rFonts w:ascii="Times New Roman" w:hAnsi="Times New Roman"/>
                <w:b w:val="0"/>
                <w:i w:val="0"/>
                <w:sz w:val="14"/>
              </w:rPr>
              <w:t>0.858</w:t>
            </w:r>
          </w:p>
        </w:tc>
        <w:tc>
          <w:tcPr>
            <w:tcW w:type="dxa" w:w="720"/>
            <w:tcBorders>
              <w:top w:val="single" w:sz="4" w:color="000000"/>
              <w:bottom w:val="nil"/>
              <w:left w:val="nil"/>
              <w:right w:val="nil"/>
            </w:tcBorders>
          </w:tcPr>
          <w:p>
            <w:pPr>
              <w:keepNext/>
              <w:jc w:val="center"/>
            </w:pPr>
            <w:r>
              <w:rPr>
                <w:rFonts w:ascii="Times New Roman" w:hAnsi="Times New Roman"/>
                <w:b w:val="0"/>
                <w:i w:val="0"/>
                <w:sz w:val="14"/>
              </w:rPr>
              <w:t>0.42</w:t>
            </w:r>
          </w:p>
        </w:tc>
        <w:tc>
          <w:tcPr>
            <w:tcW w:type="dxa" w:w="720"/>
            <w:tcBorders>
              <w:top w:val="single" w:sz="4" w:color="000000"/>
              <w:bottom w:val="nil"/>
              <w:left w:val="nil"/>
              <w:right w:val="nil"/>
            </w:tcBorders>
          </w:tcPr>
          <w:p>
            <w:pPr>
              <w:keepNext/>
              <w:jc w:val="center"/>
            </w:pPr>
            <w:r>
              <w:rPr>
                <w:rFonts w:ascii="Times New Roman" w:hAnsi="Times New Roman"/>
                <w:b w:val="0"/>
                <w:i w:val="0"/>
                <w:sz w:val="14"/>
              </w:rPr>
              <w:t>3.6 %</w:t>
            </w:r>
          </w:p>
        </w:tc>
      </w:tr>
      <w:tr>
        <w:tc>
          <w:tcPr>
            <w:tcW w:type="dxa" w:w="1224"/>
            <w:tcBorders>
              <w:top w:val="nil"/>
              <w:bottom w:val="nil"/>
              <w:left w:val="nil"/>
              <w:right w:val="nil"/>
            </w:tcBorders>
          </w:tcPr>
          <w:p>
            <w:pPr>
              <w:keepNext/>
              <w:jc w:val="left"/>
            </w:pPr>
            <w:r>
              <w:rPr>
                <w:rFonts w:ascii="Times New Roman" w:hAnsi="Times New Roman"/>
                <w:b w:val="0"/>
                <w:i w:val="0"/>
                <w:sz w:val="14"/>
              </w:rPr>
              <w:t>Grassland</w:t>
            </w:r>
          </w:p>
        </w:tc>
        <w:tc>
          <w:tcPr>
            <w:tcW w:type="dxa" w:w="720"/>
            <w:tcBorders>
              <w:top w:val="nil"/>
              <w:bottom w:val="nil"/>
              <w:left w:val="nil"/>
              <w:right w:val="nil"/>
            </w:tcBorders>
          </w:tcPr>
          <w:p>
            <w:pPr>
              <w:keepNext/>
              <w:jc w:val="center"/>
            </w:pPr>
            <w:r>
              <w:rPr>
                <w:rFonts w:ascii="Times New Roman" w:hAnsi="Times New Roman"/>
                <w:b w:val="0"/>
                <w:i w:val="0"/>
                <w:sz w:val="14"/>
              </w:rPr>
              <w:t>0.218</w:t>
            </w:r>
          </w:p>
        </w:tc>
        <w:tc>
          <w:tcPr>
            <w:tcW w:type="dxa" w:w="648"/>
            <w:tcBorders>
              <w:top w:val="nil"/>
              <w:bottom w:val="nil"/>
              <w:left w:val="nil"/>
              <w:right w:val="nil"/>
            </w:tcBorders>
          </w:tcPr>
          <w:p>
            <w:pPr>
              <w:keepNext/>
              <w:jc w:val="center"/>
            </w:pPr>
            <w:r>
              <w:rPr>
                <w:rFonts w:ascii="Times New Roman" w:hAnsi="Times New Roman"/>
                <w:b w:val="0"/>
                <w:i w:val="0"/>
                <w:sz w:val="14"/>
              </w:rPr>
              <w:t>6.6×</w:t>
            </w:r>
          </w:p>
        </w:tc>
        <w:tc>
          <w:tcPr>
            <w:tcW w:type="dxa" w:w="864"/>
            <w:tcBorders>
              <w:top w:val="nil"/>
              <w:bottom w:val="nil"/>
              <w:left w:val="nil"/>
              <w:right w:val="nil"/>
            </w:tcBorders>
          </w:tcPr>
          <w:p>
            <w:pPr>
              <w:keepNext/>
              <w:jc w:val="center"/>
            </w:pPr>
            <w:r>
              <w:rPr>
                <w:rFonts w:ascii="Times New Roman" w:hAnsi="Times New Roman"/>
                <w:b w:val="0"/>
                <w:i w:val="0"/>
                <w:sz w:val="14"/>
              </w:rPr>
              <w:t>0.870</w:t>
            </w:r>
          </w:p>
        </w:tc>
        <w:tc>
          <w:tcPr>
            <w:tcW w:type="dxa" w:w="720"/>
            <w:tcBorders>
              <w:top w:val="nil"/>
              <w:bottom w:val="nil"/>
              <w:left w:val="nil"/>
              <w:right w:val="nil"/>
            </w:tcBorders>
          </w:tcPr>
          <w:p>
            <w:pPr>
              <w:keepNext/>
              <w:jc w:val="center"/>
            </w:pPr>
            <w:r>
              <w:rPr>
                <w:rFonts w:ascii="Times New Roman" w:hAnsi="Times New Roman"/>
                <w:b w:val="0"/>
                <w:i w:val="0"/>
                <w:sz w:val="14"/>
              </w:rPr>
              <w:t>0.38</w:t>
            </w:r>
          </w:p>
        </w:tc>
        <w:tc>
          <w:tcPr>
            <w:tcW w:type="dxa" w:w="720"/>
            <w:tcBorders>
              <w:top w:val="nil"/>
              <w:bottom w:val="nil"/>
              <w:left w:val="nil"/>
              <w:right w:val="nil"/>
            </w:tcBorders>
          </w:tcPr>
          <w:p>
            <w:pPr>
              <w:keepNext/>
              <w:jc w:val="center"/>
            </w:pPr>
            <w:r>
              <w:rPr>
                <w:rFonts w:ascii="Times New Roman" w:hAnsi="Times New Roman"/>
                <w:b w:val="0"/>
                <w:i w:val="0"/>
                <w:sz w:val="14"/>
              </w:rPr>
              <w:t>3.8 %</w:t>
            </w:r>
          </w:p>
        </w:tc>
      </w:tr>
      <w:tr>
        <w:tc>
          <w:tcPr>
            <w:tcW w:type="dxa" w:w="1224"/>
            <w:tcBorders>
              <w:top w:val="nil"/>
              <w:bottom w:val="nil"/>
              <w:left w:val="nil"/>
              <w:right w:val="nil"/>
            </w:tcBorders>
          </w:tcPr>
          <w:p>
            <w:pPr>
              <w:keepNext/>
              <w:jc w:val="left"/>
            </w:pPr>
            <w:r>
              <w:rPr>
                <w:rFonts w:ascii="Times New Roman" w:hAnsi="Times New Roman"/>
                <w:b w:val="0"/>
                <w:i w:val="0"/>
                <w:sz w:val="14"/>
              </w:rPr>
              <w:t>Bare / sparse</w:t>
            </w:r>
          </w:p>
        </w:tc>
        <w:tc>
          <w:tcPr>
            <w:tcW w:type="dxa" w:w="720"/>
            <w:tcBorders>
              <w:top w:val="nil"/>
              <w:bottom w:val="nil"/>
              <w:left w:val="nil"/>
              <w:right w:val="nil"/>
            </w:tcBorders>
          </w:tcPr>
          <w:p>
            <w:pPr>
              <w:keepNext/>
              <w:jc w:val="center"/>
            </w:pPr>
            <w:r>
              <w:rPr>
                <w:rFonts w:ascii="Times New Roman" w:hAnsi="Times New Roman"/>
                <w:b w:val="0"/>
                <w:i w:val="0"/>
                <w:sz w:val="14"/>
              </w:rPr>
              <w:t>0.123</w:t>
            </w:r>
          </w:p>
        </w:tc>
        <w:tc>
          <w:tcPr>
            <w:tcW w:type="dxa" w:w="648"/>
            <w:tcBorders>
              <w:top w:val="nil"/>
              <w:bottom w:val="nil"/>
              <w:left w:val="nil"/>
              <w:right w:val="nil"/>
            </w:tcBorders>
          </w:tcPr>
          <w:p>
            <w:pPr>
              <w:keepNext/>
              <w:jc w:val="center"/>
            </w:pPr>
            <w:r>
              <w:rPr>
                <w:rFonts w:ascii="Times New Roman" w:hAnsi="Times New Roman"/>
                <w:b w:val="0"/>
                <w:i w:val="0"/>
                <w:sz w:val="14"/>
              </w:rPr>
              <w:t>4.1×</w:t>
            </w:r>
          </w:p>
        </w:tc>
        <w:tc>
          <w:tcPr>
            <w:tcW w:type="dxa" w:w="864"/>
            <w:tcBorders>
              <w:top w:val="nil"/>
              <w:bottom w:val="nil"/>
              <w:left w:val="nil"/>
              <w:right w:val="nil"/>
            </w:tcBorders>
          </w:tcPr>
          <w:p>
            <w:pPr>
              <w:keepNext/>
              <w:jc w:val="center"/>
            </w:pPr>
            <w:r>
              <w:rPr>
                <w:rFonts w:ascii="Times New Roman" w:hAnsi="Times New Roman"/>
                <w:b w:val="0"/>
                <w:i w:val="0"/>
                <w:sz w:val="14"/>
              </w:rPr>
              <w:t>0.755</w:t>
            </w:r>
          </w:p>
        </w:tc>
        <w:tc>
          <w:tcPr>
            <w:tcW w:type="dxa" w:w="720"/>
            <w:tcBorders>
              <w:top w:val="nil"/>
              <w:bottom w:val="nil"/>
              <w:left w:val="nil"/>
              <w:right w:val="nil"/>
            </w:tcBorders>
          </w:tcPr>
          <w:p>
            <w:pPr>
              <w:keepNext/>
              <w:jc w:val="center"/>
            </w:pPr>
            <w:r>
              <w:rPr>
                <w:rFonts w:ascii="Times New Roman" w:hAnsi="Times New Roman"/>
                <w:b w:val="0"/>
                <w:i w:val="0"/>
                <w:sz w:val="14"/>
              </w:rPr>
              <w:t>0.25</w:t>
            </w:r>
          </w:p>
        </w:tc>
        <w:tc>
          <w:tcPr>
            <w:tcW w:type="dxa" w:w="720"/>
            <w:tcBorders>
              <w:top w:val="nil"/>
              <w:bottom w:val="nil"/>
              <w:left w:val="nil"/>
              <w:right w:val="nil"/>
            </w:tcBorders>
          </w:tcPr>
          <w:p>
            <w:pPr>
              <w:keepNext/>
              <w:jc w:val="center"/>
            </w:pPr>
            <w:r>
              <w:rPr>
                <w:rFonts w:ascii="Times New Roman" w:hAnsi="Times New Roman"/>
                <w:b w:val="0"/>
                <w:i w:val="0"/>
                <w:sz w:val="14"/>
              </w:rPr>
              <w:t>4.1 %</w:t>
            </w:r>
          </w:p>
        </w:tc>
      </w:tr>
      <w:tr>
        <w:tc>
          <w:tcPr>
            <w:tcW w:type="dxa" w:w="1224"/>
            <w:tcBorders>
              <w:top w:val="nil"/>
              <w:bottom w:val="nil"/>
              <w:left w:val="nil"/>
              <w:right w:val="nil"/>
            </w:tcBorders>
          </w:tcPr>
          <w:p>
            <w:pPr>
              <w:keepNext/>
              <w:jc w:val="left"/>
            </w:pPr>
            <w:r>
              <w:rPr>
                <w:rFonts w:ascii="Times New Roman" w:hAnsi="Times New Roman"/>
                <w:b w:val="0"/>
                <w:i w:val="0"/>
                <w:sz w:val="14"/>
              </w:rPr>
              <w:t>Tree cover</w:t>
            </w:r>
          </w:p>
        </w:tc>
        <w:tc>
          <w:tcPr>
            <w:tcW w:type="dxa" w:w="720"/>
            <w:tcBorders>
              <w:top w:val="nil"/>
              <w:bottom w:val="nil"/>
              <w:left w:val="nil"/>
              <w:right w:val="nil"/>
            </w:tcBorders>
          </w:tcPr>
          <w:p>
            <w:pPr>
              <w:keepNext/>
              <w:jc w:val="center"/>
            </w:pPr>
            <w:r>
              <w:rPr>
                <w:rFonts w:ascii="Times New Roman" w:hAnsi="Times New Roman"/>
                <w:b w:val="0"/>
                <w:i w:val="0"/>
                <w:sz w:val="14"/>
              </w:rPr>
              <w:t>0.110</w:t>
            </w:r>
          </w:p>
        </w:tc>
        <w:tc>
          <w:tcPr>
            <w:tcW w:type="dxa" w:w="648"/>
            <w:tcBorders>
              <w:top w:val="nil"/>
              <w:bottom w:val="nil"/>
              <w:left w:val="nil"/>
              <w:right w:val="nil"/>
            </w:tcBorders>
          </w:tcPr>
          <w:p>
            <w:pPr>
              <w:keepNext/>
              <w:jc w:val="center"/>
            </w:pPr>
            <w:r>
              <w:rPr>
                <w:rFonts w:ascii="Times New Roman" w:hAnsi="Times New Roman"/>
                <w:b w:val="0"/>
                <w:i w:val="0"/>
                <w:sz w:val="14"/>
              </w:rPr>
              <w:t>8.8×</w:t>
            </w:r>
          </w:p>
        </w:tc>
        <w:tc>
          <w:tcPr>
            <w:tcW w:type="dxa" w:w="864"/>
            <w:tcBorders>
              <w:top w:val="nil"/>
              <w:bottom w:val="nil"/>
              <w:left w:val="nil"/>
              <w:right w:val="nil"/>
            </w:tcBorders>
          </w:tcPr>
          <w:p>
            <w:pPr>
              <w:keepNext/>
              <w:jc w:val="center"/>
            </w:pPr>
            <w:r>
              <w:rPr>
                <w:rFonts w:ascii="Times New Roman" w:hAnsi="Times New Roman"/>
                <w:b w:val="0"/>
                <w:i w:val="0"/>
                <w:sz w:val="14"/>
              </w:rPr>
              <w:t>0.812</w:t>
            </w:r>
          </w:p>
        </w:tc>
        <w:tc>
          <w:tcPr>
            <w:tcW w:type="dxa" w:w="720"/>
            <w:tcBorders>
              <w:top w:val="nil"/>
              <w:bottom w:val="nil"/>
              <w:left w:val="nil"/>
              <w:right w:val="nil"/>
            </w:tcBorders>
          </w:tcPr>
          <w:p>
            <w:pPr>
              <w:keepNext/>
              <w:jc w:val="center"/>
            </w:pPr>
            <w:r>
              <w:rPr>
                <w:rFonts w:ascii="Times New Roman" w:hAnsi="Times New Roman"/>
                <w:b w:val="0"/>
                <w:i w:val="0"/>
                <w:sz w:val="14"/>
              </w:rPr>
              <w:t>0.36</w:t>
            </w:r>
          </w:p>
        </w:tc>
        <w:tc>
          <w:tcPr>
            <w:tcW w:type="dxa" w:w="720"/>
            <w:tcBorders>
              <w:top w:val="nil"/>
              <w:bottom w:val="nil"/>
              <w:left w:val="nil"/>
              <w:right w:val="nil"/>
            </w:tcBorders>
          </w:tcPr>
          <w:p>
            <w:pPr>
              <w:keepNext/>
              <w:jc w:val="center"/>
            </w:pPr>
            <w:r>
              <w:rPr>
                <w:rFonts w:ascii="Times New Roman" w:hAnsi="Times New Roman"/>
                <w:b w:val="0"/>
                <w:i w:val="0"/>
                <w:sz w:val="14"/>
              </w:rPr>
              <w:t>2.3 %</w:t>
            </w:r>
          </w:p>
        </w:tc>
      </w:tr>
      <w:tr>
        <w:tc>
          <w:tcPr>
            <w:tcW w:type="dxa" w:w="1224"/>
            <w:tcBorders>
              <w:top w:val="nil"/>
              <w:bottom w:val="single" w:sz="8" w:color="000000"/>
              <w:left w:val="nil"/>
              <w:right w:val="nil"/>
            </w:tcBorders>
          </w:tcPr>
          <w:p>
            <w:pPr>
              <w:jc w:val="left"/>
            </w:pPr>
            <w:r>
              <w:rPr>
                <w:rFonts w:ascii="Times New Roman" w:hAnsi="Times New Roman"/>
                <w:b w:val="0"/>
                <w:i w:val="0"/>
                <w:sz w:val="14"/>
              </w:rPr>
              <w:t>Cropland</w:t>
            </w:r>
          </w:p>
        </w:tc>
        <w:tc>
          <w:tcPr>
            <w:tcW w:type="dxa" w:w="720"/>
            <w:tcBorders>
              <w:top w:val="nil"/>
              <w:bottom w:val="single" w:sz="8" w:color="000000"/>
              <w:left w:val="nil"/>
              <w:right w:val="nil"/>
            </w:tcBorders>
          </w:tcPr>
          <w:p>
            <w:pPr>
              <w:jc w:val="center"/>
            </w:pPr>
            <w:r>
              <w:rPr>
                <w:rFonts w:ascii="Times New Roman" w:hAnsi="Times New Roman"/>
                <w:b w:val="0"/>
                <w:i w:val="0"/>
                <w:sz w:val="14"/>
              </w:rPr>
              <w:t>0.096</w:t>
            </w:r>
          </w:p>
        </w:tc>
        <w:tc>
          <w:tcPr>
            <w:tcW w:type="dxa" w:w="648"/>
            <w:tcBorders>
              <w:top w:val="nil"/>
              <w:bottom w:val="single" w:sz="8" w:color="000000"/>
              <w:left w:val="nil"/>
              <w:right w:val="nil"/>
            </w:tcBorders>
          </w:tcPr>
          <w:p>
            <w:pPr>
              <w:jc w:val="center"/>
            </w:pPr>
            <w:r>
              <w:rPr>
                <w:rFonts w:ascii="Times New Roman" w:hAnsi="Times New Roman"/>
                <w:b w:val="0"/>
                <w:i w:val="0"/>
                <w:sz w:val="14"/>
              </w:rPr>
              <w:t>3.5×</w:t>
            </w:r>
          </w:p>
        </w:tc>
        <w:tc>
          <w:tcPr>
            <w:tcW w:type="dxa" w:w="864"/>
            <w:tcBorders>
              <w:top w:val="nil"/>
              <w:bottom w:val="single" w:sz="8" w:color="000000"/>
              <w:left w:val="nil"/>
              <w:right w:val="nil"/>
            </w:tcBorders>
          </w:tcPr>
          <w:p>
            <w:pPr>
              <w:jc w:val="center"/>
            </w:pPr>
            <w:r>
              <w:rPr>
                <w:rFonts w:ascii="Times New Roman" w:hAnsi="Times New Roman"/>
                <w:b w:val="0"/>
                <w:i w:val="0"/>
                <w:sz w:val="14"/>
              </w:rPr>
              <w:t>0.743</w:t>
            </w:r>
          </w:p>
        </w:tc>
        <w:tc>
          <w:tcPr>
            <w:tcW w:type="dxa" w:w="720"/>
            <w:tcBorders>
              <w:top w:val="nil"/>
              <w:bottom w:val="single" w:sz="8" w:color="000000"/>
              <w:left w:val="nil"/>
              <w:right w:val="nil"/>
            </w:tcBorders>
          </w:tcPr>
          <w:p>
            <w:pPr>
              <w:jc w:val="center"/>
            </w:pPr>
            <w:r>
              <w:rPr>
                <w:rFonts w:ascii="Times New Roman" w:hAnsi="Times New Roman"/>
                <w:b w:val="0"/>
                <w:i w:val="0"/>
                <w:sz w:val="14"/>
              </w:rPr>
              <w:t>0.17</w:t>
            </w:r>
          </w:p>
        </w:tc>
        <w:tc>
          <w:tcPr>
            <w:tcW w:type="dxa" w:w="720"/>
            <w:tcBorders>
              <w:top w:val="nil"/>
              <w:bottom w:val="single" w:sz="8" w:color="000000"/>
              <w:left w:val="nil"/>
              <w:right w:val="nil"/>
            </w:tcBorders>
          </w:tcPr>
          <w:p>
            <w:pPr>
              <w:jc w:val="center"/>
            </w:pPr>
            <w:r>
              <w:rPr>
                <w:rFonts w:ascii="Times New Roman" w:hAnsi="Times New Roman"/>
                <w:b w:val="0"/>
                <w:i w:val="0"/>
                <w:sz w:val="14"/>
              </w:rPr>
              <w:t>2.1 %</w:t>
            </w:r>
          </w:p>
        </w:tc>
      </w:tr>
    </w:tbl>
    <w:p>
      <w:pPr>
        <w:spacing w:before="40" w:after="120"/>
      </w:pPr>
      <w:r>
        <w:rPr>
          <w:rFonts w:ascii="Times New Roman" w:hAnsi="Times New Roman"/>
          <w:b w:val="0"/>
          <w:i w:val="0"/>
          <w:sz w:val="14"/>
        </w:rPr>
        <w:t>FAR: false-alarm rate at the operating threshold.</w:t>
      </w:r>
    </w:p>
    <w:p>
      <w:pPr>
        <w:keepNext/>
        <w:spacing w:before="120"/>
        <w:jc w:val="center"/>
      </w:pPr>
      <w:r>
        <w:drawing>
          <wp:inline xmlns:a="http://schemas.openxmlformats.org/drawingml/2006/main" xmlns:pic="http://schemas.openxmlformats.org/drawingml/2006/picture">
            <wp:extent cx="3154680" cy="3144569"/>
            <wp:docPr id="8" name="Picture 8"/>
            <wp:cNvGraphicFramePr>
              <a:graphicFrameLocks noChangeAspect="1"/>
            </wp:cNvGraphicFramePr>
            <a:graphic>
              <a:graphicData uri="http://schemas.openxmlformats.org/drawingml/2006/picture">
                <pic:pic>
                  <pic:nvPicPr>
                    <pic:cNvPr id="0" name="risk_maps.png"/>
                    <pic:cNvPicPr/>
                  </pic:nvPicPr>
                  <pic:blipFill>
                    <a:blip r:embed="rId16"/>
                    <a:stretch>
                      <a:fillRect/>
                    </a:stretch>
                  </pic:blipFill>
                  <pic:spPr>
                    <a:xfrm>
                      <a:off x="0" y="0"/>
                      <a:ext cx="3154680" cy="3144569"/>
                    </a:xfrm>
                    <a:prstGeom prst="rect"/>
                  </pic:spPr>
                </pic:pic>
              </a:graphicData>
            </a:graphic>
          </wp:inline>
        </w:drawing>
      </w:r>
    </w:p>
    <w:p>
      <w:pPr>
        <w:spacing w:after="160"/>
        <w:jc w:val="both"/>
      </w:pPr>
      <w:r>
        <w:rPr>
          <w:rFonts w:ascii="Times New Roman" w:hAnsi="Times New Roman"/>
          <w:b w:val="0"/>
          <w:i w:val="0"/>
          <w:sz w:val="16"/>
        </w:rPr>
        <w:t xml:space="preserve">Fig. 8.  </w:t>
      </w:r>
      <w:r>
        <w:rPr>
          <w:rFonts w:ascii="Times New Roman" w:hAnsi="Times New Roman"/>
          <w:b w:val="0"/>
          <w:i w:val="0"/>
          <w:sz w:val="16"/>
        </w:rPr>
        <w:t>Six-month risk maps for September 2026 at nine training sites (5.12 km each). Warm colours: probability of onset; grey: pixels already below their peers (not eligible for an early warning) or masked.</w:t>
      </w:r>
    </w:p>
    <w:p>
      <w:pPr>
        <w:keepNext/>
        <w:spacing w:before="80" w:after="40"/>
      </w:pPr>
      <w:r>
        <w:rPr>
          <w:rFonts w:ascii="Times New Roman" w:hAnsi="Times New Roman"/>
          <w:b w:val="0"/>
          <w:i/>
          <w:sz w:val="20"/>
        </w:rPr>
        <w:t>F. Discussion</w:t>
      </w:r>
    </w:p>
    <w:p>
      <w:pPr>
        <w:spacing w:after="0"/>
        <w:ind w:firstLine="245"/>
        <w:jc w:val="both"/>
      </w:pPr>
      <w:r>
        <w:rPr>
          <w:rFonts w:ascii="Times New Roman" w:hAnsi="Times New Roman"/>
          <w:b w:val="0"/>
          <w:i w:val="0"/>
          <w:sz w:val="20"/>
        </w:rPr>
        <w:t>The ablation supports the central hypothesis in a falsifiable way. If future degradation could be read from present greenness or from weather alone, groups A1–A3 would score well; they do not. Skill appears only once each pixel is compared with what climate and its landscape peers predict, and it grows when the autocorrelation and variance of that residual are added. This is the pattern critical-slowing-down theory predicts [6], [7], here tested on held-out data rather than assumed. We do not claim that rising autocorrelation marks a tipping point, only that it improves forecasts.</w:t>
      </w:r>
    </w:p>
    <w:p>
      <w:pPr>
        <w:spacing w:after="0"/>
        <w:ind w:firstLine="245"/>
        <w:jc w:val="both"/>
      </w:pPr>
      <w:r>
        <w:rPr>
          <w:rFonts w:ascii="Times New Roman" w:hAnsi="Times New Roman"/>
          <w:b w:val="0"/>
          <w:i w:val="0"/>
          <w:sz w:val="20"/>
        </w:rPr>
        <w:t>Calibration makes the scores usable. A stated 10 % risk corresponds to about 10 % observed onsets (ECE 0.0025), so a district officer can rank hotspots by expected hectares rather than by an arbitrary score. Abstention is the price of moderate discrimination at a 2.5 % base rate. The system clears about half of the landscape with 99.6 % reliability and sends the uncertain half to field teams. Label design mattered more than model choice: an earlier label that followed monsoon timing produced plausible but meaningless accuracy and was rejected on validation diagnostics.</w:t>
      </w:r>
    </w:p>
    <w:p>
      <w:pPr>
        <w:keepNext/>
        <w:spacing w:before="80" w:after="40"/>
      </w:pPr>
      <w:r>
        <w:rPr>
          <w:rFonts w:ascii="Times New Roman" w:hAnsi="Times New Roman"/>
          <w:b w:val="0"/>
          <w:i/>
          <w:sz w:val="20"/>
        </w:rPr>
        <w:t>G. Limitations</w:t>
      </w:r>
    </w:p>
    <w:p>
      <w:pPr>
        <w:ind w:left="360" w:hanging="202"/>
        <w:jc w:val="both"/>
      </w:pPr>
      <w:r>
        <w:rPr>
          <w:rFonts w:ascii="Times New Roman" w:hAnsi="Times New Roman"/>
          <w:b w:val="0"/>
          <w:i w:val="0"/>
          <w:sz w:val="20"/>
        </w:rPr>
        <w:t xml:space="preserve">• </w:t>
      </w:r>
      <w:r>
        <w:rPr>
          <w:rFonts w:ascii="Times New Roman" w:hAnsi="Times New Roman"/>
          <w:b/>
          <w:i w:val="0"/>
          <w:sz w:val="20"/>
        </w:rPr>
        <w:t>Labels are satellite proxies, not field data.</w:t>
      </w:r>
      <w:r>
        <w:rPr>
          <w:rFonts w:ascii="Times New Roman" w:hAnsi="Times New Roman"/>
          <w:b w:val="0"/>
          <w:i w:val="0"/>
          <w:sz w:val="20"/>
        </w:rPr>
        <w:t xml:space="preserve"> Persistent unexplained decline also captures land-use change, fire and harvest timing. Cropland remains the weak case (Marathwada ROC 0.60).</w:t>
      </w:r>
    </w:p>
    <w:p>
      <w:pPr>
        <w:ind w:left="360" w:hanging="202"/>
        <w:jc w:val="both"/>
      </w:pPr>
      <w:r>
        <w:rPr>
          <w:rFonts w:ascii="Times New Roman" w:hAnsi="Times New Roman"/>
          <w:b w:val="0"/>
          <w:i w:val="0"/>
          <w:sz w:val="20"/>
        </w:rPr>
        <w:t xml:space="preserve">• </w:t>
      </w:r>
      <w:r>
        <w:rPr>
          <w:rFonts w:ascii="Times New Roman" w:hAnsi="Times New Roman"/>
          <w:b/>
          <w:i w:val="0"/>
          <w:sz w:val="20"/>
        </w:rPr>
        <w:t>Moderate precision.</w:t>
      </w:r>
      <w:r>
        <w:rPr>
          <w:rFonts w:ascii="Times New Roman" w:hAnsi="Times New Roman"/>
          <w:b w:val="0"/>
          <w:i w:val="0"/>
          <w:sz w:val="20"/>
        </w:rPr>
        <w:t xml:space="preserve"> About one warning in five is followed by an onset, so the system suits triage of field inspections, not enforcement.</w:t>
      </w:r>
    </w:p>
    <w:p>
      <w:pPr>
        <w:ind w:left="360" w:hanging="202"/>
        <w:jc w:val="both"/>
      </w:pPr>
      <w:r>
        <w:rPr>
          <w:rFonts w:ascii="Times New Roman" w:hAnsi="Times New Roman"/>
          <w:b w:val="0"/>
          <w:i w:val="0"/>
          <w:sz w:val="20"/>
        </w:rPr>
        <w:t xml:space="preserve">• </w:t>
      </w:r>
      <w:r>
        <w:rPr>
          <w:rFonts w:ascii="Times New Roman" w:hAnsi="Times New Roman"/>
          <w:b/>
          <w:i w:val="0"/>
          <w:sz w:val="20"/>
        </w:rPr>
        <w:t>No independent visual confirmation yet.</w:t>
      </w:r>
      <w:r>
        <w:rPr>
          <w:rFonts w:ascii="Times New Roman" w:hAnsi="Times New Roman"/>
          <w:b w:val="0"/>
          <w:i w:val="0"/>
          <w:sz w:val="20"/>
        </w:rPr>
        <w:t xml:space="preserve"> In a blind pilot on 233 before/after pairs of sub-metre imagery, a visible change was seen at 19.6 % of warnings and 24.5 % of safe pixels (difference −4.9 points, 95 % CI −15 to +6). The pilot was underpowered and mostly showed abrupt events rather than gradual thinning.</w:t>
      </w:r>
    </w:p>
    <w:p>
      <w:pPr>
        <w:ind w:left="360" w:hanging="202"/>
        <w:jc w:val="both"/>
      </w:pPr>
      <w:r>
        <w:rPr>
          <w:rFonts w:ascii="Times New Roman" w:hAnsi="Times New Roman"/>
          <w:b w:val="0"/>
          <w:i w:val="0"/>
          <w:sz w:val="20"/>
        </w:rPr>
        <w:t xml:space="preserve">• </w:t>
      </w:r>
      <w:r>
        <w:rPr>
          <w:rFonts w:ascii="Times New Roman" w:hAnsi="Times New Roman"/>
          <w:b/>
          <w:i w:val="0"/>
          <w:sz w:val="20"/>
        </w:rPr>
        <w:t>Short baseline and coarse climate.</w:t>
      </w:r>
      <w:r>
        <w:rPr>
          <w:rFonts w:ascii="Times New Roman" w:hAnsi="Times New Roman"/>
          <w:b w:val="0"/>
          <w:i w:val="0"/>
          <w:sz w:val="20"/>
        </w:rPr>
        <w:t xml:space="preserve"> The Sentinel-2 baseline covers only 2017–2020, and climate is at 9–25 km.</w:t>
      </w:r>
    </w:p>
    <w:p>
      <w:pPr>
        <w:ind w:left="360" w:hanging="202"/>
        <w:jc w:val="both"/>
      </w:pPr>
      <w:r>
        <w:rPr>
          <w:rFonts w:ascii="Times New Roman" w:hAnsi="Times New Roman"/>
          <w:b w:val="0"/>
          <w:i w:val="0"/>
          <w:sz w:val="20"/>
        </w:rPr>
        <w:t xml:space="preserve">• </w:t>
      </w:r>
      <w:r>
        <w:rPr>
          <w:rFonts w:ascii="Times New Roman" w:hAnsi="Times New Roman"/>
          <w:b/>
          <w:i w:val="0"/>
          <w:sz w:val="20"/>
        </w:rPr>
        <w:t>Single validation year.</w:t>
      </w:r>
      <w:r>
        <w:rPr>
          <w:rFonts w:ascii="Times New Roman" w:hAnsi="Times New Roman"/>
          <w:b w:val="0"/>
          <w:i w:val="0"/>
          <w:sz w:val="20"/>
        </w:rPr>
        <w:t xml:space="preserve"> Model selection used one validation year, whose seed noise is close to the decision margin.</w:t>
      </w:r>
    </w:p>
    <w:p>
      <w:pPr>
        <w:keepNext/>
        <w:spacing w:before="160" w:after="80"/>
        <w:jc w:val="center"/>
      </w:pPr>
      <w:r>
        <w:rPr>
          <w:rFonts w:ascii="Times New Roman" w:hAnsi="Times New Roman"/>
          <w:b w:val="0"/>
          <w:i w:val="0"/>
          <w:smallCaps/>
          <w:sz w:val="20"/>
        </w:rPr>
        <w:t xml:space="preserve">V. </w:t>
      </w:r>
      <w:r>
        <w:rPr>
          <w:rFonts w:ascii="Times New Roman" w:hAnsi="Times New Roman"/>
          <w:b w:val="0"/>
          <w:i w:val="0"/>
          <w:smallCaps/>
          <w:sz w:val="20"/>
        </w:rPr>
        <w:t>Conclusion and Future Work</w:t>
      </w:r>
    </w:p>
    <w:p>
      <w:pPr>
        <w:spacing w:after="0"/>
        <w:ind w:firstLine="245"/>
        <w:jc w:val="both"/>
      </w:pPr>
      <w:r>
        <w:rPr>
          <w:rFonts w:ascii="Times New Roman" w:hAnsi="Times New Roman"/>
          <w:b w:val="0"/>
          <w:i w:val="0"/>
          <w:sz w:val="20"/>
        </w:rPr>
        <w:t>CARE-EW turns free satellite and climate data into calibrated six-month warnings of persistent land degradation at 10 m. On a hold-out new in both space and time it ranks future onsets with ROC-AUC 0.805 (0.839 on six unseen sites), at a 2.7 % false-alarm rate. The predictive signal comes from the climate-conditioned residual and resilience indicators, not from spectral state or raw weather.</w:t>
      </w:r>
    </w:p>
    <w:p>
      <w:pPr>
        <w:spacing w:after="40"/>
        <w:ind w:firstLine="245"/>
        <w:jc w:val="both"/>
      </w:pPr>
      <w:r>
        <w:rPr>
          <w:rFonts w:ascii="Times New Roman" w:hAnsi="Times New Roman"/>
          <w:b w:val="0"/>
          <w:i w:val="0"/>
          <w:sz w:val="20"/>
        </w:rPr>
        <w:t>Future work is specific:</w:t>
      </w:r>
    </w:p>
    <w:p>
      <w:pPr>
        <w:ind w:left="360" w:hanging="202"/>
        <w:jc w:val="both"/>
      </w:pPr>
      <w:r>
        <w:rPr>
          <w:rFonts w:ascii="Times New Roman" w:hAnsi="Times New Roman"/>
          <w:b w:val="0"/>
          <w:i w:val="0"/>
          <w:sz w:val="20"/>
        </w:rPr>
        <w:t xml:space="preserve">• </w:t>
      </w:r>
      <w:r>
        <w:rPr>
          <w:rFonts w:ascii="Times New Roman" w:hAnsi="Times New Roman"/>
          <w:b w:val="0"/>
          <w:i w:val="0"/>
          <w:sz w:val="20"/>
        </w:rPr>
        <w:t>crop-calendar-aware labels and more cropland sites, to lift cropland ROC-AUC above 0.60;</w:t>
      </w:r>
    </w:p>
    <w:p>
      <w:pPr>
        <w:ind w:left="360" w:hanging="202"/>
        <w:jc w:val="both"/>
      </w:pPr>
      <w:r>
        <w:rPr>
          <w:rFonts w:ascii="Times New Roman" w:hAnsi="Times New Roman"/>
          <w:b w:val="0"/>
          <w:i w:val="0"/>
          <w:sz w:val="20"/>
        </w:rPr>
        <w:t xml:space="preserve">• </w:t>
      </w:r>
      <w:r>
        <w:rPr>
          <w:rFonts w:ascii="Times New Roman" w:hAnsi="Times New Roman"/>
          <w:b w:val="0"/>
          <w:i w:val="0"/>
          <w:sz w:val="20"/>
        </w:rPr>
        <w:t>an independent human review of the 233 image pairs, followed by a power-calculated campaign of at least 300 pairs per group with same-season imagery taken within six months before the warning;</w:t>
      </w:r>
    </w:p>
    <w:p>
      <w:pPr>
        <w:ind w:left="360" w:hanging="202"/>
        <w:jc w:val="both"/>
      </w:pPr>
      <w:r>
        <w:rPr>
          <w:rFonts w:ascii="Times New Roman" w:hAnsi="Times New Roman"/>
          <w:b w:val="0"/>
          <w:i w:val="0"/>
          <w:sz w:val="20"/>
        </w:rPr>
        <w:t xml:space="preserve">• </w:t>
      </w:r>
      <w:r>
        <w:rPr>
          <w:rFonts w:ascii="Times New Roman" w:hAnsi="Times New Roman"/>
          <w:b w:val="0"/>
          <w:i w:val="0"/>
          <w:sz w:val="20"/>
        </w:rPr>
        <w:t>a prospective test on months after October 2025, comparing the 17-site model, a 23-site model and a seed ensemble;</w:t>
      </w:r>
    </w:p>
    <w:p>
      <w:pPr>
        <w:ind w:left="360" w:hanging="202"/>
        <w:jc w:val="both"/>
      </w:pPr>
      <w:r>
        <w:rPr>
          <w:rFonts w:ascii="Times New Roman" w:hAnsi="Times New Roman"/>
          <w:b w:val="0"/>
          <w:i w:val="0"/>
          <w:sz w:val="20"/>
        </w:rPr>
        <w:t xml:space="preserve">• </w:t>
      </w:r>
      <w:r>
        <w:rPr>
          <w:rFonts w:ascii="Times New Roman" w:hAnsi="Times New Roman"/>
          <w:b w:val="0"/>
          <w:i w:val="0"/>
          <w:sz w:val="20"/>
        </w:rPr>
        <w:t>Sentinel-1 radar features to fill monsoon cloud gaps.</w:t>
      </w:r>
    </w:p>
    <w:p>
      <w:pPr>
        <w:keepNext/>
        <w:spacing w:before="160" w:after="80"/>
        <w:jc w:val="center"/>
      </w:pPr>
      <w:r>
        <w:rPr>
          <w:rFonts w:ascii="Times New Roman" w:hAnsi="Times New Roman"/>
          <w:b w:val="0"/>
          <w:i w:val="0"/>
          <w:smallCaps/>
          <w:sz w:val="20"/>
        </w:rPr>
        <w:t>References</w:t>
      </w:r>
    </w:p>
    <w:p>
      <w:pPr>
        <w:ind w:left="360" w:hanging="360"/>
        <w:jc w:val="both"/>
      </w:pPr>
      <w:r>
        <w:rPr>
          <w:rFonts w:ascii="Times New Roman" w:hAnsi="Times New Roman"/>
          <w:b w:val="0"/>
          <w:i w:val="0"/>
          <w:sz w:val="16"/>
        </w:rPr>
        <w:t xml:space="preserve">[1] </w:t>
      </w:r>
      <w:r>
        <w:rPr>
          <w:rFonts w:ascii="Times New Roman" w:hAnsi="Times New Roman"/>
          <w:b w:val="0"/>
          <w:i w:val="0"/>
          <w:sz w:val="16"/>
        </w:rPr>
        <w:t xml:space="preserve">M. Cherlet et al., Eds., </w:t>
      </w:r>
      <w:r>
        <w:rPr>
          <w:rFonts w:ascii="Times New Roman" w:hAnsi="Times New Roman"/>
          <w:b w:val="0"/>
          <w:i/>
          <w:sz w:val="16"/>
        </w:rPr>
        <w:t>World Atlas of Desertification</w:t>
      </w:r>
      <w:r>
        <w:rPr>
          <w:rFonts w:ascii="Times New Roman" w:hAnsi="Times New Roman"/>
          <w:b w:val="0"/>
          <w:i w:val="0"/>
          <w:sz w:val="16"/>
        </w:rPr>
        <w:t>, 3rd ed. Luxembourg: Publications Office of the EU, 2018.</w:t>
      </w:r>
    </w:p>
    <w:p>
      <w:pPr>
        <w:ind w:left="360" w:hanging="360"/>
        <w:jc w:val="both"/>
      </w:pPr>
      <w:r>
        <w:rPr>
          <w:rFonts w:ascii="Times New Roman" w:hAnsi="Times New Roman"/>
          <w:b w:val="0"/>
          <w:i w:val="0"/>
          <w:sz w:val="16"/>
        </w:rPr>
        <w:t xml:space="preserve">[2] </w:t>
      </w:r>
      <w:r>
        <w:rPr>
          <w:rFonts w:ascii="Times New Roman" w:hAnsi="Times New Roman"/>
          <w:b w:val="0"/>
          <w:i w:val="0"/>
          <w:sz w:val="16"/>
        </w:rPr>
        <w:t>N. C. Sims et al., “Good practice guidance: SDG indicator 15.3.1, version 2.0,” UNCCD, Bonn, Germany, 2021.</w:t>
      </w:r>
    </w:p>
    <w:p>
      <w:pPr>
        <w:ind w:left="360" w:hanging="360"/>
        <w:jc w:val="both"/>
      </w:pPr>
      <w:r>
        <w:rPr>
          <w:rFonts w:ascii="Times New Roman" w:hAnsi="Times New Roman"/>
          <w:b w:val="0"/>
          <w:i w:val="0"/>
          <w:sz w:val="16"/>
        </w:rPr>
        <w:t xml:space="preserve">[3] </w:t>
      </w:r>
      <w:r>
        <w:rPr>
          <w:rFonts w:ascii="Times New Roman" w:hAnsi="Times New Roman"/>
          <w:b w:val="0"/>
          <w:i w:val="0"/>
          <w:sz w:val="16"/>
        </w:rPr>
        <w:t xml:space="preserve">M. Gonzalez-Roglich et al., “Synergizing global tools to monitor progress towards land degradation neutrality: Trends.Earth and the World Overview of Conservation Approaches and Technologies sustainable land management database,” </w:t>
      </w:r>
      <w:r>
        <w:rPr>
          <w:rFonts w:ascii="Times New Roman" w:hAnsi="Times New Roman"/>
          <w:b w:val="0"/>
          <w:i/>
          <w:sz w:val="16"/>
        </w:rPr>
        <w:t>Environ. Sci. Policy</w:t>
      </w:r>
      <w:r>
        <w:rPr>
          <w:rFonts w:ascii="Times New Roman" w:hAnsi="Times New Roman"/>
          <w:b w:val="0"/>
          <w:i w:val="0"/>
          <w:sz w:val="16"/>
        </w:rPr>
        <w:t>, vol. 93, pp. 34–42, 2019.</w:t>
      </w:r>
    </w:p>
    <w:p>
      <w:pPr>
        <w:ind w:left="360" w:hanging="360"/>
        <w:jc w:val="both"/>
      </w:pPr>
      <w:r>
        <w:rPr>
          <w:rFonts w:ascii="Times New Roman" w:hAnsi="Times New Roman"/>
          <w:b w:val="0"/>
          <w:i w:val="0"/>
          <w:sz w:val="16"/>
        </w:rPr>
        <w:t xml:space="preserve">[4] </w:t>
      </w:r>
      <w:r>
        <w:rPr>
          <w:rFonts w:ascii="Times New Roman" w:hAnsi="Times New Roman"/>
          <w:b w:val="0"/>
          <w:i w:val="0"/>
          <w:sz w:val="16"/>
        </w:rPr>
        <w:t xml:space="preserve">K. J. Wessels et al., “Can human-induced land degradation be distinguished from the effects of rainfall variability? A case study in South Africa,” </w:t>
      </w:r>
      <w:r>
        <w:rPr>
          <w:rFonts w:ascii="Times New Roman" w:hAnsi="Times New Roman"/>
          <w:b w:val="0"/>
          <w:i/>
          <w:sz w:val="16"/>
        </w:rPr>
        <w:t>J. Arid Environ.</w:t>
      </w:r>
      <w:r>
        <w:rPr>
          <w:rFonts w:ascii="Times New Roman" w:hAnsi="Times New Roman"/>
          <w:b w:val="0"/>
          <w:i w:val="0"/>
          <w:sz w:val="16"/>
        </w:rPr>
        <w:t>, vol. 68, no. 2, pp. 271–297, 2007.</w:t>
      </w:r>
    </w:p>
    <w:p>
      <w:pPr>
        <w:ind w:left="360" w:hanging="360"/>
        <w:jc w:val="both"/>
      </w:pPr>
      <w:r>
        <w:rPr>
          <w:rFonts w:ascii="Times New Roman" w:hAnsi="Times New Roman"/>
          <w:b w:val="0"/>
          <w:i w:val="0"/>
          <w:sz w:val="16"/>
        </w:rPr>
        <w:t xml:space="preserve">[5] </w:t>
      </w:r>
      <w:r>
        <w:rPr>
          <w:rFonts w:ascii="Times New Roman" w:hAnsi="Times New Roman"/>
          <w:b w:val="0"/>
          <w:i w:val="0"/>
          <w:sz w:val="16"/>
        </w:rPr>
        <w:t xml:space="preserve">S. D. Prince, I. Becker-Reshef, and K. Rishmawi, “Detection and mapping of long-term land degradation using local net production scaling: Application to Zimbabwe,” </w:t>
      </w:r>
      <w:r>
        <w:rPr>
          <w:rFonts w:ascii="Times New Roman" w:hAnsi="Times New Roman"/>
          <w:b w:val="0"/>
          <w:i/>
          <w:sz w:val="16"/>
        </w:rPr>
        <w:t>Remote Sens. Environ.</w:t>
      </w:r>
      <w:r>
        <w:rPr>
          <w:rFonts w:ascii="Times New Roman" w:hAnsi="Times New Roman"/>
          <w:b w:val="0"/>
          <w:i w:val="0"/>
          <w:sz w:val="16"/>
        </w:rPr>
        <w:t>, vol. 113, no. 5, pp. 1046–1057, 2009.</w:t>
      </w:r>
    </w:p>
    <w:p>
      <w:pPr>
        <w:ind w:left="360" w:hanging="360"/>
        <w:jc w:val="both"/>
      </w:pPr>
      <w:r>
        <w:rPr>
          <w:rFonts w:ascii="Times New Roman" w:hAnsi="Times New Roman"/>
          <w:b w:val="0"/>
          <w:i w:val="0"/>
          <w:sz w:val="16"/>
        </w:rPr>
        <w:t xml:space="preserve">[6] </w:t>
      </w:r>
      <w:r>
        <w:rPr>
          <w:rFonts w:ascii="Times New Roman" w:hAnsi="Times New Roman"/>
          <w:b w:val="0"/>
          <w:i w:val="0"/>
          <w:sz w:val="16"/>
        </w:rPr>
        <w:t xml:space="preserve">M. Scheffer et al., “Early-warning signals for critical transitions,” </w:t>
      </w:r>
      <w:r>
        <w:rPr>
          <w:rFonts w:ascii="Times New Roman" w:hAnsi="Times New Roman"/>
          <w:b w:val="0"/>
          <w:i/>
          <w:sz w:val="16"/>
        </w:rPr>
        <w:t>Nature</w:t>
      </w:r>
      <w:r>
        <w:rPr>
          <w:rFonts w:ascii="Times New Roman" w:hAnsi="Times New Roman"/>
          <w:b w:val="0"/>
          <w:i w:val="0"/>
          <w:sz w:val="16"/>
        </w:rPr>
        <w:t>, vol. 461, pp. 53–59, 2009.</w:t>
      </w:r>
    </w:p>
    <w:p>
      <w:pPr>
        <w:ind w:left="360" w:hanging="360"/>
        <w:jc w:val="both"/>
      </w:pPr>
      <w:r>
        <w:rPr>
          <w:rFonts w:ascii="Times New Roman" w:hAnsi="Times New Roman"/>
          <w:b w:val="0"/>
          <w:i w:val="0"/>
          <w:sz w:val="16"/>
        </w:rPr>
        <w:t xml:space="preserve">[7] </w:t>
      </w:r>
      <w:r>
        <w:rPr>
          <w:rFonts w:ascii="Times New Roman" w:hAnsi="Times New Roman"/>
          <w:b w:val="0"/>
          <w:i w:val="0"/>
          <w:sz w:val="16"/>
        </w:rPr>
        <w:t xml:space="preserve">V. Dakos et al., “Methods for detecting early warnings of critical transitions in time series illustrated using simulated ecological data,” </w:t>
      </w:r>
      <w:r>
        <w:rPr>
          <w:rFonts w:ascii="Times New Roman" w:hAnsi="Times New Roman"/>
          <w:b w:val="0"/>
          <w:i/>
          <w:sz w:val="16"/>
        </w:rPr>
        <w:t>PLoS ONE</w:t>
      </w:r>
      <w:r>
        <w:rPr>
          <w:rFonts w:ascii="Times New Roman" w:hAnsi="Times New Roman"/>
          <w:b w:val="0"/>
          <w:i w:val="0"/>
          <w:sz w:val="16"/>
        </w:rPr>
        <w:t>, vol. 7, no. 7, e41010, 2012.</w:t>
      </w:r>
    </w:p>
    <w:p>
      <w:pPr>
        <w:ind w:left="360" w:hanging="360"/>
        <w:jc w:val="both"/>
      </w:pPr>
      <w:r>
        <w:rPr>
          <w:rFonts w:ascii="Times New Roman" w:hAnsi="Times New Roman"/>
          <w:b w:val="0"/>
          <w:i w:val="0"/>
          <w:sz w:val="16"/>
        </w:rPr>
        <w:t xml:space="preserve">[8] </w:t>
      </w:r>
      <w:r>
        <w:rPr>
          <w:rFonts w:ascii="Times New Roman" w:hAnsi="Times New Roman"/>
          <w:b w:val="0"/>
          <w:i w:val="0"/>
          <w:sz w:val="16"/>
        </w:rPr>
        <w:t xml:space="preserve">J. Verbesselt et al., “Remotely sensed resilience of tropical forests,” </w:t>
      </w:r>
      <w:r>
        <w:rPr>
          <w:rFonts w:ascii="Times New Roman" w:hAnsi="Times New Roman"/>
          <w:b w:val="0"/>
          <w:i/>
          <w:sz w:val="16"/>
        </w:rPr>
        <w:t>Nature Clim. Change</w:t>
      </w:r>
      <w:r>
        <w:rPr>
          <w:rFonts w:ascii="Times New Roman" w:hAnsi="Times New Roman"/>
          <w:b w:val="0"/>
          <w:i w:val="0"/>
          <w:sz w:val="16"/>
        </w:rPr>
        <w:t>, vol. 6, pp. 1028–1031, 2016.</w:t>
      </w:r>
    </w:p>
    <w:p>
      <w:pPr>
        <w:ind w:left="360" w:hanging="360"/>
        <w:jc w:val="both"/>
      </w:pPr>
      <w:r>
        <w:rPr>
          <w:rFonts w:ascii="Times New Roman" w:hAnsi="Times New Roman"/>
          <w:b w:val="0"/>
          <w:i w:val="0"/>
          <w:sz w:val="16"/>
        </w:rPr>
        <w:t xml:space="preserve">[9] </w:t>
      </w:r>
      <w:r>
        <w:rPr>
          <w:rFonts w:ascii="Times New Roman" w:hAnsi="Times New Roman"/>
          <w:b w:val="0"/>
          <w:i w:val="0"/>
          <w:sz w:val="16"/>
        </w:rPr>
        <w:t xml:space="preserve">T. Smith, D. Traxl, and N. Boers, “Empirical evidence for recent global shifts in vegetation resilience,” </w:t>
      </w:r>
      <w:r>
        <w:rPr>
          <w:rFonts w:ascii="Times New Roman" w:hAnsi="Times New Roman"/>
          <w:b w:val="0"/>
          <w:i/>
          <w:sz w:val="16"/>
        </w:rPr>
        <w:t>Nature Clim. Change</w:t>
      </w:r>
      <w:r>
        <w:rPr>
          <w:rFonts w:ascii="Times New Roman" w:hAnsi="Times New Roman"/>
          <w:b w:val="0"/>
          <w:i w:val="0"/>
          <w:sz w:val="16"/>
        </w:rPr>
        <w:t>, vol. 12, pp. 477–484, 2022.</w:t>
      </w:r>
    </w:p>
    <w:p>
      <w:pPr>
        <w:ind w:left="360" w:hanging="360"/>
        <w:jc w:val="both"/>
      </w:pPr>
      <w:r>
        <w:rPr>
          <w:rFonts w:ascii="Times New Roman" w:hAnsi="Times New Roman"/>
          <w:b w:val="0"/>
          <w:i w:val="0"/>
          <w:sz w:val="16"/>
        </w:rPr>
        <w:t xml:space="preserve">[10] </w:t>
      </w:r>
      <w:r>
        <w:rPr>
          <w:rFonts w:ascii="Times New Roman" w:hAnsi="Times New Roman"/>
          <w:b w:val="0"/>
          <w:i w:val="0"/>
          <w:sz w:val="16"/>
        </w:rPr>
        <w:t xml:space="preserve">C. A. Boulton, T. M. Lenton, and N. Boers, “Pronounced loss of Amazon rainforest resilience since the early 2000s,” </w:t>
      </w:r>
      <w:r>
        <w:rPr>
          <w:rFonts w:ascii="Times New Roman" w:hAnsi="Times New Roman"/>
          <w:b w:val="0"/>
          <w:i/>
          <w:sz w:val="16"/>
        </w:rPr>
        <w:t>Nature Clim. Change</w:t>
      </w:r>
      <w:r>
        <w:rPr>
          <w:rFonts w:ascii="Times New Roman" w:hAnsi="Times New Roman"/>
          <w:b w:val="0"/>
          <w:i w:val="0"/>
          <w:sz w:val="16"/>
        </w:rPr>
        <w:t>, vol. 12, pp. 271–278, 2022.</w:t>
      </w:r>
    </w:p>
    <w:p>
      <w:pPr>
        <w:ind w:left="360" w:hanging="360"/>
        <w:jc w:val="both"/>
      </w:pPr>
      <w:r>
        <w:rPr>
          <w:rFonts w:ascii="Times New Roman" w:hAnsi="Times New Roman"/>
          <w:b w:val="0"/>
          <w:i w:val="0"/>
          <w:sz w:val="16"/>
        </w:rPr>
        <w:t xml:space="preserve">[11] </w:t>
      </w:r>
      <w:r>
        <w:rPr>
          <w:rFonts w:ascii="Times New Roman" w:hAnsi="Times New Roman"/>
          <w:b w:val="0"/>
          <w:i w:val="0"/>
          <w:sz w:val="16"/>
        </w:rPr>
        <w:t xml:space="preserve">P. Ploton et al., “Spatial validation reveals poor predictive performance of large-scale ecological mapping models,” </w:t>
      </w:r>
      <w:r>
        <w:rPr>
          <w:rFonts w:ascii="Times New Roman" w:hAnsi="Times New Roman"/>
          <w:b w:val="0"/>
          <w:i/>
          <w:sz w:val="16"/>
        </w:rPr>
        <w:t>Nature Commun.</w:t>
      </w:r>
      <w:r>
        <w:rPr>
          <w:rFonts w:ascii="Times New Roman" w:hAnsi="Times New Roman"/>
          <w:b w:val="0"/>
          <w:i w:val="0"/>
          <w:sz w:val="16"/>
        </w:rPr>
        <w:t>, vol. 11, 4540, 2020.</w:t>
      </w:r>
    </w:p>
    <w:p>
      <w:pPr>
        <w:ind w:left="360" w:hanging="360"/>
        <w:jc w:val="both"/>
      </w:pPr>
      <w:r>
        <w:rPr>
          <w:rFonts w:ascii="Times New Roman" w:hAnsi="Times New Roman"/>
          <w:b w:val="0"/>
          <w:i w:val="0"/>
          <w:sz w:val="16"/>
        </w:rPr>
        <w:t xml:space="preserve">[12] </w:t>
      </w:r>
      <w:r>
        <w:rPr>
          <w:rFonts w:ascii="Times New Roman" w:hAnsi="Times New Roman"/>
          <w:b w:val="0"/>
          <w:i w:val="0"/>
          <w:sz w:val="16"/>
        </w:rPr>
        <w:t xml:space="preserve">H. Meyer and E. Pebesma, “Predicting into unknown space? Estimating the area of applicability of spatial prediction models,” </w:t>
      </w:r>
      <w:r>
        <w:rPr>
          <w:rFonts w:ascii="Times New Roman" w:hAnsi="Times New Roman"/>
          <w:b w:val="0"/>
          <w:i/>
          <w:sz w:val="16"/>
        </w:rPr>
        <w:t>Methods Ecol. Evol.</w:t>
      </w:r>
      <w:r>
        <w:rPr>
          <w:rFonts w:ascii="Times New Roman" w:hAnsi="Times New Roman"/>
          <w:b w:val="0"/>
          <w:i w:val="0"/>
          <w:sz w:val="16"/>
        </w:rPr>
        <w:t>, vol. 12, no. 9, pp. 1620–1633, 2021.</w:t>
      </w:r>
    </w:p>
    <w:p>
      <w:pPr>
        <w:ind w:left="360" w:hanging="360"/>
        <w:jc w:val="both"/>
      </w:pPr>
      <w:r>
        <w:rPr>
          <w:rFonts w:ascii="Times New Roman" w:hAnsi="Times New Roman"/>
          <w:b w:val="0"/>
          <w:i w:val="0"/>
          <w:sz w:val="16"/>
        </w:rPr>
        <w:t xml:space="preserve">[13] </w:t>
      </w:r>
      <w:r>
        <w:rPr>
          <w:rFonts w:ascii="Times New Roman" w:hAnsi="Times New Roman"/>
          <w:b w:val="0"/>
          <w:i w:val="0"/>
          <w:sz w:val="16"/>
        </w:rPr>
        <w:t xml:space="preserve">J. Verbesselt, R. Hyndman, G. Newnham, and D. Culvenor, “Detecting trend and seasonal changes in satellite image time series,” </w:t>
      </w:r>
      <w:r>
        <w:rPr>
          <w:rFonts w:ascii="Times New Roman" w:hAnsi="Times New Roman"/>
          <w:b w:val="0"/>
          <w:i/>
          <w:sz w:val="16"/>
        </w:rPr>
        <w:t>Remote Sens. Environ.</w:t>
      </w:r>
      <w:r>
        <w:rPr>
          <w:rFonts w:ascii="Times New Roman" w:hAnsi="Times New Roman"/>
          <w:b w:val="0"/>
          <w:i w:val="0"/>
          <w:sz w:val="16"/>
        </w:rPr>
        <w:t>, vol. 114, no. 1, pp. 106–115, 2010.</w:t>
      </w:r>
    </w:p>
    <w:p>
      <w:pPr>
        <w:ind w:left="360" w:hanging="360"/>
        <w:jc w:val="both"/>
      </w:pPr>
      <w:r>
        <w:rPr>
          <w:rFonts w:ascii="Times New Roman" w:hAnsi="Times New Roman"/>
          <w:b w:val="0"/>
          <w:i w:val="0"/>
          <w:sz w:val="16"/>
        </w:rPr>
        <w:t xml:space="preserve">[14] </w:t>
      </w:r>
      <w:r>
        <w:rPr>
          <w:rFonts w:ascii="Times New Roman" w:hAnsi="Times New Roman"/>
          <w:b w:val="0"/>
          <w:i w:val="0"/>
          <w:sz w:val="16"/>
        </w:rPr>
        <w:t xml:space="preserve">M. C. Hansen et al., “High-resolution global maps of 21st-century forest cover change,” </w:t>
      </w:r>
      <w:r>
        <w:rPr>
          <w:rFonts w:ascii="Times New Roman" w:hAnsi="Times New Roman"/>
          <w:b w:val="0"/>
          <w:i/>
          <w:sz w:val="16"/>
        </w:rPr>
        <w:t>Science</w:t>
      </w:r>
      <w:r>
        <w:rPr>
          <w:rFonts w:ascii="Times New Roman" w:hAnsi="Times New Roman"/>
          <w:b w:val="0"/>
          <w:i w:val="0"/>
          <w:sz w:val="16"/>
        </w:rPr>
        <w:t>, vol. 342, pp. 850–853, 2013.</w:t>
      </w:r>
    </w:p>
    <w:p>
      <w:pPr>
        <w:ind w:left="360" w:hanging="360"/>
        <w:jc w:val="both"/>
      </w:pPr>
      <w:r>
        <w:rPr>
          <w:rFonts w:ascii="Times New Roman" w:hAnsi="Times New Roman"/>
          <w:b w:val="0"/>
          <w:i w:val="0"/>
          <w:sz w:val="16"/>
        </w:rPr>
        <w:t xml:space="preserve">[15] </w:t>
      </w:r>
      <w:r>
        <w:rPr>
          <w:rFonts w:ascii="Times New Roman" w:hAnsi="Times New Roman"/>
          <w:b w:val="0"/>
          <w:i w:val="0"/>
          <w:sz w:val="16"/>
        </w:rPr>
        <w:t xml:space="preserve">J. Reiche et al., “Forest disturbance alerts for the Congo Basin using Sentinel-1,” </w:t>
      </w:r>
      <w:r>
        <w:rPr>
          <w:rFonts w:ascii="Times New Roman" w:hAnsi="Times New Roman"/>
          <w:b w:val="0"/>
          <w:i/>
          <w:sz w:val="16"/>
        </w:rPr>
        <w:t>Environ. Res. Lett.</w:t>
      </w:r>
      <w:r>
        <w:rPr>
          <w:rFonts w:ascii="Times New Roman" w:hAnsi="Times New Roman"/>
          <w:b w:val="0"/>
          <w:i w:val="0"/>
          <w:sz w:val="16"/>
        </w:rPr>
        <w:t>, vol. 16, no. 2, 024005, 2021.</w:t>
      </w:r>
    </w:p>
    <w:p>
      <w:pPr>
        <w:ind w:left="360" w:hanging="360"/>
        <w:jc w:val="both"/>
      </w:pPr>
      <w:r>
        <w:rPr>
          <w:rFonts w:ascii="Times New Roman" w:hAnsi="Times New Roman"/>
          <w:b w:val="0"/>
          <w:i w:val="0"/>
          <w:sz w:val="16"/>
        </w:rPr>
        <w:t xml:space="preserve">[16] </w:t>
      </w:r>
      <w:r>
        <w:rPr>
          <w:rFonts w:ascii="Times New Roman" w:hAnsi="Times New Roman"/>
          <w:b w:val="0"/>
          <w:i w:val="0"/>
          <w:sz w:val="16"/>
        </w:rPr>
        <w:t xml:space="preserve">S. Kéfi et al., “Spatial vegetation patterns and imminent desertification in Mediterranean arid ecosystems,” </w:t>
      </w:r>
      <w:r>
        <w:rPr>
          <w:rFonts w:ascii="Times New Roman" w:hAnsi="Times New Roman"/>
          <w:b w:val="0"/>
          <w:i/>
          <w:sz w:val="16"/>
        </w:rPr>
        <w:t>Nature</w:t>
      </w:r>
      <w:r>
        <w:rPr>
          <w:rFonts w:ascii="Times New Roman" w:hAnsi="Times New Roman"/>
          <w:b w:val="0"/>
          <w:i w:val="0"/>
          <w:sz w:val="16"/>
        </w:rPr>
        <w:t>, vol. 449, pp. 213–217, 2007.</w:t>
      </w:r>
    </w:p>
    <w:p>
      <w:pPr>
        <w:ind w:left="360" w:hanging="360"/>
        <w:jc w:val="both"/>
      </w:pPr>
      <w:r>
        <w:rPr>
          <w:rFonts w:ascii="Times New Roman" w:hAnsi="Times New Roman"/>
          <w:b w:val="0"/>
          <w:i w:val="0"/>
          <w:sz w:val="16"/>
        </w:rPr>
        <w:t xml:space="preserve">[17] </w:t>
      </w:r>
      <w:r>
        <w:rPr>
          <w:rFonts w:ascii="Times New Roman" w:hAnsi="Times New Roman"/>
          <w:b w:val="0"/>
          <w:i w:val="0"/>
          <w:sz w:val="16"/>
        </w:rPr>
        <w:t>D. Zanaga et al., “ESA WorldCover 10 m 2021 v200,” Zenodo, 2022, doi: 10.5281/zenodo.7254221.</w:t>
      </w:r>
    </w:p>
    <w:p>
      <w:pPr>
        <w:ind w:left="360" w:hanging="360"/>
        <w:jc w:val="both"/>
      </w:pPr>
      <w:r>
        <w:rPr>
          <w:rFonts w:ascii="Times New Roman" w:hAnsi="Times New Roman"/>
          <w:b w:val="0"/>
          <w:i w:val="0"/>
          <w:sz w:val="16"/>
        </w:rPr>
        <w:t xml:space="preserve">[18] </w:t>
      </w:r>
      <w:r>
        <w:rPr>
          <w:rFonts w:ascii="Times New Roman" w:hAnsi="Times New Roman"/>
          <w:b w:val="0"/>
          <w:i w:val="0"/>
          <w:sz w:val="16"/>
        </w:rPr>
        <w:t xml:space="preserve">G. Ke et al., “LightGBM: A highly efficient gradient boosting decision tree,” in </w:t>
      </w:r>
      <w:r>
        <w:rPr>
          <w:rFonts w:ascii="Times New Roman" w:hAnsi="Times New Roman"/>
          <w:b w:val="0"/>
          <w:i/>
          <w:sz w:val="16"/>
        </w:rPr>
        <w:t>Proc. NeurIPS</w:t>
      </w:r>
      <w:r>
        <w:rPr>
          <w:rFonts w:ascii="Times New Roman" w:hAnsi="Times New Roman"/>
          <w:b w:val="0"/>
          <w:i w:val="0"/>
          <w:sz w:val="16"/>
        </w:rPr>
        <w:t>, 2017, pp. 3146–3154.</w:t>
      </w:r>
    </w:p>
    <w:p>
      <w:pPr>
        <w:ind w:left="360" w:hanging="360"/>
        <w:jc w:val="both"/>
      </w:pPr>
      <w:r>
        <w:rPr>
          <w:rFonts w:ascii="Times New Roman" w:hAnsi="Times New Roman"/>
          <w:b w:val="0"/>
          <w:i w:val="0"/>
          <w:sz w:val="16"/>
        </w:rPr>
        <w:t xml:space="preserve">[19] </w:t>
      </w:r>
      <w:r>
        <w:rPr>
          <w:rFonts w:ascii="Times New Roman" w:hAnsi="Times New Roman"/>
          <w:b w:val="0"/>
          <w:i w:val="0"/>
          <w:sz w:val="16"/>
        </w:rPr>
        <w:t xml:space="preserve">B. Zadrozny and C. Elkan, “Transforming classifier scores into accurate multiclass probability estimates,” in </w:t>
      </w:r>
      <w:r>
        <w:rPr>
          <w:rFonts w:ascii="Times New Roman" w:hAnsi="Times New Roman"/>
          <w:b w:val="0"/>
          <w:i/>
          <w:sz w:val="16"/>
        </w:rPr>
        <w:t>Proc. ACM SIGKDD</w:t>
      </w:r>
      <w:r>
        <w:rPr>
          <w:rFonts w:ascii="Times New Roman" w:hAnsi="Times New Roman"/>
          <w:b w:val="0"/>
          <w:i w:val="0"/>
          <w:sz w:val="16"/>
        </w:rPr>
        <w:t>, 2002, pp. 694–699.</w:t>
      </w:r>
    </w:p>
    <w:p>
      <w:pPr>
        <w:ind w:left="360" w:hanging="360"/>
        <w:jc w:val="both"/>
      </w:pPr>
      <w:r>
        <w:rPr>
          <w:rFonts w:ascii="Times New Roman" w:hAnsi="Times New Roman"/>
          <w:b w:val="0"/>
          <w:i w:val="0"/>
          <w:sz w:val="16"/>
        </w:rPr>
        <w:t xml:space="preserve">[20] </w:t>
      </w:r>
      <w:r>
        <w:rPr>
          <w:rFonts w:ascii="Times New Roman" w:hAnsi="Times New Roman"/>
          <w:b w:val="0"/>
          <w:i w:val="0"/>
          <w:sz w:val="16"/>
        </w:rPr>
        <w:t xml:space="preserve">V. Vovk, A. Gammerman, and G. Shafer, </w:t>
      </w:r>
      <w:r>
        <w:rPr>
          <w:rFonts w:ascii="Times New Roman" w:hAnsi="Times New Roman"/>
          <w:b w:val="0"/>
          <w:i/>
          <w:sz w:val="16"/>
        </w:rPr>
        <w:t>Algorithmic Learning in a Random World</w:t>
      </w:r>
      <w:r>
        <w:rPr>
          <w:rFonts w:ascii="Times New Roman" w:hAnsi="Times New Roman"/>
          <w:b w:val="0"/>
          <w:i w:val="0"/>
          <w:sz w:val="16"/>
        </w:rPr>
        <w:t>. New York, NY, USA: Springer, 2005.</w:t>
      </w:r>
    </w:p>
    <w:p>
      <w:pPr>
        <w:ind w:left="360" w:hanging="360"/>
        <w:jc w:val="both"/>
      </w:pPr>
      <w:r>
        <w:rPr>
          <w:rFonts w:ascii="Times New Roman" w:hAnsi="Times New Roman"/>
          <w:b w:val="0"/>
          <w:i w:val="0"/>
          <w:sz w:val="16"/>
        </w:rPr>
        <w:t xml:space="preserve">[21] </w:t>
      </w:r>
      <w:r>
        <w:rPr>
          <w:rFonts w:ascii="Times New Roman" w:hAnsi="Times New Roman"/>
          <w:b w:val="0"/>
          <w:i w:val="0"/>
          <w:sz w:val="16"/>
        </w:rPr>
        <w:t xml:space="preserve">A. N. Angelopoulos and S. Bates, “Conformal prediction: A gentle introduction,” </w:t>
      </w:r>
      <w:r>
        <w:rPr>
          <w:rFonts w:ascii="Times New Roman" w:hAnsi="Times New Roman"/>
          <w:b w:val="0"/>
          <w:i/>
          <w:sz w:val="16"/>
        </w:rPr>
        <w:t>Found. Trends Mach. Learn.</w:t>
      </w:r>
      <w:r>
        <w:rPr>
          <w:rFonts w:ascii="Times New Roman" w:hAnsi="Times New Roman"/>
          <w:b w:val="0"/>
          <w:i w:val="0"/>
          <w:sz w:val="16"/>
        </w:rPr>
        <w:t>, vol. 16, no. 4, pp. 494–591, 2023.</w:t>
      </w:r>
    </w:p>
    <w:p>
      <w:pPr>
        <w:ind w:left="360" w:hanging="360"/>
        <w:jc w:val="both"/>
      </w:pPr>
      <w:r>
        <w:rPr>
          <w:rFonts w:ascii="Times New Roman" w:hAnsi="Times New Roman"/>
          <w:b w:val="0"/>
          <w:i w:val="0"/>
          <w:sz w:val="16"/>
        </w:rPr>
        <w:t xml:space="preserve">[22] </w:t>
      </w:r>
      <w:r>
        <w:rPr>
          <w:rFonts w:ascii="Times New Roman" w:hAnsi="Times New Roman"/>
          <w:b w:val="0"/>
          <w:i w:val="0"/>
          <w:sz w:val="16"/>
        </w:rPr>
        <w:t xml:space="preserve">C. Northcutt, L. Jiang, and I. Chuang, “Confident learning: Estimating uncertainty in dataset labels,” </w:t>
      </w:r>
      <w:r>
        <w:rPr>
          <w:rFonts w:ascii="Times New Roman" w:hAnsi="Times New Roman"/>
          <w:b w:val="0"/>
          <w:i/>
          <w:sz w:val="16"/>
        </w:rPr>
        <w:t>J. Artif. Intell. Res.</w:t>
      </w:r>
      <w:r>
        <w:rPr>
          <w:rFonts w:ascii="Times New Roman" w:hAnsi="Times New Roman"/>
          <w:b w:val="0"/>
          <w:i w:val="0"/>
          <w:sz w:val="16"/>
        </w:rPr>
        <w:t>, vol. 70, pp. 1373–1411, 2021.</w:t>
      </w:r>
    </w:p>
    <w:p>
      <w:pPr>
        <w:ind w:left="360" w:hanging="360"/>
        <w:jc w:val="both"/>
      </w:pPr>
      <w:r>
        <w:rPr>
          <w:rFonts w:ascii="Times New Roman" w:hAnsi="Times New Roman"/>
          <w:b w:val="0"/>
          <w:i w:val="0"/>
          <w:sz w:val="16"/>
        </w:rPr>
        <w:t xml:space="preserve">[23] </w:t>
      </w:r>
      <w:r>
        <w:rPr>
          <w:rFonts w:ascii="Times New Roman" w:hAnsi="Times New Roman"/>
          <w:b w:val="0"/>
          <w:i w:val="0"/>
          <w:sz w:val="16"/>
        </w:rPr>
        <w:t xml:space="preserve">M. Drusch et al., “Sentinel-2: ESA's optical high-resolution mission for GMES operational services,” </w:t>
      </w:r>
      <w:r>
        <w:rPr>
          <w:rFonts w:ascii="Times New Roman" w:hAnsi="Times New Roman"/>
          <w:b w:val="0"/>
          <w:i/>
          <w:sz w:val="16"/>
        </w:rPr>
        <w:t>Remote Sens. Environ.</w:t>
      </w:r>
      <w:r>
        <w:rPr>
          <w:rFonts w:ascii="Times New Roman" w:hAnsi="Times New Roman"/>
          <w:b w:val="0"/>
          <w:i w:val="0"/>
          <w:sz w:val="16"/>
        </w:rPr>
        <w:t>, vol. 120, pp. 25–36, 2012.</w:t>
      </w:r>
    </w:p>
    <w:p>
      <w:pPr>
        <w:ind w:left="360" w:hanging="360"/>
        <w:jc w:val="both"/>
      </w:pPr>
      <w:r>
        <w:rPr>
          <w:rFonts w:ascii="Times New Roman" w:hAnsi="Times New Roman"/>
          <w:b w:val="0"/>
          <w:i w:val="0"/>
          <w:sz w:val="16"/>
        </w:rPr>
        <w:t xml:space="preserve">[24] </w:t>
      </w:r>
      <w:r>
        <w:rPr>
          <w:rFonts w:ascii="Times New Roman" w:hAnsi="Times New Roman"/>
          <w:b w:val="0"/>
          <w:i w:val="0"/>
          <w:sz w:val="16"/>
        </w:rPr>
        <w:t xml:space="preserve">J. Muñoz-Sabater et al., “ERA5-Land: A state-of-the-art global reanalysis dataset for land applications,” </w:t>
      </w:r>
      <w:r>
        <w:rPr>
          <w:rFonts w:ascii="Times New Roman" w:hAnsi="Times New Roman"/>
          <w:b w:val="0"/>
          <w:i/>
          <w:sz w:val="16"/>
        </w:rPr>
        <w:t>Earth Syst. Sci. Data</w:t>
      </w:r>
      <w:r>
        <w:rPr>
          <w:rFonts w:ascii="Times New Roman" w:hAnsi="Times New Roman"/>
          <w:b w:val="0"/>
          <w:i w:val="0"/>
          <w:sz w:val="16"/>
        </w:rPr>
        <w:t>, vol. 13, pp. 4349–4383, 2021.</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 of Persistent Land Degradation from Sentinel-2 Time Series</dc:title>
  <dc:subject/>
  <dc:creator>Ankur Bhattarai</dc:creator>
  <cp:keywords/>
  <dc:description>generated by python-docx</dc:description>
  <cp:lastModifiedBy/>
  <cp:revision>1</cp:revision>
  <dcterms:created xsi:type="dcterms:W3CDTF">2013-12-23T23:15:00Z</dcterms:created>
  <dcterms:modified xsi:type="dcterms:W3CDTF">2013-12-23T23:15:00Z</dcterms:modified>
  <cp:category/>
</cp:coreProperties>
</file>