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i w:val="1"/>
          <w:sz w:val="60"/>
          <w:szCs w:val="6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60"/>
          <w:szCs w:val="60"/>
          <w:u w:val="single"/>
          <w:rtl w:val="0"/>
        </w:rPr>
        <w:t xml:space="preserve">StockGro Final Project Report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xs63mhz6xjbk" w:id="0"/>
      <w:bookmarkEnd w:id="0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1. Methodology and Models Used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applies time series forecasting and risk-aware portfolio construction using historical stock data (2020–2024). We use the following models:</w:t>
        <w:br w:type="textWrapping"/>
        <w:br w:type="textWrapping"/>
        <w:t xml:space="preserve"> - ARIMA: Linear model capturing autocorrelations, tuned with default (5,1,0) order.</w:t>
        <w:br w:type="textWrapping"/>
        <w:t xml:space="preserve"> - Prophet: Additive model suited for trend and seasonality, with 2-day ahead prediction.</w:t>
        <w:br w:type="textWrapping"/>
        <w:t xml:space="preserve"> - LSTM: Deep learning model capturing non-linear temporal patterns using sequences of 60 days to predict next 2 days.</w:t>
        <w:br w:type="textWrapping"/>
        <w:br w:type="textWrapping"/>
        <w:t xml:space="preserve"> Evaluation metrics include MAPE, RMSE, and directional accuracy. Portfolio allocation combines forecast-guided allocation and volatility-aware sizing.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20j80xg69dfp" w:id="1"/>
      <w:bookmarkEnd w:id="1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2. Stock Selection Rationale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selected 10 diversified NSE-listed stocks based on:</w:t>
        <w:br w:type="textWrapping"/>
        <w:t xml:space="preserve"> - Sector coverage (IT, banking, FMCG, energy, pharma, auto, infra)</w:t>
        <w:br w:type="textWrapping"/>
        <w:t xml:space="preserve"> - Volatility and trend decomposition</w:t>
        <w:br w:type="textWrapping"/>
        <w:t xml:space="preserve"> - Popularity and liquidity</w:t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Selected Stocks by Sector: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40"/>
        <w:tblGridChange w:id="0">
          <w:tblGrid>
            <w:gridCol w:w="4470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Sector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RELIANCE.NS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Energy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INFY.NS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HDFCBANK.NS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Banking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TCS.NS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ITC.NS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FMCG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Infra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SUNPHARMA.NS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Pharma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MARUTI.NS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ADANIGREEN.NS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Renewable Energy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HINDUNILVR.NS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FMCG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uqxrk673w36y" w:id="2"/>
      <w:bookmarkEnd w:id="2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3. Forecast Results and Confidence Intervals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forecasted 2 trading days ahead using ARIMA, Prophet, and LSTM. Here’s a sample comparison for INFY:</w:t>
        <w:br w:type="textWrapping"/>
        <w:br w:type="textWrapping"/>
        <w:t xml:space="preserve"> | Model  | MAPE   | RMSE  | Direction Accuracy |</w:t>
        <w:br w:type="textWrapping"/>
        <w:t xml:space="preserve"> |--------|--------|-------|---------------------|</w:t>
        <w:br w:type="textWrapping"/>
        <w:t xml:space="preserve"> | ARIMA  | 0.0083 | 12.56 | Yes             </w:t>
        <w:tab/>
        <w:t xml:space="preserve">|</w:t>
        <w:br w:type="textWrapping"/>
        <w:t xml:space="preserve"> | Prophet| 0.0921 | 29.03 | No                  |</w:t>
        <w:br w:type="textWrapping"/>
        <w:t xml:space="preserve"> | LSTM   | 0.0045 | 10.14 | Yes             </w:t>
        <w:tab/>
        <w:t xml:space="preserve">|</w:t>
        <w:br w:type="textWrapping"/>
        <w:br w:type="textWrapping"/>
        <w:t xml:space="preserve"> Prophet tends to underperform due to trend extrapolation. LSTM generally had the lowest errors.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706f2577bedd" w:id="3"/>
      <w:bookmarkEnd w:id="3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4. Portfolio Composition and Rationale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Weights were assigned using a combination of forecasted mean returns and 10-day rolling volatility.</w:t>
        <w:br w:type="textWrapping"/>
        <w:br w:type="textWrapping"/>
        <w:t xml:space="preserve"> | Stock     </w:t>
        <w:tab/>
        <w:t xml:space="preserve">| Weight (%) |</w:t>
        <w:br w:type="textWrapping"/>
        <w:t xml:space="preserve"> |---------------|------------|</w:t>
        <w:br w:type="textWrapping"/>
        <w:t xml:space="preserve"> | INFY.NS   </w:t>
        <w:tab/>
        <w:t xml:space="preserve">| 14.7   </w:t>
        <w:tab/>
        <w:t xml:space="preserve">|</w:t>
        <w:br w:type="textWrapping"/>
        <w:t xml:space="preserve"> | SUNPHARMA.NS  | 13.4   </w:t>
        <w:tab/>
        <w:t xml:space="preserve">|</w:t>
        <w:br w:type="textWrapping"/>
        <w:t xml:space="preserve"> | TCS.NS    </w:t>
        <w:tab/>
        <w:t xml:space="preserve">| 12.2   </w:t>
        <w:tab/>
        <w:t xml:space="preserve">|</w:t>
        <w:br w:type="textWrapping"/>
        <w:t xml:space="preserve"> | MARUTI.NS </w:t>
        <w:tab/>
        <w:t xml:space="preserve">| 11.8   </w:t>
        <w:tab/>
        <w:t xml:space="preserve">|</w:t>
        <w:br w:type="textWrapping"/>
        <w:t xml:space="preserve"> | ITC.NS    </w:t>
        <w:tab/>
        <w:t xml:space="preserve">| 10.6   </w:t>
        <w:tab/>
        <w:t xml:space="preserve">|</w:t>
        <w:br w:type="textWrapping"/>
        <w:t xml:space="preserve"> | RELIANCE.NS   | 10.1   </w:t>
        <w:tab/>
        <w:t xml:space="preserve">|</w:t>
        <w:br w:type="textWrapping"/>
        <w:t xml:space="preserve"> | ADANIGREEN.NS | 9.4    </w:t>
        <w:tab/>
        <w:t xml:space="preserve">|</w:t>
        <w:br w:type="textWrapping"/>
        <w:t xml:space="preserve"> | LT.NS     </w:t>
        <w:tab/>
        <w:t xml:space="preserve">| 8.3    </w:t>
        <w:tab/>
        <w:t xml:space="preserve">|</w:t>
        <w:br w:type="textWrapping"/>
        <w:t xml:space="preserve"> | HDFCBANK.NS   | 5.4    </w:t>
        <w:tab/>
        <w:t xml:space="preserve">|</w:t>
        <w:br w:type="textWrapping"/>
        <w:t xml:space="preserve"> | HINDUNILVR.NS | 4.1    </w:t>
        <w:tab/>
        <w:t xml:space="preserve">|</w:t>
        <w:br w:type="textWrapping"/>
        <w:br w:type="textWrapping"/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7c6gk4iracz6" w:id="4"/>
      <w:bookmarkEnd w:id="4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5. Performance on StockGro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Turnover: ₹79,99,385.15</w:t>
        <w:br w:type="textWrapping"/>
        <w:t xml:space="preserve"> Transaction Charges: ₹7,614.85</w:t>
        <w:br w:type="textWrapping"/>
        <w:t xml:space="preserve"> Net Portfolio Value: ₹79,76,297.61</w:t>
        <w:br w:type="textWrapping"/>
        <w:br w:type="textWrapping"/>
        <w:t xml:space="preserve"> Top profitable trades:</w:t>
        <w:br w:type="textWrapping"/>
        <w:t xml:space="preserve"> - MARUTI: ₹1635.48</w:t>
        <w:br w:type="textWrapping"/>
        <w:t xml:space="preserve"> - TCS: ₹1575.00</w:t>
        <w:br w:type="textWrapping"/>
        <w:t xml:space="preserve"> - ITC: ₹1105.17</w:t>
        <w:br w:type="textWrapping"/>
        <w:t xml:space="preserve"> - SUNPHARMA: ₹1328.78</w:t>
        <w:br w:type="textWrapping"/>
        <w:t xml:space="preserve"> - ADANI GREEN: ₹1235.52</w:t>
        <w:br w:type="textWrapping"/>
        <w:br w:type="textWrapping"/>
        <w:t xml:space="preserve"> Major losses were small (e.g., HINDUNILEVER: -₹1588.04).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zcbnzgk7oaje" w:id="5"/>
      <w:bookmarkEnd w:id="5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6. Model Accuracy and Prediction vs Reality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ARIMA and LSTM were reliable. Prophet underperformed on short horizons.</w:t>
        <w:br w:type="textWrapping"/>
        <w:br w:type="textWrapping"/>
        <w:t xml:space="preserve"> Example (INFY last 2 days):</w:t>
        <w:br w:type="textWrapping"/>
        <w:t xml:space="preserve"> - Actual: ₹1556.68 → ₹1569.45</w:t>
        <w:br w:type="textWrapping"/>
        <w:t xml:space="preserve"> - LSTM: ₹1554.01 → ₹1568.99</w:t>
        <w:br w:type="textWrapping"/>
        <w:t xml:space="preserve"> - Prophet: over-smoothed trend</w:t>
        <w:br w:type="textWrapping"/>
        <w:br w:type="textWrapping"/>
        <w:t xml:space="preserve"> LSTM outperformed due to better handling of short-term volatility.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2fvjfjjppwvz" w:id="6"/>
      <w:bookmarkEnd w:id="6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7. Reflections: What Worked, What Didn’t, What You’d Improve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Worked:</w:t>
        <w:br w:type="textWrapping"/>
        <w:t xml:space="preserve"> - LSTM forecasts were closest to actual</w:t>
        <w:br w:type="textWrapping"/>
        <w:t xml:space="preserve"> - Volatility-aware allocation reduced losses</w:t>
        <w:br w:type="textWrapping"/>
        <w:t xml:space="preserve"> - Sectoral diversification mitigated risk</w:t>
        <w:br w:type="textWrapping"/>
        <w:br w:type="textWrapping"/>
        <w:t xml:space="preserve"> What Didn’t:</w:t>
        <w:br w:type="textWrapping"/>
        <w:t xml:space="preserve"> - Prophet was weak for 2-day horizons</w:t>
        <w:br w:type="textWrapping"/>
        <w:t xml:space="preserve"> - Some trades (e.g. HINDUNILVR) gave unexpected outcomes</w:t>
        <w:br w:type="textWrapping"/>
        <w:br w:type="textWrapping"/>
        <w:t xml:space="preserve"> Improvements:</w:t>
        <w:br w:type="textWrapping"/>
        <w:t xml:space="preserve"> - Use log returns as features</w:t>
        <w:br w:type="textWrapping"/>
        <w:t xml:space="preserve"> - Add ensemble models for better stability</w:t>
        <w:br w:type="textWrapping"/>
        <w:t xml:space="preserve"> - Consider using GARCH for volatility modeling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