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COMMAS</w:t>
      </w:r>
    </w:p>
    <w:p>
      <w:pPr>
        <w:pStyle w:val="Title"/>
        <w:jc w:val="center"/>
      </w:pPr>
      <w:r>
        <w:t>AI Evidence Copilot</w:t>
        <w:br/>
        <w:t>for Resolution Center</w:t>
      </w:r>
    </w:p>
    <w:p>
      <w:pPr>
        <w:jc w:val="center"/>
      </w:pPr>
      <w:r>
        <w:rPr>
          <w:sz w:val="24"/>
        </w:rPr>
        <w:t>Product concept • Prototype specification • Interview demo</w:t>
      </w:r>
    </w:p>
    <w:p>
      <w:pPr>
        <w:jc w:val="center"/>
      </w:pPr>
      <w:r>
        <w:rPr>
          <w:sz w:val="20"/>
        </w:rPr>
        <w:t>August 2026</w:t>
      </w:r>
    </w:p>
    <w:p/>
    <w:p>
      <w:pPr>
        <w:pStyle w:val="Callout"/>
      </w:pPr>
      <w:r>
        <w:t>Core idea: Turn Commas' existing dispute-evidence checklist into a one-click AI investigation that assembles the strongest available evidence, explains why each item matters, and leaves the final decision and submission with the seller.</w:t>
      </w:r>
    </w:p>
    <w:p>
      <w:pPr>
        <w:pStyle w:val="Heading1"/>
      </w:pPr>
      <w:r>
        <w:t>Executive Summary</w:t>
      </w:r>
    </w:p>
    <w:p>
      <w:r>
        <w:t>Chargebacks create a high-friction workflow inside Resolution Center. The seller has to understand the dispute, find the relevant evidence across the customer journey, assemble a coherent response, verify that the evidence is accurate, and submit it before the response deadline. Commas already defines the evidence categories sellers should consider. The product opportunity is to operationalize that playbook with AI.</w:t>
      </w:r>
    </w:p>
    <w:p>
      <w:r>
        <w:t>The proposed feature is an AI Evidence Copilot embedded directly inside Resolution Center. A seller opens a dispute and clicks "Collect evidence with AI." The agent gathers the available transaction, customer, product, access, activity, policy, and communication evidence; maps that evidence to the dispute reason; produces a concise case summary; explains why each evidence item matters; and presents a recommended response.</w:t>
      </w:r>
    </w:p>
    <w:p>
      <w:r>
        <w:t>The AI does not automatically submit the case. The intended workflow is: AI does the tedious investigation → human verifies the evidence → human submits the response. This creates a safer product boundary for a financial dispute workflow while preserving a clear audit trail.</w:t>
      </w:r>
    </w:p>
    <w:p>
      <w:pPr>
        <w:pStyle w:val="Heading1"/>
      </w:pPr>
      <w:r>
        <w:t>Product Thesis</w:t>
      </w:r>
    </w:p>
    <w:p>
      <w:pPr>
        <w:pStyle w:val="Callout"/>
      </w:pPr>
      <w:r>
        <w:t>We are not adding an AI chatbot to Resolution Center. We are turning an existing manual evidence-gathering checklist into a one-click investigation.</w:t>
      </w:r>
    </w:p>
    <w:p>
      <w:r>
        <w:t>The strongest version of the concept is not "AI resolves chargebacks." It is "AI prepares the best possible evidence package for a human to review." That framing keeps the feature tightly aligned with the seller's existing job inside Resolution Center.</w:t>
      </w:r>
    </w:p>
    <w:p>
      <w:pPr>
        <w:pStyle w:val="Heading1"/>
      </w:pPr>
      <w:r>
        <w:t>1. User Pain</w:t>
      </w:r>
    </w:p>
    <w:p>
      <w:r>
        <w:t>The seller's problem is not a lack of information in the abstract. It is the time and cognitive effort required to reconstruct what happened between a customer's purchase and the dispute.</w:t>
      </w:r>
    </w:p>
    <w:p>
      <w:pPr>
        <w:pStyle w:val="Callout"/>
      </w:pPr>
      <w:r>
        <w:t>"I have 11 days to respond to this chargeback and I need to find everything that proves this customer actually received what they paid for."</w:t>
      </w:r>
    </w:p>
    <w:p>
      <w:r>
        <w:t>Today, the seller may need to manually assemble evidence such as:</w:t>
      </w:r>
    </w:p>
    <w:p>
      <w:pPr>
        <w:pStyle w:val="ListBullet"/>
        <w:ind w:left="360"/>
      </w:pPr>
      <w:r>
        <w:t>Transaction and payment details</w:t>
      </w:r>
    </w:p>
    <w:p>
      <w:pPr>
        <w:pStyle w:val="ListBullet"/>
        <w:ind w:left="360"/>
      </w:pPr>
      <w:r>
        <w:t>Purchase timestamp and checkout information</w:t>
      </w:r>
    </w:p>
    <w:p>
      <w:pPr>
        <w:pStyle w:val="ListBullet"/>
        <w:ind w:left="360"/>
      </w:pPr>
      <w:r>
        <w:t>Customer identity and account information</w:t>
      </w:r>
    </w:p>
    <w:p>
      <w:pPr>
        <w:pStyle w:val="ListBullet"/>
        <w:ind w:left="360"/>
      </w:pPr>
      <w:r>
        <w:t>IP and device information, where available</w:t>
      </w:r>
    </w:p>
    <w:p>
      <w:pPr>
        <w:pStyle w:val="ListBullet"/>
        <w:ind w:left="360"/>
      </w:pPr>
      <w:r>
        <w:t>Login and account activity</w:t>
      </w:r>
    </w:p>
    <w:p>
      <w:pPr>
        <w:pStyle w:val="ListBullet"/>
        <w:ind w:left="360"/>
      </w:pPr>
      <w:r>
        <w:t>Course, community, webinar, or other access records</w:t>
      </w:r>
    </w:p>
    <w:p>
      <w:pPr>
        <w:pStyle w:val="ListBullet"/>
        <w:ind w:left="360"/>
      </w:pPr>
      <w:r>
        <w:t>Content viewed, sessions, downloads, or other usage signals</w:t>
      </w:r>
    </w:p>
    <w:p>
      <w:pPr>
        <w:pStyle w:val="ListBullet"/>
        <w:ind w:left="360"/>
      </w:pPr>
      <w:r>
        <w:t>Product description and offer details at the time of purchase</w:t>
      </w:r>
    </w:p>
    <w:p>
      <w:pPr>
        <w:pStyle w:val="ListBullet"/>
        <w:ind w:left="360"/>
      </w:pPr>
      <w:r>
        <w:t>Invoices, terms, and refund policy</w:t>
      </w:r>
    </w:p>
    <w:p>
      <w:pPr>
        <w:pStyle w:val="ListBullet"/>
        <w:ind w:left="360"/>
      </w:pPr>
      <w:r>
        <w:t>Customer communications and support history</w:t>
      </w:r>
    </w:p>
    <w:p>
      <w:pPr>
        <w:pStyle w:val="ListBullet"/>
        <w:ind w:left="360"/>
      </w:pPr>
      <w:r>
        <w:t>Previous successful transactions or prior customer behavior</w:t>
      </w:r>
    </w:p>
    <w:p>
      <w:r>
        <w:t>For a coaching business, this is especially painful because fulfillment is often distributed across the same platform's course/community experience and connected systems. The seller knows the customer received value, but proving it can require reconstructing the customer's journey manually.</w:t>
      </w:r>
    </w:p>
    <w:p>
      <w:pPr>
        <w:pStyle w:val="Heading1"/>
      </w:pPr>
      <w:r>
        <w:t>2. Existing Commas Capability</w:t>
      </w:r>
    </w:p>
    <w:p>
      <w:r>
        <w:t>Commas already has most of the ingredients required to make this workflow intelligent. Its public API documentation includes a Disputes API, and its AI Agent/MCP integration exposes real-time access to products, customers, transactions, subscribers, checkout sessions, discount codes, and payment methods. The MCP also supports selected write actions with explicit confirmation.</w:t>
      </w:r>
    </w:p>
    <w:p>
      <w:r>
        <w:t>Commas' public documentation also describes the evidence categories sellers should use when responding to disputes. This means the proposed feature does not require inventing a new dispute-resolution philosophy. It can be built as an intelligent orchestration layer around an existing workflow.</w:t>
      </w:r>
    </w:p>
    <w:p>
      <w:r>
        <w:t>The current Commas product direction also supports the vertical hypothesis. Commas positions itself as one platform for creating, selling, and getting paid online, combining checkouts, funnels, communities, courses, webinars, affiliates, and payments.</w:t>
      </w:r>
    </w:p>
    <w:p>
      <w:pPr>
        <w:pStyle w:val="Callout"/>
      </w:pPr>
      <w:r>
        <w:t>Strategic framing: Commas already owns the payment event and increasingly owns the customer journey around that payment. The AI Evidence Copilot uses that context to reconstruct the customer journey when a dispute occurs.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9EEF5"/>
          </w:tcPr>
          <w:p>
            <w:r/>
            <w:r>
              <w:rPr>
                <w:rFonts w:ascii="Aptos" w:hAnsi="Aptos"/>
                <w:b/>
                <w:sz w:val="19"/>
              </w:rPr>
              <w:t>Existing capability</w:t>
            </w:r>
          </w:p>
        </w:tc>
        <w:tc>
          <w:tcPr>
            <w:tcW w:type="dxa" w:w="3312"/>
            <w:vAlign w:val="center"/>
            <w:shd w:fill="E9EEF5"/>
          </w:tcPr>
          <w:p>
            <w:r/>
            <w:r>
              <w:rPr>
                <w:rFonts w:ascii="Aptos" w:hAnsi="Aptos"/>
                <w:b/>
                <w:sz w:val="19"/>
              </w:rPr>
              <w:t>How it helps</w:t>
            </w:r>
          </w:p>
        </w:tc>
        <w:tc>
          <w:tcPr>
            <w:tcW w:type="dxa" w:w="3312"/>
            <w:vAlign w:val="center"/>
            <w:shd w:fill="E9EEF5"/>
          </w:tcPr>
          <w:p>
            <w:r/>
            <w:r>
              <w:rPr>
                <w:rFonts w:ascii="Aptos" w:hAnsi="Aptos"/>
                <w:b/>
                <w:sz w:val="19"/>
              </w:rPr>
              <w:t>Opportunity</w:t>
            </w:r>
          </w:p>
        </w:tc>
      </w:tr>
      <w:tr>
        <w:tc>
          <w:tcPr>
            <w:tcW w:type="dxa" w:w="3312"/>
            <w:vAlign w:val="center"/>
          </w:tcPr>
          <w:p>
            <w:r/>
            <w:r>
              <w:rPr>
                <w:rFonts w:ascii="Aptos" w:hAnsi="Aptos"/>
                <w:b w:val="0"/>
                <w:sz w:val="19"/>
              </w:rPr>
              <w:t>Transactions / checkout data</w:t>
            </w:r>
          </w:p>
        </w:tc>
        <w:tc>
          <w:tcPr>
            <w:tcW w:type="dxa" w:w="3312"/>
            <w:vAlign w:val="center"/>
          </w:tcPr>
          <w:p>
            <w:r/>
            <w:r>
              <w:rPr>
                <w:rFonts w:ascii="Aptos" w:hAnsi="Aptos"/>
                <w:b w:val="0"/>
                <w:sz w:val="19"/>
              </w:rPr>
              <w:t>Establishes what was purchased, when, and for how much.</w:t>
            </w:r>
          </w:p>
        </w:tc>
        <w:tc>
          <w:tcPr>
            <w:tcW w:type="dxa" w:w="3312"/>
            <w:vAlign w:val="center"/>
          </w:tcPr>
          <w:p>
            <w:r/>
            <w:r>
              <w:rPr>
                <w:rFonts w:ascii="Aptos" w:hAnsi="Aptos"/>
                <w:b w:val="0"/>
                <w:sz w:val="19"/>
              </w:rPr>
              <w:t>Auto-attach verified payment evidence.</w:t>
            </w:r>
          </w:p>
        </w:tc>
      </w:tr>
      <w:tr>
        <w:tc>
          <w:tcPr>
            <w:tcW w:type="dxa" w:w="3312"/>
            <w:vAlign w:val="center"/>
          </w:tcPr>
          <w:p>
            <w:r/>
            <w:r>
              <w:rPr>
                <w:rFonts w:ascii="Aptos" w:hAnsi="Aptos"/>
                <w:b w:val="0"/>
                <w:sz w:val="19"/>
              </w:rPr>
              <w:t>Customer data</w:t>
            </w:r>
          </w:p>
        </w:tc>
        <w:tc>
          <w:tcPr>
            <w:tcW w:type="dxa" w:w="3312"/>
            <w:vAlign w:val="center"/>
          </w:tcPr>
          <w:p>
            <w:r/>
            <w:r>
              <w:rPr>
                <w:rFonts w:ascii="Aptos" w:hAnsi="Aptos"/>
                <w:b w:val="0"/>
                <w:sz w:val="19"/>
              </w:rPr>
              <w:t>Identifies the buyer and connects their activity to the disputed transaction.</w:t>
            </w:r>
          </w:p>
        </w:tc>
        <w:tc>
          <w:tcPr>
            <w:tcW w:type="dxa" w:w="3312"/>
            <w:vAlign w:val="center"/>
          </w:tcPr>
          <w:p>
            <w:r/>
            <w:r>
              <w:rPr>
                <w:rFonts w:ascii="Aptos" w:hAnsi="Aptos"/>
                <w:b w:val="0"/>
                <w:sz w:val="19"/>
              </w:rPr>
              <w:t>Build a customer-level evidence timeline.</w:t>
            </w:r>
          </w:p>
        </w:tc>
      </w:tr>
      <w:tr>
        <w:tc>
          <w:tcPr>
            <w:tcW w:type="dxa" w:w="3312"/>
            <w:vAlign w:val="center"/>
          </w:tcPr>
          <w:p>
            <w:r/>
            <w:r>
              <w:rPr>
                <w:rFonts w:ascii="Aptos" w:hAnsi="Aptos"/>
                <w:b w:val="0"/>
                <w:sz w:val="19"/>
              </w:rPr>
              <w:t>Products / offers</w:t>
            </w:r>
          </w:p>
        </w:tc>
        <w:tc>
          <w:tcPr>
            <w:tcW w:type="dxa" w:w="3312"/>
            <w:vAlign w:val="center"/>
          </w:tcPr>
          <w:p>
            <w:r/>
            <w:r>
              <w:rPr>
                <w:rFonts w:ascii="Aptos" w:hAnsi="Aptos"/>
                <w:b w:val="0"/>
                <w:sz w:val="19"/>
              </w:rPr>
              <w:t>Provides the product or offer context at purchase.</w:t>
            </w:r>
          </w:p>
        </w:tc>
        <w:tc>
          <w:tcPr>
            <w:tcW w:type="dxa" w:w="3312"/>
            <w:vAlign w:val="center"/>
          </w:tcPr>
          <w:p>
            <w:r/>
            <w:r>
              <w:rPr>
                <w:rFonts w:ascii="Aptos" w:hAnsi="Aptos"/>
                <w:b w:val="0"/>
                <w:sz w:val="19"/>
              </w:rPr>
              <w:t>Compare dispute claim against the actual offer.</w:t>
            </w:r>
          </w:p>
        </w:tc>
      </w:tr>
      <w:tr>
        <w:tc>
          <w:tcPr>
            <w:tcW w:type="dxa" w:w="3312"/>
            <w:vAlign w:val="center"/>
          </w:tcPr>
          <w:p>
            <w:r/>
            <w:r>
              <w:rPr>
                <w:rFonts w:ascii="Aptos" w:hAnsi="Aptos"/>
                <w:b w:val="0"/>
                <w:sz w:val="19"/>
              </w:rPr>
              <w:t>Subscribers / subscriptions</w:t>
            </w:r>
          </w:p>
        </w:tc>
        <w:tc>
          <w:tcPr>
            <w:tcW w:type="dxa" w:w="3312"/>
            <w:vAlign w:val="center"/>
          </w:tcPr>
          <w:p>
            <w:r/>
            <w:r>
              <w:rPr>
                <w:rFonts w:ascii="Aptos" w:hAnsi="Aptos"/>
                <w:b w:val="0"/>
                <w:sz w:val="19"/>
              </w:rPr>
              <w:t>Shows recurring relationship and billing state.</w:t>
            </w:r>
          </w:p>
        </w:tc>
        <w:tc>
          <w:tcPr>
            <w:tcW w:type="dxa" w:w="3312"/>
            <w:vAlign w:val="center"/>
          </w:tcPr>
          <w:p>
            <w:r/>
            <w:r>
              <w:rPr>
                <w:rFonts w:ascii="Aptos" w:hAnsi="Aptos"/>
                <w:b w:val="0"/>
                <w:sz w:val="19"/>
              </w:rPr>
              <w:t>Support subscription-related disputes.</w:t>
            </w:r>
          </w:p>
        </w:tc>
      </w:tr>
      <w:tr>
        <w:tc>
          <w:tcPr>
            <w:tcW w:type="dxa" w:w="3312"/>
            <w:vAlign w:val="center"/>
          </w:tcPr>
          <w:p>
            <w:r/>
            <w:r>
              <w:rPr>
                <w:rFonts w:ascii="Aptos" w:hAnsi="Aptos"/>
                <w:b w:val="0"/>
                <w:sz w:val="19"/>
              </w:rPr>
              <w:t>Studio / fulfillment context</w:t>
            </w:r>
          </w:p>
        </w:tc>
        <w:tc>
          <w:tcPr>
            <w:tcW w:type="dxa" w:w="3312"/>
            <w:vAlign w:val="center"/>
          </w:tcPr>
          <w:p>
            <w:r/>
            <w:r>
              <w:rPr>
                <w:rFonts w:ascii="Aptos" w:hAnsi="Aptos"/>
                <w:b w:val="0"/>
                <w:sz w:val="19"/>
              </w:rPr>
              <w:t>Can establish access and usage where available.</w:t>
            </w:r>
          </w:p>
        </w:tc>
        <w:tc>
          <w:tcPr>
            <w:tcW w:type="dxa" w:w="3312"/>
            <w:vAlign w:val="center"/>
          </w:tcPr>
          <w:p>
            <w:r/>
            <w:r>
              <w:rPr>
                <w:rFonts w:ascii="Aptos" w:hAnsi="Aptos"/>
                <w:b w:val="0"/>
                <w:sz w:val="19"/>
              </w:rPr>
              <w:t>Surface access, login, sessions, and content activity.</w:t>
            </w:r>
          </w:p>
        </w:tc>
      </w:tr>
      <w:tr>
        <w:tc>
          <w:tcPr>
            <w:tcW w:type="dxa" w:w="3312"/>
            <w:vAlign w:val="center"/>
          </w:tcPr>
          <w:p>
            <w:r/>
            <w:r>
              <w:rPr>
                <w:rFonts w:ascii="Aptos" w:hAnsi="Aptos"/>
                <w:b w:val="0"/>
                <w:sz w:val="19"/>
              </w:rPr>
              <w:t>Policies / terms</w:t>
            </w:r>
          </w:p>
        </w:tc>
        <w:tc>
          <w:tcPr>
            <w:tcW w:type="dxa" w:w="3312"/>
            <w:vAlign w:val="center"/>
          </w:tcPr>
          <w:p>
            <w:r/>
            <w:r>
              <w:rPr>
                <w:rFonts w:ascii="Aptos" w:hAnsi="Aptos"/>
                <w:b w:val="0"/>
                <w:sz w:val="19"/>
              </w:rPr>
              <w:t>Provides contractual and refund-policy context.</w:t>
            </w:r>
          </w:p>
        </w:tc>
        <w:tc>
          <w:tcPr>
            <w:tcW w:type="dxa" w:w="3312"/>
            <w:vAlign w:val="center"/>
          </w:tcPr>
          <w:p>
            <w:r/>
            <w:r>
              <w:rPr>
                <w:rFonts w:ascii="Aptos" w:hAnsi="Aptos"/>
                <w:b w:val="0"/>
                <w:sz w:val="19"/>
              </w:rPr>
              <w:t>Attach the relevant policy version and acceptance evidence.</w:t>
            </w:r>
          </w:p>
        </w:tc>
      </w:tr>
      <w:tr>
        <w:tc>
          <w:tcPr>
            <w:tcW w:type="dxa" w:w="3312"/>
            <w:vAlign w:val="center"/>
          </w:tcPr>
          <w:p>
            <w:r/>
            <w:r>
              <w:rPr>
                <w:rFonts w:ascii="Aptos" w:hAnsi="Aptos"/>
                <w:b w:val="0"/>
                <w:sz w:val="19"/>
              </w:rPr>
              <w:t>AI Agent / MCP</w:t>
            </w:r>
          </w:p>
        </w:tc>
        <w:tc>
          <w:tcPr>
            <w:tcW w:type="dxa" w:w="3312"/>
            <w:vAlign w:val="center"/>
          </w:tcPr>
          <w:p>
            <w:r/>
            <w:r>
              <w:rPr>
                <w:rFonts w:ascii="Aptos" w:hAnsi="Aptos"/>
                <w:b w:val="0"/>
                <w:sz w:val="19"/>
              </w:rPr>
              <w:t>Already provides an agent interface to Commas data.</w:t>
            </w:r>
          </w:p>
        </w:tc>
        <w:tc>
          <w:tcPr>
            <w:tcW w:type="dxa" w:w="3312"/>
            <w:vAlign w:val="center"/>
          </w:tcPr>
          <w:p>
            <w:r/>
            <w:r>
              <w:rPr>
                <w:rFonts w:ascii="Aptos" w:hAnsi="Aptos"/>
                <w:b w:val="0"/>
                <w:sz w:val="19"/>
              </w:rPr>
              <w:t>Use the same agent primitives behind a focused in-product workflow.</w:t>
            </w:r>
          </w:p>
        </w:tc>
      </w:tr>
    </w:tbl>
    <w:p>
      <w:pPr>
        <w:pStyle w:val="Heading1"/>
      </w:pPr>
      <w:r>
        <w:t>3. Missing Workflow</w:t>
      </w:r>
    </w:p>
    <w:p>
      <w:r>
        <w:t>The gap is not another API endpoint. The gap is the workflow that turns raw platform data into a dispute-ready case.</w:t>
      </w:r>
    </w:p>
    <w:p>
      <w:pPr>
        <w:pStyle w:val="ListNumber"/>
      </w:pPr>
      <w:r>
        <w:t>Understand the dispute reason and what must be proven.</w:t>
      </w:r>
    </w:p>
    <w:p>
      <w:pPr>
        <w:pStyle w:val="ListNumber"/>
      </w:pPr>
      <w:r>
        <w:t>Find the relevant transaction and customer.</w:t>
      </w:r>
    </w:p>
    <w:p>
      <w:pPr>
        <w:pStyle w:val="ListNumber"/>
      </w:pPr>
      <w:r>
        <w:t>Collect the evidence relevant to that dispute type.</w:t>
      </w:r>
    </w:p>
    <w:p>
      <w:pPr>
        <w:pStyle w:val="ListNumber"/>
      </w:pPr>
      <w:r>
        <w:t>Cross-check evidence across the customer journey.</w:t>
      </w:r>
    </w:p>
    <w:p>
      <w:pPr>
        <w:pStyle w:val="ListNumber"/>
      </w:pPr>
      <w:r>
        <w:t>Explain what each piece of evidence proves.</w:t>
      </w:r>
    </w:p>
    <w:p>
      <w:pPr>
        <w:pStyle w:val="ListNumber"/>
      </w:pPr>
      <w:r>
        <w:t>Draft a coherent response using only verified facts.</w:t>
      </w:r>
    </w:p>
    <w:p>
      <w:pPr>
        <w:pStyle w:val="ListNumber"/>
      </w:pPr>
      <w:r>
        <w:t>Let the seller review the evidence and response.</w:t>
      </w:r>
    </w:p>
    <w:p>
      <w:pPr>
        <w:pStyle w:val="ListNumber"/>
      </w:pPr>
      <w:r>
        <w:t>Submit the final response.</w:t>
      </w:r>
    </w:p>
    <w:p>
      <w:r>
        <w:t>Today, these steps are largely the seller's responsibility. The proposed feature compresses steps 1–6 into one AI-assisted investigation, while deliberately keeping steps 7–8 human-controlled.</w:t>
      </w:r>
    </w:p>
    <w:p>
      <w:pPr>
        <w:pStyle w:val="Heading1"/>
      </w:pPr>
      <w:r>
        <w:t>4. AI's Role</w:t>
      </w:r>
    </w:p>
    <w:p>
      <w:r>
        <w:t>The AI should behave like an evidence investigator, not an autonomous decision-maker. It should gather facts, connect them, identify gaps, and draft a response without inventing evidence.</w:t>
      </w:r>
    </w:p>
    <w:p>
      <w:pPr>
        <w:pStyle w:val="Heading2"/>
      </w:pPr>
      <w:r>
        <w:t>Investigation flow</w:t>
      </w:r>
    </w:p>
    <w:p>
      <w:pPr>
        <w:pStyle w:val="ListNumber"/>
      </w:pPr>
      <w:r>
        <w:t>Read the dispute reason and disputed amount.</w:t>
      </w:r>
    </w:p>
    <w:p>
      <w:pPr>
        <w:pStyle w:val="ListNumber"/>
      </w:pPr>
      <w:r>
        <w:t>Retrieve the associated transaction and checkout details.</w:t>
      </w:r>
    </w:p>
    <w:p>
      <w:pPr>
        <w:pStyle w:val="ListNumber"/>
      </w:pPr>
      <w:r>
        <w:t>Identify the product, offer, subscription, or service involved.</w:t>
      </w:r>
    </w:p>
    <w:p>
      <w:pPr>
        <w:pStyle w:val="ListNumber"/>
      </w:pPr>
      <w:r>
        <w:t>Retrieve the customer record and relevant historical transactions.</w:t>
      </w:r>
    </w:p>
    <w:p>
      <w:pPr>
        <w:pStyle w:val="ListNumber"/>
      </w:pPr>
      <w:r>
        <w:t>Collect available access, login, usage, fulfillment, or activity evidence.</w:t>
      </w:r>
    </w:p>
    <w:p>
      <w:pPr>
        <w:pStyle w:val="ListNumber"/>
      </w:pPr>
      <w:r>
        <w:t>Retrieve relevant product descriptions, terms, and refund policies.</w:t>
      </w:r>
    </w:p>
    <w:p>
      <w:pPr>
        <w:pStyle w:val="ListNumber"/>
      </w:pPr>
      <w:r>
        <w:t>Retrieve connected customer communications when an integration makes them available.</w:t>
      </w:r>
    </w:p>
    <w:p>
      <w:pPr>
        <w:pStyle w:val="ListNumber"/>
      </w:pPr>
      <w:r>
        <w:t>Rank evidence by relevance and confidence.</w:t>
      </w:r>
    </w:p>
    <w:p>
      <w:pPr>
        <w:pStyle w:val="ListNumber"/>
      </w:pPr>
      <w:r>
        <w:t>Generate a customer-journey timeline.</w:t>
      </w:r>
    </w:p>
    <w:p>
      <w:pPr>
        <w:pStyle w:val="ListNumber"/>
      </w:pPr>
      <w:r>
        <w:t>Draft a recommended response grounded only in collected evidence.</w:t>
      </w:r>
    </w:p>
    <w:p>
      <w:pPr>
        <w:pStyle w:val="ListNumber"/>
      </w:pPr>
      <w:r>
        <w:t>Flag missing or contradictory evidence for human review.</w:t>
      </w:r>
    </w:p>
    <w:p>
      <w:pPr>
        <w:pStyle w:val="Heading2"/>
      </w:pPr>
      <w:r>
        <w:t>Dispute-specific evidence strategies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9EEF5"/>
          </w:tcPr>
          <w:p>
            <w:r/>
            <w:r>
              <w:rPr>
                <w:rFonts w:ascii="Aptos" w:hAnsi="Aptos"/>
                <w:b/>
                <w:sz w:val="19"/>
              </w:rPr>
              <w:t>Dispute reason</w:t>
            </w:r>
          </w:p>
        </w:tc>
        <w:tc>
          <w:tcPr>
            <w:tcW w:type="dxa" w:w="4968"/>
            <w:vAlign w:val="center"/>
            <w:shd w:fill="E9EEF5"/>
          </w:tcPr>
          <w:p>
            <w:r/>
            <w:r>
              <w:rPr>
                <w:rFonts w:ascii="Aptos" w:hAnsi="Aptos"/>
                <w:b/>
                <w:sz w:val="19"/>
              </w:rPr>
              <w:t>Evidence to prioritize</w:t>
            </w:r>
          </w:p>
        </w:tc>
      </w:tr>
      <w:tr>
        <w:tc>
          <w:tcPr>
            <w:tcW w:type="dxa" w:w="4968"/>
            <w:vAlign w:val="center"/>
          </w:tcPr>
          <w:p>
            <w:r/>
            <w:r>
              <w:rPr>
                <w:rFonts w:ascii="Aptos" w:hAnsi="Aptos"/>
                <w:b/>
                <w:sz w:val="19"/>
              </w:rPr>
              <w:t>Product not received</w:t>
            </w:r>
          </w:p>
        </w:tc>
        <w:tc>
          <w:tcPr>
            <w:tcW w:type="dxa" w:w="4968"/>
            <w:vAlign w:val="center"/>
          </w:tcPr>
          <w:p>
            <w:r/>
            <w:r>
              <w:rPr>
                <w:rFonts w:ascii="Aptos" w:hAnsi="Aptos"/>
                <w:b w:val="0"/>
                <w:sz w:val="19"/>
              </w:rPr>
              <w:t>Purchase → access granted → login → content viewed → downloads → fulfillment/activity</w:t>
            </w:r>
          </w:p>
        </w:tc>
      </w:tr>
      <w:tr>
        <w:tc>
          <w:tcPr>
            <w:tcW w:type="dxa" w:w="4968"/>
            <w:vAlign w:val="center"/>
          </w:tcPr>
          <w:p>
            <w:r/>
            <w:r>
              <w:rPr>
                <w:rFonts w:ascii="Aptos" w:hAnsi="Aptos"/>
                <w:b/>
                <w:sz w:val="19"/>
              </w:rPr>
              <w:t>Not as described</w:t>
            </w:r>
          </w:p>
        </w:tc>
        <w:tc>
          <w:tcPr>
            <w:tcW w:type="dxa" w:w="4968"/>
            <w:vAlign w:val="center"/>
          </w:tcPr>
          <w:p>
            <w:r/>
            <w:r>
              <w:rPr>
                <w:rFonts w:ascii="Aptos" w:hAnsi="Aptos"/>
                <w:b w:val="0"/>
                <w:sz w:val="19"/>
              </w:rPr>
              <w:t>Product description at purchase → actual product delivered → course/community contents → communications → usage</w:t>
            </w:r>
          </w:p>
        </w:tc>
      </w:tr>
      <w:tr>
        <w:tc>
          <w:tcPr>
            <w:tcW w:type="dxa" w:w="4968"/>
            <w:vAlign w:val="center"/>
          </w:tcPr>
          <w:p>
            <w:r/>
            <w:r>
              <w:rPr>
                <w:rFonts w:ascii="Aptos" w:hAnsi="Aptos"/>
                <w:b/>
                <w:sz w:val="19"/>
              </w:rPr>
              <w:t>Fraudulent transaction</w:t>
            </w:r>
          </w:p>
        </w:tc>
        <w:tc>
          <w:tcPr>
            <w:tcW w:type="dxa" w:w="4968"/>
            <w:vAlign w:val="center"/>
          </w:tcPr>
          <w:p>
            <w:r/>
            <w:r>
              <w:rPr>
                <w:rFonts w:ascii="Aptos" w:hAnsi="Aptos"/>
                <w:b w:val="0"/>
                <w:sz w:val="19"/>
              </w:rPr>
              <w:t>IP → device → account history → login activity → previous successful transactions → geographic consistency</w:t>
            </w:r>
          </w:p>
        </w:tc>
      </w:tr>
    </w:tbl>
    <w:p>
      <w:pPr>
        <w:pStyle w:val="Heading2"/>
      </w:pPr>
      <w:r>
        <w:t>The AI should explain why evidence matters</w:t>
      </w:r>
    </w:p>
    <w:p>
      <w:pPr>
        <w:pStyle w:val="Callout"/>
      </w:pPr>
      <w:r>
        <w:t>Login activity: August 3, 10:32 AM</w:t>
        <w:br/>
        <w:br/>
        <w:t>Customer logged into the purchased program 18 hours after purchase.</w:t>
        <w:br/>
        <w:br/>
        <w:t>Why it matters: This supports that the customer was granted access and accessed the purchased service.</w:t>
      </w:r>
    </w:p>
    <w:p>
      <w:pPr>
        <w:pStyle w:val="Heading1"/>
      </w:pPr>
      <w:r>
        <w:t>5. Human-in-the-Loop Safety</w:t>
      </w:r>
    </w:p>
    <w:p>
      <w:r>
        <w:t>Dispute evidence is a financial and potentially consequential workflow. The AI should never silently submit a response or make an irreversible decision. The seller remains accountable for the final case.</w:t>
      </w:r>
    </w:p>
    <w:p>
      <w:pPr>
        <w:pStyle w:val="Heading2"/>
      </w:pPr>
      <w:r>
        <w:t>Proposed operating model</w:t>
      </w:r>
    </w:p>
    <w:p>
      <w:pPr>
        <w:pStyle w:val="Callout"/>
      </w:pPr>
      <w:r>
        <w:t>AI does the tedious work → human verifies → human submits.</w:t>
      </w:r>
    </w:p>
    <w:p>
      <w:r>
        <w:t>The interface should explicitly distinguish between evidence discovered by AI and evidence verified by the human.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9EEF5"/>
          </w:tcPr>
          <w:p>
            <w:r/>
            <w:r>
              <w:rPr>
                <w:rFonts w:ascii="Aptos" w:hAnsi="Aptos"/>
                <w:b/>
                <w:sz w:val="19"/>
              </w:rPr>
              <w:t>Evidence</w:t>
            </w:r>
          </w:p>
        </w:tc>
        <w:tc>
          <w:tcPr>
            <w:tcW w:type="dxa" w:w="3312"/>
            <w:vAlign w:val="center"/>
            <w:shd w:fill="E9EEF5"/>
          </w:tcPr>
          <w:p>
            <w:r/>
            <w:r>
              <w:rPr>
                <w:rFonts w:ascii="Aptos" w:hAnsi="Aptos"/>
                <w:b/>
                <w:sz w:val="19"/>
              </w:rPr>
              <w:t>AI status</w:t>
            </w:r>
          </w:p>
        </w:tc>
        <w:tc>
          <w:tcPr>
            <w:tcW w:type="dxa" w:w="3312"/>
            <w:vAlign w:val="center"/>
            <w:shd w:fill="E9EEF5"/>
          </w:tcPr>
          <w:p>
            <w:r/>
            <w:r>
              <w:rPr>
                <w:rFonts w:ascii="Aptos" w:hAnsi="Aptos"/>
                <w:b/>
                <w:sz w:val="19"/>
              </w:rPr>
              <w:t>Human status</w:t>
            </w:r>
          </w:p>
        </w:tc>
      </w:tr>
      <w:tr>
        <w:tc>
          <w:tcPr>
            <w:tcW w:type="dxa" w:w="3312"/>
            <w:vAlign w:val="center"/>
          </w:tcPr>
          <w:p>
            <w:r/>
            <w:r>
              <w:rPr>
                <w:rFonts w:ascii="Aptos" w:hAnsi="Aptos"/>
                <w:b w:val="0"/>
                <w:sz w:val="19"/>
              </w:rPr>
              <w:t>Transaction receipt</w:t>
            </w:r>
          </w:p>
        </w:tc>
        <w:tc>
          <w:tcPr>
            <w:tcW w:type="dxa" w:w="3312"/>
            <w:vAlign w:val="center"/>
          </w:tcPr>
          <w:p>
            <w:r/>
            <w:r>
              <w:rPr>
                <w:rFonts w:ascii="Aptos" w:hAnsi="Aptos"/>
                <w:b w:val="0"/>
                <w:sz w:val="19"/>
              </w:rPr>
              <w:t>Found</w:t>
            </w:r>
          </w:p>
        </w:tc>
        <w:tc>
          <w:tcPr>
            <w:tcW w:type="dxa" w:w="3312"/>
            <w:vAlign w:val="center"/>
          </w:tcPr>
          <w:p>
            <w:r/>
            <w:r>
              <w:rPr>
                <w:rFonts w:ascii="Aptos" w:hAnsi="Aptos"/>
                <w:b w:val="0"/>
                <w:sz w:val="19"/>
              </w:rPr>
              <w:t>Verified</w:t>
            </w:r>
          </w:p>
        </w:tc>
      </w:tr>
      <w:tr>
        <w:tc>
          <w:tcPr>
            <w:tcW w:type="dxa" w:w="3312"/>
            <w:vAlign w:val="center"/>
          </w:tcPr>
          <w:p>
            <w:r/>
            <w:r>
              <w:rPr>
                <w:rFonts w:ascii="Aptos" w:hAnsi="Aptos"/>
                <w:b w:val="0"/>
                <w:sz w:val="19"/>
              </w:rPr>
              <w:t>Course access timestamp</w:t>
            </w:r>
          </w:p>
        </w:tc>
        <w:tc>
          <w:tcPr>
            <w:tcW w:type="dxa" w:w="3312"/>
            <w:vAlign w:val="center"/>
          </w:tcPr>
          <w:p>
            <w:r/>
            <w:r>
              <w:rPr>
                <w:rFonts w:ascii="Aptos" w:hAnsi="Aptos"/>
                <w:b w:val="0"/>
                <w:sz w:val="19"/>
              </w:rPr>
              <w:t>Found</w:t>
            </w:r>
          </w:p>
        </w:tc>
        <w:tc>
          <w:tcPr>
            <w:tcW w:type="dxa" w:w="3312"/>
            <w:vAlign w:val="center"/>
          </w:tcPr>
          <w:p>
            <w:r/>
            <w:r>
              <w:rPr>
                <w:rFonts w:ascii="Aptos" w:hAnsi="Aptos"/>
                <w:b w:val="0"/>
                <w:sz w:val="19"/>
              </w:rPr>
              <w:t>Verified</w:t>
            </w:r>
          </w:p>
        </w:tc>
      </w:tr>
      <w:tr>
        <w:tc>
          <w:tcPr>
            <w:tcW w:type="dxa" w:w="3312"/>
            <w:vAlign w:val="center"/>
          </w:tcPr>
          <w:p>
            <w:r/>
            <w:r>
              <w:rPr>
                <w:rFonts w:ascii="Aptos" w:hAnsi="Aptos"/>
                <w:b w:val="0"/>
                <w:sz w:val="19"/>
              </w:rPr>
              <w:t>Login history</w:t>
            </w:r>
          </w:p>
        </w:tc>
        <w:tc>
          <w:tcPr>
            <w:tcW w:type="dxa" w:w="3312"/>
            <w:vAlign w:val="center"/>
          </w:tcPr>
          <w:p>
            <w:r/>
            <w:r>
              <w:rPr>
                <w:rFonts w:ascii="Aptos" w:hAnsi="Aptos"/>
                <w:b w:val="0"/>
                <w:sz w:val="19"/>
              </w:rPr>
              <w:t>Found</w:t>
            </w:r>
          </w:p>
        </w:tc>
        <w:tc>
          <w:tcPr>
            <w:tcW w:type="dxa" w:w="3312"/>
            <w:vAlign w:val="center"/>
          </w:tcPr>
          <w:p>
            <w:r/>
            <w:r>
              <w:rPr>
                <w:rFonts w:ascii="Aptos" w:hAnsi="Aptos"/>
                <w:b w:val="0"/>
                <w:sz w:val="19"/>
              </w:rPr>
              <w:t>Verified</w:t>
            </w:r>
          </w:p>
        </w:tc>
      </w:tr>
      <w:tr>
        <w:tc>
          <w:tcPr>
            <w:tcW w:type="dxa" w:w="3312"/>
            <w:vAlign w:val="center"/>
          </w:tcPr>
          <w:p>
            <w:r/>
            <w:r>
              <w:rPr>
                <w:rFonts w:ascii="Aptos" w:hAnsi="Aptos"/>
                <w:b w:val="0"/>
                <w:sz w:val="19"/>
              </w:rPr>
              <w:t>Lesson activity</w:t>
            </w:r>
          </w:p>
        </w:tc>
        <w:tc>
          <w:tcPr>
            <w:tcW w:type="dxa" w:w="3312"/>
            <w:vAlign w:val="center"/>
          </w:tcPr>
          <w:p>
            <w:r/>
            <w:r>
              <w:rPr>
                <w:rFonts w:ascii="Aptos" w:hAnsi="Aptos"/>
                <w:b w:val="0"/>
                <w:sz w:val="19"/>
              </w:rPr>
              <w:t>Found</w:t>
            </w:r>
          </w:p>
        </w:tc>
        <w:tc>
          <w:tcPr>
            <w:tcW w:type="dxa" w:w="3312"/>
            <w:vAlign w:val="center"/>
          </w:tcPr>
          <w:p>
            <w:r/>
            <w:r>
              <w:rPr>
                <w:rFonts w:ascii="Aptos" w:hAnsi="Aptos"/>
                <w:b w:val="0"/>
                <w:sz w:val="19"/>
              </w:rPr>
              <w:t>Needs review</w:t>
            </w:r>
          </w:p>
        </w:tc>
      </w:tr>
      <w:tr>
        <w:tc>
          <w:tcPr>
            <w:tcW w:type="dxa" w:w="3312"/>
            <w:vAlign w:val="center"/>
          </w:tcPr>
          <w:p>
            <w:r/>
            <w:r>
              <w:rPr>
                <w:rFonts w:ascii="Aptos" w:hAnsi="Aptos"/>
                <w:b w:val="0"/>
                <w:sz w:val="19"/>
              </w:rPr>
              <w:t>Product description</w:t>
            </w:r>
          </w:p>
        </w:tc>
        <w:tc>
          <w:tcPr>
            <w:tcW w:type="dxa" w:w="3312"/>
            <w:vAlign w:val="center"/>
          </w:tcPr>
          <w:p>
            <w:r/>
            <w:r>
              <w:rPr>
                <w:rFonts w:ascii="Aptos" w:hAnsi="Aptos"/>
                <w:b w:val="0"/>
                <w:sz w:val="19"/>
              </w:rPr>
              <w:t>Found</w:t>
            </w:r>
          </w:p>
        </w:tc>
        <w:tc>
          <w:tcPr>
            <w:tcW w:type="dxa" w:w="3312"/>
            <w:vAlign w:val="center"/>
          </w:tcPr>
          <w:p>
            <w:r/>
            <w:r>
              <w:rPr>
                <w:rFonts w:ascii="Aptos" w:hAnsi="Aptos"/>
                <w:b w:val="0"/>
                <w:sz w:val="19"/>
              </w:rPr>
              <w:t>Verified</w:t>
            </w:r>
          </w:p>
        </w:tc>
      </w:tr>
      <w:tr>
        <w:tc>
          <w:tcPr>
            <w:tcW w:type="dxa" w:w="3312"/>
            <w:vAlign w:val="center"/>
          </w:tcPr>
          <w:p>
            <w:r/>
            <w:r>
              <w:rPr>
                <w:rFonts w:ascii="Aptos" w:hAnsi="Aptos"/>
                <w:b w:val="0"/>
                <w:sz w:val="19"/>
              </w:rPr>
              <w:t>Terms accepted</w:t>
            </w:r>
          </w:p>
        </w:tc>
        <w:tc>
          <w:tcPr>
            <w:tcW w:type="dxa" w:w="3312"/>
            <w:vAlign w:val="center"/>
          </w:tcPr>
          <w:p>
            <w:r/>
            <w:r>
              <w:rPr>
                <w:rFonts w:ascii="Aptos" w:hAnsi="Aptos"/>
                <w:b w:val="0"/>
                <w:sz w:val="19"/>
              </w:rPr>
              <w:t>Found</w:t>
            </w:r>
          </w:p>
        </w:tc>
        <w:tc>
          <w:tcPr>
            <w:tcW w:type="dxa" w:w="3312"/>
            <w:vAlign w:val="center"/>
          </w:tcPr>
          <w:p>
            <w:r/>
            <w:r>
              <w:rPr>
                <w:rFonts w:ascii="Aptos" w:hAnsi="Aptos"/>
                <w:b w:val="0"/>
                <w:sz w:val="19"/>
              </w:rPr>
              <w:t>Verified</w:t>
            </w:r>
          </w:p>
        </w:tc>
      </w:tr>
      <w:tr>
        <w:tc>
          <w:tcPr>
            <w:tcW w:type="dxa" w:w="3312"/>
            <w:vAlign w:val="center"/>
          </w:tcPr>
          <w:p>
            <w:r/>
            <w:r>
              <w:rPr>
                <w:rFonts w:ascii="Aptos" w:hAnsi="Aptos"/>
                <w:b w:val="0"/>
                <w:sz w:val="19"/>
              </w:rPr>
              <w:t>Refund policy</w:t>
            </w:r>
          </w:p>
        </w:tc>
        <w:tc>
          <w:tcPr>
            <w:tcW w:type="dxa" w:w="3312"/>
            <w:vAlign w:val="center"/>
          </w:tcPr>
          <w:p>
            <w:r/>
            <w:r>
              <w:rPr>
                <w:rFonts w:ascii="Aptos" w:hAnsi="Aptos"/>
                <w:b w:val="0"/>
                <w:sz w:val="19"/>
              </w:rPr>
              <w:t>Found</w:t>
            </w:r>
          </w:p>
        </w:tc>
        <w:tc>
          <w:tcPr>
            <w:tcW w:type="dxa" w:w="3312"/>
            <w:vAlign w:val="center"/>
          </w:tcPr>
          <w:p>
            <w:r/>
            <w:r>
              <w:rPr>
                <w:rFonts w:ascii="Aptos" w:hAnsi="Aptos"/>
                <w:b w:val="0"/>
                <w:sz w:val="19"/>
              </w:rPr>
              <w:t>Verified</w:t>
            </w:r>
          </w:p>
        </w:tc>
      </w:tr>
      <w:tr>
        <w:tc>
          <w:tcPr>
            <w:tcW w:type="dxa" w:w="3312"/>
            <w:vAlign w:val="center"/>
          </w:tcPr>
          <w:p>
            <w:r/>
            <w:r>
              <w:rPr>
                <w:rFonts w:ascii="Aptos" w:hAnsi="Aptos"/>
                <w:b w:val="0"/>
                <w:sz w:val="19"/>
              </w:rPr>
              <w:t>Customer communications</w:t>
            </w:r>
          </w:p>
        </w:tc>
        <w:tc>
          <w:tcPr>
            <w:tcW w:type="dxa" w:w="3312"/>
            <w:vAlign w:val="center"/>
          </w:tcPr>
          <w:p>
            <w:r/>
            <w:r>
              <w:rPr>
                <w:rFonts w:ascii="Aptos" w:hAnsi="Aptos"/>
                <w:b w:val="0"/>
                <w:sz w:val="19"/>
              </w:rPr>
              <w:t>Found</w:t>
            </w:r>
          </w:p>
        </w:tc>
        <w:tc>
          <w:tcPr>
            <w:tcW w:type="dxa" w:w="3312"/>
            <w:vAlign w:val="center"/>
          </w:tcPr>
          <w:p>
            <w:r/>
            <w:r>
              <w:rPr>
                <w:rFonts w:ascii="Aptos" w:hAnsi="Aptos"/>
                <w:b w:val="0"/>
                <w:sz w:val="19"/>
              </w:rPr>
              <w:t>Needs review</w:t>
            </w:r>
          </w:p>
        </w:tc>
      </w:tr>
    </w:tbl>
    <w:p>
      <w:r>
        <w:t>The submit action should remain disabled until required evidence has been reviewed. The system should preserve an audit trail of what the AI found, what the seller verified, what response was submitted, and which evidence was included.</w:t>
      </w:r>
    </w:p>
    <w:p>
      <w:pPr>
        <w:pStyle w:val="Heading1"/>
      </w:pPr>
      <w:r>
        <w:t>6. Concrete UI</w:t>
      </w:r>
    </w:p>
    <w:p>
      <w:r>
        <w:t>The feature should live inside the existing Resolution Center rather than introducing a separate AI destination.</w:t>
      </w:r>
    </w:p>
    <w:p>
      <w:pPr>
        <w:pStyle w:val="Heading2"/>
      </w:pPr>
      <w:r>
        <w:t>Entry point</w:t>
      </w:r>
    </w:p>
    <w:p>
      <w:pPr>
        <w:spacing w:before="60" w:after="140"/>
        <w:ind w:left="360"/>
      </w:pPr>
      <w:r>
        <w:rPr>
          <w:rFonts w:ascii="Courier New" w:hAnsi="Courier New"/>
          <w:sz w:val="18"/>
        </w:rPr>
        <w:t>Dispute #1234</w:t>
        <w:br/>
        <w:t>Reason: Product not received</w:t>
        <w:br/>
        <w:t>Amount: $499</w:t>
        <w:br/>
        <w:t>Response due: Aug 18</w:t>
        <w:br/>
        <w:br/>
        <w:t xml:space="preserve">              [ Collect evidence with AI ]</w:t>
      </w:r>
    </w:p>
    <w:p>
      <w:r>
        <w:t>Recommended button label: "Collect evidence with AI." It maps directly to the seller's job. "Analyse using AI" is generic; "Verify via AI" implies a level of certainty the AI cannot independently provide.</w:t>
      </w:r>
    </w:p>
    <w:p>
      <w:pPr>
        <w:pStyle w:val="Heading2"/>
      </w:pPr>
      <w:r>
        <w:t>Investigation state</w:t>
      </w:r>
    </w:p>
    <w:p>
      <w:pPr>
        <w:spacing w:before="60" w:after="140"/>
        <w:ind w:left="360"/>
      </w:pPr>
      <w:r>
        <w:rPr>
          <w:rFonts w:ascii="Courier New" w:hAnsi="Courier New"/>
          <w:sz w:val="18"/>
        </w:rPr>
        <w:t>AI INVESTIGATION</w:t>
        <w:br/>
        <w:br/>
        <w:t>✓ Transaction verified</w:t>
        <w:br/>
        <w:t>✓ Customer identified</w:t>
        <w:br/>
        <w:t>✓ Product identified</w:t>
        <w:br/>
        <w:t>✓ Purchase timestamp verified</w:t>
        <w:br/>
        <w:t>✓ Course access verified</w:t>
        <w:br/>
        <w:t>✓ Customer activity found</w:t>
        <w:br/>
        <w:t>✓ Refund policy retrieved</w:t>
        <w:br/>
        <w:t>✓ Terms accepted at checkout</w:t>
        <w:br/>
        <w:br/>
        <w:t>8 pieces of evidence collected</w:t>
      </w:r>
    </w:p>
    <w:p>
      <w:pPr>
        <w:pStyle w:val="Heading2"/>
      </w:pPr>
      <w:r>
        <w:t>AI-generated case summary</w:t>
      </w:r>
    </w:p>
    <w:p>
      <w:pPr>
        <w:pStyle w:val="Callout"/>
      </w:pPr>
      <w:r>
        <w:t>The customer purchased the Pro Coaching Program for $499 on August 2 at 14:32 UTC.</w:t>
        <w:br/>
        <w:br/>
        <w:t>Payment was successfully processed and the customer was granted access to the program at 14:33 UTC.</w:t>
        <w:br/>
        <w:br/>
        <w:t>Account activity shows 14 sessions and 6 lessons completed following purchase.</w:t>
        <w:br/>
        <w:br/>
        <w:t>The customer therefore received access to the purchased service and actively used it after the transaction.</w:t>
        <w:br/>
        <w:br/>
        <w:t>The available evidence supports the seller's position that the product was received and used.</w:t>
      </w:r>
    </w:p>
    <w:p>
      <w:pPr>
        <w:pStyle w:val="Heading2"/>
      </w:pPr>
      <w:r>
        <w:t>Evidence review</w:t>
      </w:r>
    </w:p>
    <w:tbl>
      <w:tblPr>
        <w:tblStyle w:val="TableGrid"/>
        <w:tblW w:type="auto" w:w="0"/>
        <w:tblLook w:firstColumn="1" w:firstRow="1" w:lastColumn="0" w:lastRow="0" w:noHBand="0" w:noVBand="1" w:val="04A0"/>
      </w:tblPr>
      <w:tblGrid>
        <w:gridCol w:w="4968"/>
        <w:gridCol w:w="4968"/>
      </w:tblGrid>
      <w:tr>
        <w:tc>
          <w:tcPr>
            <w:tcW w:type="dxa" w:w="4968"/>
            <w:vAlign w:val="center"/>
            <w:shd w:fill="E9EEF5"/>
          </w:tcPr>
          <w:p>
            <w:r/>
            <w:r>
              <w:rPr>
                <w:rFonts w:ascii="Aptos" w:hAnsi="Aptos"/>
                <w:b/>
                <w:sz w:val="19"/>
              </w:rPr>
              <w:t>Evidence</w:t>
            </w:r>
          </w:p>
        </w:tc>
        <w:tc>
          <w:tcPr>
            <w:tcW w:type="dxa" w:w="4968"/>
            <w:vAlign w:val="center"/>
            <w:shd w:fill="E9EEF5"/>
          </w:tcPr>
          <w:p>
            <w:r/>
            <w:r>
              <w:rPr>
                <w:rFonts w:ascii="Aptos" w:hAnsi="Aptos"/>
                <w:b/>
                <w:sz w:val="19"/>
              </w:rPr>
              <w:t>Status</w:t>
            </w:r>
          </w:p>
        </w:tc>
      </w:tr>
      <w:tr>
        <w:tc>
          <w:tcPr>
            <w:tcW w:type="dxa" w:w="4968"/>
            <w:vAlign w:val="center"/>
          </w:tcPr>
          <w:p>
            <w:r/>
            <w:r>
              <w:rPr>
                <w:rFonts w:ascii="Aptos" w:hAnsi="Aptos"/>
                <w:b w:val="0"/>
                <w:sz w:val="19"/>
              </w:rPr>
              <w:t>Transaction receipt</w:t>
            </w:r>
          </w:p>
        </w:tc>
        <w:tc>
          <w:tcPr>
            <w:tcW w:type="dxa" w:w="4968"/>
            <w:vAlign w:val="center"/>
          </w:tcPr>
          <w:p>
            <w:r/>
            <w:r>
              <w:rPr>
                <w:rFonts w:ascii="Aptos" w:hAnsi="Aptos"/>
                <w:b w:val="0"/>
                <w:sz w:val="19"/>
              </w:rPr>
              <w:t>AI found · Human verified</w:t>
            </w:r>
          </w:p>
        </w:tc>
      </w:tr>
      <w:tr>
        <w:tc>
          <w:tcPr>
            <w:tcW w:type="dxa" w:w="4968"/>
            <w:vAlign w:val="center"/>
          </w:tcPr>
          <w:p>
            <w:r/>
            <w:r>
              <w:rPr>
                <w:rFonts w:ascii="Aptos" w:hAnsi="Aptos"/>
                <w:b w:val="0"/>
                <w:sz w:val="19"/>
              </w:rPr>
              <w:t>Course access timestamp</w:t>
            </w:r>
          </w:p>
        </w:tc>
        <w:tc>
          <w:tcPr>
            <w:tcW w:type="dxa" w:w="4968"/>
            <w:vAlign w:val="center"/>
          </w:tcPr>
          <w:p>
            <w:r/>
            <w:r>
              <w:rPr>
                <w:rFonts w:ascii="Aptos" w:hAnsi="Aptos"/>
                <w:b w:val="0"/>
                <w:sz w:val="19"/>
              </w:rPr>
              <w:t>AI found · Human verified</w:t>
            </w:r>
          </w:p>
        </w:tc>
      </w:tr>
      <w:tr>
        <w:tc>
          <w:tcPr>
            <w:tcW w:type="dxa" w:w="4968"/>
            <w:vAlign w:val="center"/>
          </w:tcPr>
          <w:p>
            <w:r/>
            <w:r>
              <w:rPr>
                <w:rFonts w:ascii="Aptos" w:hAnsi="Aptos"/>
                <w:b w:val="0"/>
                <w:sz w:val="19"/>
              </w:rPr>
              <w:t>Login history</w:t>
            </w:r>
          </w:p>
        </w:tc>
        <w:tc>
          <w:tcPr>
            <w:tcW w:type="dxa" w:w="4968"/>
            <w:vAlign w:val="center"/>
          </w:tcPr>
          <w:p>
            <w:r/>
            <w:r>
              <w:rPr>
                <w:rFonts w:ascii="Aptos" w:hAnsi="Aptos"/>
                <w:b w:val="0"/>
                <w:sz w:val="19"/>
              </w:rPr>
              <w:t>AI found · Human verified</w:t>
            </w:r>
          </w:p>
        </w:tc>
      </w:tr>
      <w:tr>
        <w:tc>
          <w:tcPr>
            <w:tcW w:type="dxa" w:w="4968"/>
            <w:vAlign w:val="center"/>
          </w:tcPr>
          <w:p>
            <w:r/>
            <w:r>
              <w:rPr>
                <w:rFonts w:ascii="Aptos" w:hAnsi="Aptos"/>
                <w:b w:val="0"/>
                <w:sz w:val="19"/>
              </w:rPr>
              <w:t>Lesson activity</w:t>
            </w:r>
          </w:p>
        </w:tc>
        <w:tc>
          <w:tcPr>
            <w:tcW w:type="dxa" w:w="4968"/>
            <w:vAlign w:val="center"/>
          </w:tcPr>
          <w:p>
            <w:r/>
            <w:r>
              <w:rPr>
                <w:rFonts w:ascii="Aptos" w:hAnsi="Aptos"/>
                <w:b w:val="0"/>
                <w:sz w:val="19"/>
              </w:rPr>
              <w:t>AI found · Needs review</w:t>
            </w:r>
          </w:p>
        </w:tc>
      </w:tr>
      <w:tr>
        <w:tc>
          <w:tcPr>
            <w:tcW w:type="dxa" w:w="4968"/>
            <w:vAlign w:val="center"/>
          </w:tcPr>
          <w:p>
            <w:r/>
            <w:r>
              <w:rPr>
                <w:rFonts w:ascii="Aptos" w:hAnsi="Aptos"/>
                <w:b w:val="0"/>
                <w:sz w:val="19"/>
              </w:rPr>
              <w:t>Product description</w:t>
            </w:r>
          </w:p>
        </w:tc>
        <w:tc>
          <w:tcPr>
            <w:tcW w:type="dxa" w:w="4968"/>
            <w:vAlign w:val="center"/>
          </w:tcPr>
          <w:p>
            <w:r/>
            <w:r>
              <w:rPr>
                <w:rFonts w:ascii="Aptos" w:hAnsi="Aptos"/>
                <w:b w:val="0"/>
                <w:sz w:val="19"/>
              </w:rPr>
              <w:t>AI found · Human verified</w:t>
            </w:r>
          </w:p>
        </w:tc>
      </w:tr>
      <w:tr>
        <w:tc>
          <w:tcPr>
            <w:tcW w:type="dxa" w:w="4968"/>
            <w:vAlign w:val="center"/>
          </w:tcPr>
          <w:p>
            <w:r/>
            <w:r>
              <w:rPr>
                <w:rFonts w:ascii="Aptos" w:hAnsi="Aptos"/>
                <w:b w:val="0"/>
                <w:sz w:val="19"/>
              </w:rPr>
              <w:t>Terms accepted</w:t>
            </w:r>
          </w:p>
        </w:tc>
        <w:tc>
          <w:tcPr>
            <w:tcW w:type="dxa" w:w="4968"/>
            <w:vAlign w:val="center"/>
          </w:tcPr>
          <w:p>
            <w:r/>
            <w:r>
              <w:rPr>
                <w:rFonts w:ascii="Aptos" w:hAnsi="Aptos"/>
                <w:b w:val="0"/>
                <w:sz w:val="19"/>
              </w:rPr>
              <w:t>AI found · Human verified</w:t>
            </w:r>
          </w:p>
        </w:tc>
      </w:tr>
      <w:tr>
        <w:tc>
          <w:tcPr>
            <w:tcW w:type="dxa" w:w="4968"/>
            <w:vAlign w:val="center"/>
          </w:tcPr>
          <w:p>
            <w:r/>
            <w:r>
              <w:rPr>
                <w:rFonts w:ascii="Aptos" w:hAnsi="Aptos"/>
                <w:b w:val="0"/>
                <w:sz w:val="19"/>
              </w:rPr>
              <w:t>Refund policy</w:t>
            </w:r>
          </w:p>
        </w:tc>
        <w:tc>
          <w:tcPr>
            <w:tcW w:type="dxa" w:w="4968"/>
            <w:vAlign w:val="center"/>
          </w:tcPr>
          <w:p>
            <w:r/>
            <w:r>
              <w:rPr>
                <w:rFonts w:ascii="Aptos" w:hAnsi="Aptos"/>
                <w:b w:val="0"/>
                <w:sz w:val="19"/>
              </w:rPr>
              <w:t>AI found · Human verified</w:t>
            </w:r>
          </w:p>
        </w:tc>
      </w:tr>
      <w:tr>
        <w:tc>
          <w:tcPr>
            <w:tcW w:type="dxa" w:w="4968"/>
            <w:vAlign w:val="center"/>
          </w:tcPr>
          <w:p>
            <w:r/>
            <w:r>
              <w:rPr>
                <w:rFonts w:ascii="Aptos" w:hAnsi="Aptos"/>
                <w:b w:val="0"/>
                <w:sz w:val="19"/>
              </w:rPr>
              <w:t>Customer communications</w:t>
            </w:r>
          </w:p>
        </w:tc>
        <w:tc>
          <w:tcPr>
            <w:tcW w:type="dxa" w:w="4968"/>
            <w:vAlign w:val="center"/>
          </w:tcPr>
          <w:p>
            <w:r/>
            <w:r>
              <w:rPr>
                <w:rFonts w:ascii="Aptos" w:hAnsi="Aptos"/>
                <w:b w:val="0"/>
                <w:sz w:val="19"/>
              </w:rPr>
              <w:t>AI found · Needs review</w:t>
            </w:r>
          </w:p>
        </w:tc>
      </w:tr>
    </w:tbl>
    <w:p/>
    <w:p>
      <w:pPr>
        <w:pStyle w:val="Callout"/>
      </w:pPr>
      <w:r>
        <w:t>Case strength: Strong</w:t>
        <w:br/>
        <w:t>7/8 recommended evidence items found.</w:t>
      </w:r>
    </w:p>
    <w:p>
      <w:pPr>
        <w:spacing w:before="60" w:after="140"/>
        <w:ind w:left="360"/>
      </w:pPr>
      <w:r>
        <w:rPr>
          <w:rFonts w:ascii="Courier New" w:hAnsi="Courier New"/>
          <w:sz w:val="18"/>
        </w:rPr>
        <w:t>[ Review Evidence ]        [ Submit Response ]</w:t>
      </w:r>
    </w:p>
    <w:p>
      <w:pPr>
        <w:pStyle w:val="Heading1"/>
      </w:pPr>
      <w:r>
        <w:t>7. MVP Architecture</w:t>
      </w:r>
    </w:p>
    <w:p>
      <w:r>
        <w:t>The MVP can be implemented as a thin orchestration layer over Commas' existing data and agent capabilities. There is no need to rebuild the MCP or CLI. The prototype should focus on the product workflow and evidence synthesis.</w:t>
      </w:r>
    </w:p>
    <w:p>
      <w:pPr>
        <w:spacing w:before="60" w:after="140"/>
        <w:ind w:left="360"/>
      </w:pPr>
      <w:r>
        <w:rPr>
          <w:rFonts w:ascii="Courier New" w:hAnsi="Courier New"/>
          <w:sz w:val="18"/>
        </w:rPr>
        <w:t>Resolution Center UI</w:t>
        <w:br/>
        <w:t xml:space="preserve">        ↓</w:t>
        <w:br/>
        <w:t>"Collect evidence with AI"</w:t>
        <w:br/>
        <w:t xml:space="preserve">        ↓</w:t>
        <w:br/>
        <w:t>AI investigation orchestrator</w:t>
        <w:br/>
        <w:t xml:space="preserve">        ↓</w:t>
        <w:br/>
        <w:t>┌─────────────────────────────────────┐</w:t>
        <w:br/>
        <w:t>│ Commas transaction / customer data │</w:t>
        <w:br/>
        <w:t>│ Product / checkout data            │</w:t>
        <w:br/>
        <w:t>│ Studio access / activity           │</w:t>
        <w:br/>
        <w:t>│ Policies / terms                   │</w:t>
        <w:br/>
        <w:t>│ Connected support communications   │</w:t>
        <w:br/>
        <w:t>└─────────────────────────────────────┘</w:t>
        <w:br/>
        <w:t xml:space="preserve">        ↓</w:t>
        <w:br/>
        <w:t>Evidence normalization + ranking</w:t>
        <w:br/>
        <w:t xml:space="preserve">        ↓</w:t>
        <w:br/>
        <w:t>Customer journey timeline</w:t>
        <w:br/>
        <w:t xml:space="preserve">        ↓</w:t>
        <w:br/>
        <w:t>Recommended response + evidence list</w:t>
        <w:br/>
        <w:t xml:space="preserve">        ↓</w:t>
        <w:br/>
        <w:t>Human review</w:t>
        <w:br/>
        <w:t xml:space="preserve">        ↓</w:t>
        <w:br/>
        <w:t>Submit</w:t>
      </w:r>
    </w:p>
    <w:p>
      <w:pPr>
        <w:pStyle w:val="Heading2"/>
      </w:pPr>
      <w:r>
        <w:t>Prototype approach</w:t>
      </w:r>
    </w:p>
    <w:p>
      <w:pPr>
        <w:pStyle w:val="ListBullet"/>
        <w:ind w:left="360"/>
      </w:pPr>
      <w:r>
        <w:t>Use screenshots of the existing Resolution Center as the visual reference for Claude Code.</w:t>
      </w:r>
    </w:p>
    <w:p>
      <w:pPr>
        <w:pStyle w:val="ListBullet"/>
        <w:ind w:left="360"/>
      </w:pPr>
      <w:r>
        <w:t>Build the feature as a realistic UI extension rather than redesigning the entire product.</w:t>
      </w:r>
    </w:p>
    <w:p>
      <w:pPr>
        <w:pStyle w:val="ListBullet"/>
        <w:ind w:left="360"/>
      </w:pPr>
      <w:r>
        <w:t>Use deterministic sample data representing a coaching business, a customer, a course/community, a transaction, access events, policies, and a dispute.</w:t>
      </w:r>
    </w:p>
    <w:p>
      <w:pPr>
        <w:pStyle w:val="ListBullet"/>
        <w:ind w:left="360"/>
      </w:pPr>
      <w:r>
        <w:t>Implement the AI investigation against structured mock tools/functions so the demo behaves like a real agent workflow.</w:t>
      </w:r>
    </w:p>
    <w:p>
      <w:pPr>
        <w:pStyle w:val="ListBullet"/>
        <w:ind w:left="360"/>
      </w:pPr>
      <w:r>
        <w:t>Keep submission simulated in the prototype. The important demo is evidence collection, synthesis, review, and the final confirmation step.</w:t>
      </w:r>
    </w:p>
    <w:p>
      <w:pPr>
        <w:pStyle w:val="Heading2"/>
      </w:pPr>
      <w:r>
        <w:t>Suggested sample data</w:t>
      </w:r>
    </w:p>
    <w:p>
      <w:pPr>
        <w:pStyle w:val="ListBullet"/>
        <w:ind w:left="360"/>
      </w:pPr>
      <w:r>
        <w:t>Customer: Jane Smith</w:t>
      </w:r>
    </w:p>
    <w:p>
      <w:pPr>
        <w:pStyle w:val="ListBullet"/>
        <w:ind w:left="360"/>
      </w:pPr>
      <w:r>
        <w:t>Offer: Pro Coaching Program</w:t>
      </w:r>
    </w:p>
    <w:p>
      <w:pPr>
        <w:pStyle w:val="ListBullet"/>
        <w:ind w:left="360"/>
      </w:pPr>
      <w:r>
        <w:t>Purchase: $499 on August 2 at 14:32 UTC</w:t>
      </w:r>
    </w:p>
    <w:p>
      <w:pPr>
        <w:pStyle w:val="ListBullet"/>
        <w:ind w:left="360"/>
      </w:pPr>
      <w:r>
        <w:t>Access granted: August 2 at 14:33 UTC</w:t>
      </w:r>
    </w:p>
    <w:p>
      <w:pPr>
        <w:pStyle w:val="ListBullet"/>
        <w:ind w:left="360"/>
      </w:pPr>
      <w:r>
        <w:t>Usage: 14 sessions, 6 lessons completed</w:t>
      </w:r>
    </w:p>
    <w:p>
      <w:pPr>
        <w:pStyle w:val="ListBullet"/>
        <w:ind w:left="360"/>
      </w:pPr>
      <w:r>
        <w:t>Terms accepted at checkout</w:t>
      </w:r>
    </w:p>
    <w:p>
      <w:pPr>
        <w:pStyle w:val="ListBullet"/>
        <w:ind w:left="360"/>
      </w:pPr>
      <w:r>
        <w:t>Refund policy available</w:t>
      </w:r>
    </w:p>
    <w:p>
      <w:pPr>
        <w:pStyle w:val="ListBullet"/>
        <w:ind w:left="360"/>
      </w:pPr>
      <w:r>
        <w:t>Support thread where the customer previously discussed access</w:t>
      </w:r>
    </w:p>
    <w:p>
      <w:pPr>
        <w:pStyle w:val="ListBullet"/>
        <w:ind w:left="360"/>
      </w:pPr>
      <w:r>
        <w:t>Dispute reason: Product not received</w:t>
      </w:r>
    </w:p>
    <w:p>
      <w:pPr>
        <w:pStyle w:val="ListBullet"/>
        <w:ind w:left="360"/>
      </w:pPr>
      <w:r>
        <w:t>Response deadline: 11 days from dispute creation</w:t>
      </w:r>
    </w:p>
    <w:p>
      <w:pPr>
        <w:pStyle w:val="Heading1"/>
      </w:pPr>
      <w:r>
        <w:t>8. Future Data Flywheel</w:t>
      </w:r>
    </w:p>
    <w:p>
      <w:r>
        <w:t>Once the feature is used at scale, Commas can build a structured dataset connecting dispute reason, available evidence, response quality, seller verification, and final outcome. This creates a path from an evidence assistant to a dispute intelligence system.</w:t>
      </w:r>
    </w:p>
    <w:p>
      <w:pPr>
        <w:spacing w:before="60" w:after="140"/>
        <w:ind w:left="360"/>
      </w:pPr>
      <w:r>
        <w:rPr>
          <w:rFonts w:ascii="Courier New" w:hAnsi="Courier New"/>
          <w:sz w:val="18"/>
        </w:rPr>
        <w:t>Dispute reason</w:t>
        <w:br/>
        <w:t xml:space="preserve">      ↓</w:t>
        <w:br/>
        <w:t>Evidence available</w:t>
        <w:br/>
        <w:t xml:space="preserve">      ↓</w:t>
        <w:br/>
        <w:t>Evidence selected</w:t>
        <w:br/>
        <w:t xml:space="preserve">      ↓</w:t>
        <w:br/>
        <w:t>Human verification</w:t>
        <w:br/>
        <w:t xml:space="preserve">      ↓</w:t>
        <w:br/>
        <w:t>Submitted response</w:t>
        <w:br/>
        <w:t xml:space="preserve">      ↓</w:t>
        <w:br/>
        <w:t>Outcome</w:t>
        <w:br/>
        <w:t xml:space="preserve">      ↓</w:t>
        <w:br/>
        <w:t>Better evidence recommendations</w:t>
      </w:r>
    </w:p>
    <w:p>
      <w:r>
        <w:t>Potential future capabilities:</w:t>
      </w:r>
    </w:p>
    <w:p>
      <w:pPr>
        <w:pStyle w:val="ListBullet"/>
        <w:ind w:left="360"/>
      </w:pPr>
      <w:r>
        <w:t>Evidence recommendations tailored to dispute type and product type.</w:t>
      </w:r>
    </w:p>
    <w:p>
      <w:pPr>
        <w:pStyle w:val="ListBullet"/>
        <w:ind w:left="360"/>
      </w:pPr>
      <w:r>
        <w:t>Automatic identification of missing evidence before submission.</w:t>
      </w:r>
    </w:p>
    <w:p>
      <w:pPr>
        <w:pStyle w:val="ListBullet"/>
        <w:ind w:left="360"/>
      </w:pPr>
      <w:r>
        <w:t>Case-strength scoring based on completeness and consistency of evidence.</w:t>
      </w:r>
    </w:p>
    <w:p>
      <w:pPr>
        <w:pStyle w:val="ListBullet"/>
        <w:ind w:left="360"/>
      </w:pPr>
      <w:r>
        <w:t>Historical benchmarking of evidence patterns and outcomes.</w:t>
      </w:r>
    </w:p>
    <w:p>
      <w:pPr>
        <w:pStyle w:val="ListBullet"/>
        <w:ind w:left="360"/>
      </w:pPr>
      <w:r>
        <w:t>Seller-level insights into recurring dispute causes.</w:t>
      </w:r>
    </w:p>
    <w:p>
      <w:pPr>
        <w:pStyle w:val="ListBullet"/>
        <w:ind w:left="360"/>
      </w:pPr>
      <w:r>
        <w:t>Product-level insights into which offers generate disproportionate dispute exposure.</w:t>
      </w:r>
    </w:p>
    <w:p>
      <w:pPr>
        <w:pStyle w:val="ListBullet"/>
        <w:ind w:left="360"/>
      </w:pPr>
      <w:r>
        <w:t>Automated alerts when a customer journey contains weak fulfillment or documentation signals.</w:t>
      </w:r>
    </w:p>
    <w:p>
      <w:pPr>
        <w:pStyle w:val="ListBullet"/>
        <w:ind w:left="360"/>
      </w:pPr>
      <w:r>
        <w:t>Eventually, proactive workflows that help sellers improve their policies, fulfillment, and customer experience before disputes happen.</w:t>
      </w:r>
    </w:p>
    <w:p>
      <w:pPr>
        <w:pStyle w:val="Callout"/>
      </w:pPr>
      <w:r>
        <w:t>Long-term opportunity: move from "help me respond to this dispute" toward "help me understand and reduce the causes of disputes across my business."</w:t>
      </w:r>
    </w:p>
    <w:p>
      <w:pPr>
        <w:pStyle w:val="Heading1"/>
      </w:pPr>
      <w:r>
        <w:t>Why This Feature Makes Sense for Commas</w:t>
      </w:r>
    </w:p>
    <w:p>
      <w:r>
        <w:t>Commas has already invested in the payment and commerce infrastructure that produces the underlying evidence. Its current product direction is to bring more of the seller's business into one platform. That creates a natural advantage in dispute investigation: the platform can potentially see more of the customer journey than a standalone payment processor can.</w:t>
      </w:r>
    </w:p>
    <w:p>
      <w:r>
        <w:t>The feature also fits the product's AI direction. Commas already exposes an AI Agent/MCP integration for querying seller data and performing selected actions. The proposed copilot is a focused, outcome-oriented application of that capability inside a high-friction workflow.</w:t>
      </w:r>
    </w:p>
    <w:p>
      <w:pPr>
        <w:pStyle w:val="Callout"/>
      </w:pPr>
      <w:r>
        <w:t>Commas has already solved for collecting and processing the transaction. The next opportunity is helping the seller defend that transaction when something goes wrong.</w:t>
      </w:r>
    </w:p>
    <w:p>
      <w:pPr>
        <w:pStyle w:val="Heading1"/>
      </w:pPr>
      <w:r>
        <w:t>Success Metrics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9EEF5"/>
          </w:tcPr>
          <w:p>
            <w:r/>
            <w:r>
              <w:rPr>
                <w:rFonts w:ascii="Aptos" w:hAnsi="Aptos"/>
                <w:b/>
                <w:sz w:val="19"/>
              </w:rPr>
              <w:t>Metric</w:t>
            </w:r>
          </w:p>
        </w:tc>
        <w:tc>
          <w:tcPr>
            <w:tcW w:type="dxa" w:w="3312"/>
            <w:vAlign w:val="center"/>
            <w:shd w:fill="E9EEF5"/>
          </w:tcPr>
          <w:p>
            <w:r/>
            <w:r>
              <w:rPr>
                <w:rFonts w:ascii="Aptos" w:hAnsi="Aptos"/>
                <w:b/>
                <w:sz w:val="19"/>
              </w:rPr>
              <w:t>What it measures</w:t>
            </w:r>
          </w:p>
        </w:tc>
        <w:tc>
          <w:tcPr>
            <w:tcW w:type="dxa" w:w="3312"/>
            <w:vAlign w:val="center"/>
            <w:shd w:fill="E9EEF5"/>
          </w:tcPr>
          <w:p>
            <w:r/>
            <w:r>
              <w:rPr>
                <w:rFonts w:ascii="Aptos" w:hAnsi="Aptos"/>
                <w:b/>
                <w:sz w:val="19"/>
              </w:rPr>
              <w:t>MVP signal</w:t>
            </w:r>
          </w:p>
        </w:tc>
      </w:tr>
      <w:tr>
        <w:tc>
          <w:tcPr>
            <w:tcW w:type="dxa" w:w="3312"/>
            <w:vAlign w:val="center"/>
          </w:tcPr>
          <w:p>
            <w:r/>
            <w:r>
              <w:rPr>
                <w:rFonts w:ascii="Aptos" w:hAnsi="Aptos"/>
                <w:b w:val="0"/>
                <w:sz w:val="19"/>
              </w:rPr>
              <w:t>Time to evidence-ready case</w:t>
            </w:r>
          </w:p>
        </w:tc>
        <w:tc>
          <w:tcPr>
            <w:tcW w:type="dxa" w:w="3312"/>
            <w:vAlign w:val="center"/>
          </w:tcPr>
          <w:p>
            <w:r/>
            <w:r>
              <w:rPr>
                <w:rFonts w:ascii="Aptos" w:hAnsi="Aptos"/>
                <w:b w:val="0"/>
                <w:sz w:val="19"/>
              </w:rPr>
              <w:t>How much manual work is removed.</w:t>
            </w:r>
          </w:p>
        </w:tc>
        <w:tc>
          <w:tcPr>
            <w:tcW w:type="dxa" w:w="3312"/>
            <w:vAlign w:val="center"/>
          </w:tcPr>
          <w:p>
            <w:r/>
            <w:r>
              <w:rPr>
                <w:rFonts w:ascii="Aptos" w:hAnsi="Aptos"/>
                <w:b w:val="0"/>
                <w:sz w:val="19"/>
              </w:rPr>
              <w:t>Meaningful reduction vs. manual workflow.</w:t>
            </w:r>
          </w:p>
        </w:tc>
      </w:tr>
      <w:tr>
        <w:tc>
          <w:tcPr>
            <w:tcW w:type="dxa" w:w="3312"/>
            <w:vAlign w:val="center"/>
          </w:tcPr>
          <w:p>
            <w:r/>
            <w:r>
              <w:rPr>
                <w:rFonts w:ascii="Aptos" w:hAnsi="Aptos"/>
                <w:b w:val="0"/>
                <w:sz w:val="19"/>
              </w:rPr>
              <w:t>Evidence completeness</w:t>
            </w:r>
          </w:p>
        </w:tc>
        <w:tc>
          <w:tcPr>
            <w:tcW w:type="dxa" w:w="3312"/>
            <w:vAlign w:val="center"/>
          </w:tcPr>
          <w:p>
            <w:r/>
            <w:r>
              <w:rPr>
                <w:rFonts w:ascii="Aptos" w:hAnsi="Aptos"/>
                <w:b w:val="0"/>
                <w:sz w:val="19"/>
              </w:rPr>
              <w:t>Whether recommended evidence is found.</w:t>
            </w:r>
          </w:p>
        </w:tc>
        <w:tc>
          <w:tcPr>
            <w:tcW w:type="dxa" w:w="3312"/>
            <w:vAlign w:val="center"/>
          </w:tcPr>
          <w:p>
            <w:r/>
            <w:r>
              <w:rPr>
                <w:rFonts w:ascii="Aptos" w:hAnsi="Aptos"/>
                <w:b w:val="0"/>
                <w:sz w:val="19"/>
              </w:rPr>
              <w:t>High percentage of required evidence located.</w:t>
            </w:r>
          </w:p>
        </w:tc>
      </w:tr>
      <w:tr>
        <w:tc>
          <w:tcPr>
            <w:tcW w:type="dxa" w:w="3312"/>
            <w:vAlign w:val="center"/>
          </w:tcPr>
          <w:p>
            <w:r/>
            <w:r>
              <w:rPr>
                <w:rFonts w:ascii="Aptos" w:hAnsi="Aptos"/>
                <w:b w:val="0"/>
                <w:sz w:val="19"/>
              </w:rPr>
              <w:t>Human verification rate</w:t>
            </w:r>
          </w:p>
        </w:tc>
        <w:tc>
          <w:tcPr>
            <w:tcW w:type="dxa" w:w="3312"/>
            <w:vAlign w:val="center"/>
          </w:tcPr>
          <w:p>
            <w:r/>
            <w:r>
              <w:rPr>
                <w:rFonts w:ascii="Aptos" w:hAnsi="Aptos"/>
                <w:b w:val="0"/>
                <w:sz w:val="19"/>
              </w:rPr>
              <w:t>Whether sellers trust the collected evidence.</w:t>
            </w:r>
          </w:p>
        </w:tc>
        <w:tc>
          <w:tcPr>
            <w:tcW w:type="dxa" w:w="3312"/>
            <w:vAlign w:val="center"/>
          </w:tcPr>
          <w:p>
            <w:r/>
            <w:r>
              <w:rPr>
                <w:rFonts w:ascii="Aptos" w:hAnsi="Aptos"/>
                <w:b w:val="0"/>
                <w:sz w:val="19"/>
              </w:rPr>
              <w:t>High share of evidence accepted without rework.</w:t>
            </w:r>
          </w:p>
        </w:tc>
      </w:tr>
      <w:tr>
        <w:tc>
          <w:tcPr>
            <w:tcW w:type="dxa" w:w="3312"/>
            <w:vAlign w:val="center"/>
          </w:tcPr>
          <w:p>
            <w:r/>
            <w:r>
              <w:rPr>
                <w:rFonts w:ascii="Aptos" w:hAnsi="Aptos"/>
                <w:b w:val="0"/>
                <w:sz w:val="19"/>
              </w:rPr>
              <w:t>Draft acceptance/edit rate</w:t>
            </w:r>
          </w:p>
        </w:tc>
        <w:tc>
          <w:tcPr>
            <w:tcW w:type="dxa" w:w="3312"/>
            <w:vAlign w:val="center"/>
          </w:tcPr>
          <w:p>
            <w:r/>
            <w:r>
              <w:rPr>
                <w:rFonts w:ascii="Aptos" w:hAnsi="Aptos"/>
                <w:b w:val="0"/>
                <w:sz w:val="19"/>
              </w:rPr>
              <w:t>Quality of AI-generated response.</w:t>
            </w:r>
          </w:p>
        </w:tc>
        <w:tc>
          <w:tcPr>
            <w:tcW w:type="dxa" w:w="3312"/>
            <w:vAlign w:val="center"/>
          </w:tcPr>
          <w:p>
            <w:r/>
            <w:r>
              <w:rPr>
                <w:rFonts w:ascii="Aptos" w:hAnsi="Aptos"/>
                <w:b w:val="0"/>
                <w:sz w:val="19"/>
              </w:rPr>
              <w:t>Most drafts require only light editing.</w:t>
            </w:r>
          </w:p>
        </w:tc>
      </w:tr>
      <w:tr>
        <w:tc>
          <w:tcPr>
            <w:tcW w:type="dxa" w:w="3312"/>
            <w:vAlign w:val="center"/>
          </w:tcPr>
          <w:p>
            <w:r/>
            <w:r>
              <w:rPr>
                <w:rFonts w:ascii="Aptos" w:hAnsi="Aptos"/>
                <w:b w:val="0"/>
                <w:sz w:val="19"/>
              </w:rPr>
              <w:t>Submission completion</w:t>
            </w:r>
          </w:p>
        </w:tc>
        <w:tc>
          <w:tcPr>
            <w:tcW w:type="dxa" w:w="3312"/>
            <w:vAlign w:val="center"/>
          </w:tcPr>
          <w:p>
            <w:r/>
            <w:r>
              <w:rPr>
                <w:rFonts w:ascii="Aptos" w:hAnsi="Aptos"/>
                <w:b w:val="0"/>
                <w:sz w:val="19"/>
              </w:rPr>
              <w:t>Whether the feature helps cases reach submission.</w:t>
            </w:r>
          </w:p>
        </w:tc>
        <w:tc>
          <w:tcPr>
            <w:tcW w:type="dxa" w:w="3312"/>
            <w:vAlign w:val="center"/>
          </w:tcPr>
          <w:p>
            <w:r/>
            <w:r>
              <w:rPr>
                <w:rFonts w:ascii="Aptos" w:hAnsi="Aptos"/>
                <w:b w:val="0"/>
                <w:sz w:val="19"/>
              </w:rPr>
              <w:t>Higher completion before deadline.</w:t>
            </w:r>
          </w:p>
        </w:tc>
      </w:tr>
      <w:tr>
        <w:tc>
          <w:tcPr>
            <w:tcW w:type="dxa" w:w="3312"/>
            <w:vAlign w:val="center"/>
          </w:tcPr>
          <w:p>
            <w:r/>
            <w:r>
              <w:rPr>
                <w:rFonts w:ascii="Aptos" w:hAnsi="Aptos"/>
                <w:b w:val="0"/>
                <w:sz w:val="19"/>
              </w:rPr>
              <w:t>Dispute outcome</w:t>
            </w:r>
          </w:p>
        </w:tc>
        <w:tc>
          <w:tcPr>
            <w:tcW w:type="dxa" w:w="3312"/>
            <w:vAlign w:val="center"/>
          </w:tcPr>
          <w:p>
            <w:r/>
            <w:r>
              <w:rPr>
                <w:rFonts w:ascii="Aptos" w:hAnsi="Aptos"/>
                <w:b w:val="0"/>
                <w:sz w:val="19"/>
              </w:rPr>
              <w:t>Long-term business impact.</w:t>
            </w:r>
          </w:p>
        </w:tc>
        <w:tc>
          <w:tcPr>
            <w:tcW w:type="dxa" w:w="3312"/>
            <w:vAlign w:val="center"/>
          </w:tcPr>
          <w:p>
            <w:r/>
            <w:r>
              <w:rPr>
                <w:rFonts w:ascii="Aptos" w:hAnsi="Aptos"/>
                <w:b w:val="0"/>
                <w:sz w:val="19"/>
              </w:rPr>
              <w:t>Improvement only after sufficient historical data.</w:t>
            </w:r>
          </w:p>
        </w:tc>
      </w:tr>
    </w:tbl>
    <w:p>
      <w:pPr>
        <w:pStyle w:val="Heading1"/>
      </w:pPr>
      <w:r>
        <w:t>Product Guardrails and Risks</w:t>
      </w:r>
    </w:p>
    <w:p>
      <w:pPr>
        <w:pStyle w:val="ListBullet"/>
        <w:ind w:left="360"/>
      </w:pPr>
      <w:r>
        <w:t>Never fabricate evidence. Every factual claim in the draft should trace back to a source record.</w:t>
      </w:r>
    </w:p>
    <w:p>
      <w:pPr>
        <w:pStyle w:val="ListBullet"/>
        <w:ind w:left="360"/>
      </w:pPr>
      <w:r>
        <w:t>Do not infer access or usage when the underlying record is absent.</w:t>
      </w:r>
    </w:p>
    <w:p>
      <w:pPr>
        <w:pStyle w:val="ListBullet"/>
        <w:ind w:left="360"/>
      </w:pPr>
      <w:r>
        <w:t>Clearly label AI-generated summaries and recommendations.</w:t>
      </w:r>
    </w:p>
    <w:p>
      <w:pPr>
        <w:pStyle w:val="ListBullet"/>
        <w:ind w:left="360"/>
      </w:pPr>
      <w:r>
        <w:t>Require human review before submission.</w:t>
      </w:r>
    </w:p>
    <w:p>
      <w:pPr>
        <w:pStyle w:val="ListBullet"/>
        <w:ind w:left="360"/>
      </w:pPr>
      <w:r>
        <w:t>Preserve an audit trail of evidence sources, AI output, human verification, and final submission.</w:t>
      </w:r>
    </w:p>
    <w:p>
      <w:pPr>
        <w:pStyle w:val="ListBullet"/>
        <w:ind w:left="360"/>
      </w:pPr>
      <w:r>
        <w:t>Handle missing or contradictory evidence explicitly rather than forcing a positive case.</w:t>
      </w:r>
    </w:p>
    <w:p>
      <w:pPr>
        <w:pStyle w:val="ListBullet"/>
        <w:ind w:left="360"/>
      </w:pPr>
      <w:r>
        <w:t>Avoid making unsupported claims about likelihood of winning a dispute until Commas has validated such scoring against historical outcomes.</w:t>
      </w:r>
    </w:p>
    <w:p>
      <w:pPr>
        <w:pStyle w:val="Heading1"/>
      </w:pPr>
      <w:r>
        <w:t>Product Principles</w:t>
      </w:r>
    </w:p>
    <w:p>
      <w:r>
        <w:rPr>
          <w:b/>
        </w:rPr>
        <w:t xml:space="preserve">Outcome over chatbot: </w:t>
      </w:r>
      <w:r>
        <w:t>The feature exists to produce a dispute-ready evidence package, not to create another conversational interface.</w:t>
      </w:r>
    </w:p>
    <w:p>
      <w:r>
        <w:rPr>
          <w:b/>
        </w:rPr>
        <w:t xml:space="preserve">Evidence over inference: </w:t>
      </w:r>
      <w:r>
        <w:t>The AI should prefer verifiable records and clearly expose gaps.</w:t>
      </w:r>
    </w:p>
    <w:p>
      <w:r>
        <w:rPr>
          <w:b/>
        </w:rPr>
        <w:t xml:space="preserve">Human ownership: </w:t>
      </w:r>
      <w:r>
        <w:t>The seller remains responsible for verifying and submitting the case.</w:t>
      </w:r>
    </w:p>
    <w:p>
      <w:r>
        <w:rPr>
          <w:b/>
        </w:rPr>
        <w:t xml:space="preserve">Context over isolated events: </w:t>
      </w:r>
      <w:r>
        <w:t>The strongest evidence is often the complete customer journey, not one transaction record.</w:t>
      </w:r>
    </w:p>
    <w:p>
      <w:r>
        <w:rPr>
          <w:b/>
        </w:rPr>
        <w:t xml:space="preserve">Start narrow: </w:t>
      </w:r>
      <w:r>
        <w:t>Launch around a small number of high-volume dispute reasons and expand once evidence quality is proven.</w:t>
      </w:r>
    </w:p>
    <w:p>
      <w:pPr>
        <w:pStyle w:val="Heading1"/>
      </w:pPr>
      <w:r>
        <w:t>Reference Sources</w:t>
      </w:r>
    </w:p>
    <w:p>
      <w:pPr>
        <w:pStyle w:val="ListBullet"/>
      </w:pPr>
      <w:r>
        <w:t xml:space="preserve">Commas API Reference and AI Agent / MCP documentation — </w:t>
      </w:r>
      <w:r>
        <w:rPr>
          <w:sz w:val="18"/>
        </w:rPr>
        <w:t>https://commasdocs.com/</w:t>
      </w:r>
    </w:p>
    <w:p>
      <w:pPr>
        <w:pStyle w:val="ListBullet"/>
      </w:pPr>
      <w:r>
        <w:t xml:space="preserve">Commas main product site — </w:t>
      </w:r>
      <w:r>
        <w:rPr>
          <w:sz w:val="18"/>
        </w:rPr>
        <w:t>https://commas.com/</w:t>
      </w:r>
    </w:p>
    <w:p>
      <w:pPr>
        <w:pStyle w:val="ListBullet"/>
      </w:pPr>
      <w:r>
        <w:t xml:space="preserve">FanBasis is now Commas — </w:t>
      </w:r>
      <w:r>
        <w:rPr>
          <w:sz w:val="18"/>
        </w:rPr>
        <w:t>https://commas.com/fanbasis-is-now-commas</w:t>
      </w:r>
    </w:p>
    <w:p>
      <w:pPr>
        <w:pStyle w:val="ListBullet"/>
      </w:pPr>
      <w:r>
        <w:t xml:space="preserve">Commas Terms &amp; Conditions — </w:t>
      </w:r>
      <w:r>
        <w:rPr>
          <w:sz w:val="18"/>
        </w:rPr>
        <w:t>https://commas.com/terms</w:t>
      </w:r>
    </w:p>
    <w:p/>
    <w:p>
      <w:pPr>
        <w:jc w:val="center"/>
      </w:pPr>
      <w:r>
        <w:rPr>
          <w:i/>
          <w:sz w:val="17"/>
        </w:rPr>
        <w:t>Prepared as a product concept and prototype specification. Public Commas documentation should be re-checked before production implementation.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88" w:right="288"/>
    </w:pPr>
    <w:rPr>
      <w:rFonts w:ascii="Aptos" w:hAnsi="Aptos"/>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