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mentioned in the paper, take any three best-performing lung segmentation models and use this </w:t>
      </w:r>
      <w:r w:rsidDel="00000000" w:rsidR="00000000" w:rsidRPr="00000000">
        <w:rPr>
          <w:rtl w:val="0"/>
        </w:rPr>
        <w:t xml:space="preserve">Segmentation_ensembling.ipynb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perform the ensemble of lung segmentation outputs. This will be the output of the classification models in the second stage.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