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Urban Heat Island (UHI) Mitigation Dashboard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Identify areas most vulnerable and susceptible to high energy use during heatwaves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The platform aims to assist urban planners, local governments, and stakeholders in identifying areas where the urban heat island effect is most severe, particularly for vulnerable populations </w:t>
      </w:r>
      <w:r w:rsidDel="00000000" w:rsidR="00000000" w:rsidRPr="00000000">
        <w:rPr>
          <w:color w:val="ff0000"/>
          <w:rtl w:val="0"/>
        </w:rPr>
        <w:t xml:space="preserve">(and areas with poor energy efficiency)</w:t>
      </w:r>
      <w:r w:rsidDel="00000000" w:rsidR="00000000" w:rsidRPr="00000000">
        <w:rPr>
          <w:rtl w:val="0"/>
        </w:rPr>
        <w:t xml:space="preserve">, and to propose actionable mitigation strategies. These strategies can help reduce energy consumption for cooling, improve air quality, and lower greenhouse gas (GHG) emissions.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 xml:space="preserve">Identify areas that are excessive heat zones: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Identify sites/heat zones in New York City at block level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Scale problem: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Temperature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Air quality data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Prioritisation: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Income and demographics data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Building efficiency rating data</w:t>
      </w:r>
    </w:p>
    <w:p w:rsidR="00000000" w:rsidDel="00000000" w:rsidP="00000000" w:rsidRDefault="00000000" w:rsidRPr="00000000" w14:paraId="00000011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Recommend a suite of solutions to adapt/mitigate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 roofs: Identify potential sites for green roofs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Tree cover: Identify sites for tree cover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Sidewalks that don’t have trees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Sidewalks where there are restaurants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Cool pavements: Identify pavements that are due repair or don’t use color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Cool roads: Identify roads due for repair or those that use poor material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Develop projections for each recommended solution: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Estimate temperature reduction 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Translate that into emissions reduction 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Put all of this together in a dashboard: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76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Street shed approvals during the pandemic did not predict maximum temperatures in 2019. This is good evidence that there isn’t a confounding variable or reverse causation here and a negative impact on temperatures in the post Covid period would be do to real factors.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