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b w:val="false"/>
          <w:bCs w:val="false"/>
          <w:i w:val="false"/>
          <w:iCs w:val="false"/>
          <w:color w:val="222222"/>
          <w:sz w:val="21"/>
          <w:szCs w:val="21"/>
        </w:rPr>
        <w:t xml:space="preserve"/>
      </w:r>
    </w:p>
    <w:p>
      <w:r>
        <w:rPr>
          <w:rFonts w:ascii="Georgia" w:cs="Georgia" w:eastAsia="Georgia" w:hAnsi="Georgia"/>
          <w:b w:val="false"/>
          <w:bCs w:val="false"/>
          <w:i w:val="false"/>
          <w:iCs w:val="false"/>
          <w:color w:val="222222"/>
          <w:sz w:val="21"/>
          <w:szCs w:val="21"/>
        </w:rPr>
        <w:t xml:space="preserve"/>
      </w:r>
    </w:p>
    <w:p>
      <w:r>
        <w:rPr>
          <w:rFonts w:ascii="Georgia" w:cs="Georgia" w:eastAsia="Georgia" w:hAnsi="Georgia"/>
          <w:b w:val="false"/>
          <w:bCs w:val="false"/>
          <w:i w:val="false"/>
          <w:iCs w:val="false"/>
          <w:color w:val="222222"/>
          <w:sz w:val="21"/>
          <w:szCs w:val="21"/>
        </w:rPr>
        <w:t xml:space="preserve"/>
      </w:r>
    </w:p>
    <w:p>
      <w:pPr>
        <w:spacing w:after="40"/>
        <w:jc w:val="center"/>
      </w:pPr>
      <w:r>
        <w:rPr>
          <w:rFonts w:ascii="Georgia" w:cs="Georgia" w:eastAsia="Georgia" w:hAnsi="Georgia"/>
          <w:b/>
          <w:bCs/>
          <w:i w:val="false"/>
          <w:iCs w:val="false"/>
          <w:color w:val="B07A12"/>
          <w:sz w:val="18"/>
          <w:szCs w:val="18"/>
        </w:rPr>
        <w:t xml:space="preserve">STRICTLY PRIVATE &amp; CONFIDENTIAL</w:t>
      </w:r>
    </w:p>
    <w:p>
      <w:pPr>
        <w:spacing w:after="260"/>
        <w:jc w:val="center"/>
      </w:pPr>
      <w:r>
        <w:rPr>
          <w:rFonts w:ascii="Georgia" w:cs="Georgia" w:eastAsia="Georgia" w:hAnsi="Georgia"/>
          <w:b/>
          <w:bCs/>
          <w:i w:val="false"/>
          <w:iCs w:val="false"/>
          <w:color w:val="6E6E6E"/>
          <w:sz w:val="20"/>
          <w:szCs w:val="20"/>
        </w:rPr>
        <w:t xml:space="preserve">CLIENT ADVISORY MEMORANDUM</w:t>
      </w:r>
    </w:p>
    <w:p>
      <w:pPr>
        <w:spacing w:after="60" w:line="460"/>
        <w:jc w:val="center"/>
      </w:pPr>
      <w:r>
        <w:rPr>
          <w:rFonts w:ascii="Georgia" w:cs="Georgia" w:eastAsia="Georgia" w:hAnsi="Georgia"/>
          <w:b/>
          <w:bCs/>
          <w:i w:val="false"/>
          <w:iCs w:val="false"/>
          <w:color w:val="1F3864"/>
          <w:sz w:val="40"/>
          <w:szCs w:val="40"/>
        </w:rPr>
        <w:t xml:space="preserve">The India–United Kingdom</w:t>
      </w:r>
    </w:p>
    <w:p>
      <w:pPr>
        <w:spacing w:after="60" w:line="460"/>
        <w:jc w:val="center"/>
      </w:pPr>
      <w:r>
        <w:rPr>
          <w:rFonts w:ascii="Georgia" w:cs="Georgia" w:eastAsia="Georgia" w:hAnsi="Georgia"/>
          <w:b/>
          <w:bCs/>
          <w:i w:val="false"/>
          <w:iCs w:val="false"/>
          <w:color w:val="1F3864"/>
          <w:sz w:val="40"/>
          <w:szCs w:val="40"/>
        </w:rPr>
        <w:t xml:space="preserve">Comprehensive Economic</w:t>
      </w:r>
    </w:p>
    <w:p>
      <w:pPr>
        <w:spacing w:after="220" w:line="460"/>
        <w:jc w:val="center"/>
      </w:pPr>
      <w:r>
        <w:rPr>
          <w:rFonts w:ascii="Georgia" w:cs="Georgia" w:eastAsia="Georgia" w:hAnsi="Georgia"/>
          <w:b/>
          <w:bCs/>
          <w:i w:val="false"/>
          <w:iCs w:val="false"/>
          <w:color w:val="1F3864"/>
          <w:sz w:val="40"/>
          <w:szCs w:val="40"/>
        </w:rPr>
        <w:t xml:space="preserve">&amp; Trade Agreement (CETA)</w:t>
      </w:r>
    </w:p>
    <w:p>
      <w:pPr>
        <w:spacing w:after="60"/>
        <w:jc w:val="center"/>
      </w:pPr>
      <w:r>
        <w:rPr>
          <w:rFonts w:ascii="Georgia" w:cs="Georgia" w:eastAsia="Georgia" w:hAnsi="Georgia"/>
          <w:b w:val="false"/>
          <w:bCs w:val="false"/>
          <w:i/>
          <w:iCs/>
          <w:color w:val="2E4C7E"/>
          <w:sz w:val="24"/>
          <w:szCs w:val="24"/>
        </w:rPr>
        <w:t xml:space="preserve">A Practical Guide for Businesses Trading Between India and the United Kingdom</w:t>
      </w:r>
    </w:p>
    <w:p>
      <w:pPr>
        <w:spacing w:after="320"/>
        <w:jc w:val="center"/>
      </w:pPr>
      <w:r>
        <w:rPr>
          <w:rFonts w:ascii="Georgia" w:cs="Georgia" w:eastAsia="Georgia" w:hAnsi="Georgia"/>
          <w:b w:val="false"/>
          <w:bCs w:val="false"/>
          <w:i w:val="false"/>
          <w:iCs w:val="false"/>
          <w:color w:val="6E6E6E"/>
          <w:sz w:val="21"/>
          <w:szCs w:val="21"/>
        </w:rPr>
        <w:t xml:space="preserve">What has changed, what has not, and what you should do now</w:t>
      </w:r>
    </w:p>
    <w:p>
      <w:pPr>
        <w:pBdr>
          <w:bottom w:val="single" w:color="B07A12" w:sz="8" w:space="4"/>
        </w:pBdr>
        <w:spacing w:after="200"/>
      </w:pPr>
      <w:r>
        <w:rPr>
          <w:rFonts w:ascii="Georgia" w:cs="Georgia" w:eastAsia="Georgia" w:hAnsi="Georgia"/>
          <w:b w:val="false"/>
          <w:bCs w:val="false"/>
          <w:i w:val="false"/>
          <w:iCs w:val="false"/>
          <w:color w:val="222222"/>
          <w:sz w:val="21"/>
          <w:szCs w:val="21"/>
        </w:rPr>
        <w:t xml:space="preserve"/>
      </w:r>
    </w:p>
    <w:p>
      <w:pPr>
        <w:spacing w:after="30"/>
        <w:jc w:val="center"/>
      </w:pPr>
      <w:r>
        <w:rPr>
          <w:rFonts w:ascii="Georgia" w:cs="Georgia" w:eastAsia="Georgia" w:hAnsi="Georgia"/>
          <w:b/>
          <w:bCs/>
          <w:i w:val="false"/>
          <w:iCs w:val="false"/>
          <w:color w:val="1F3864"/>
          <w:sz w:val="22"/>
          <w:szCs w:val="22"/>
        </w:rPr>
        <w:t xml:space="preserve">Entry into force: 15 July 2026</w:t>
      </w:r>
    </w:p>
    <w:p>
      <w:pPr>
        <w:spacing w:after="220"/>
        <w:jc w:val="center"/>
      </w:pPr>
      <w:r>
        <w:rPr>
          <w:rFonts w:ascii="Georgia" w:cs="Georgia" w:eastAsia="Georgia" w:hAnsi="Georgia"/>
          <w:b w:val="false"/>
          <w:bCs w:val="false"/>
          <w:i/>
          <w:iCs/>
          <w:color w:val="6E6E6E"/>
          <w:sz w:val="18"/>
          <w:szCs w:val="18"/>
        </w:rPr>
        <w:t xml:space="preserve">This memorandum is issued as at 15 July 2026, the date the Agreement becomes operative.</w:t>
      </w:r>
    </w:p>
    <w:p>
      <w:r>
        <w:rPr>
          <w:rFonts w:ascii="Georgia" w:cs="Georgia" w:eastAsia="Georgia" w:hAnsi="Georgia"/>
          <w:b w:val="false"/>
          <w:bCs w:val="false"/>
          <w:i w:val="false"/>
          <w:iCs w:val="false"/>
          <w:color w:val="222222"/>
          <w:sz w:val="21"/>
          <w:szCs w:val="21"/>
        </w:rPr>
        <w:t xml:space="preserve"/>
      </w:r>
    </w:p>
    <w:p>
      <w:pPr>
        <w:spacing w:after="10"/>
        <w:jc w:val="center"/>
      </w:pPr>
      <w:r>
        <w:rPr>
          <w:rFonts w:ascii="Georgia" w:cs="Georgia" w:eastAsia="Georgia" w:hAnsi="Georgia"/>
          <w:b w:val="false"/>
          <w:bCs w:val="false"/>
          <w:i w:val="false"/>
          <w:iCs w:val="false"/>
          <w:color w:val="6E6E6E"/>
          <w:sz w:val="18"/>
          <w:szCs w:val="18"/>
        </w:rPr>
        <w:t xml:space="preserve">Prepared by the</w:t>
      </w:r>
    </w:p>
    <w:p>
      <w:pPr>
        <w:spacing w:after="10"/>
        <w:jc w:val="center"/>
      </w:pPr>
      <w:r>
        <w:rPr>
          <w:rFonts w:ascii="Georgia" w:cs="Georgia" w:eastAsia="Georgia" w:hAnsi="Georgia"/>
          <w:b/>
          <w:bCs/>
          <w:i w:val="false"/>
          <w:iCs w:val="false"/>
          <w:color w:val="1F3864"/>
          <w:sz w:val="20"/>
          <w:szCs w:val="20"/>
        </w:rPr>
        <w:t xml:space="preserve">International Trade, Customs &amp; Corporate Advisory Practice</w:t>
      </w:r>
    </w:p>
    <w:p>
      <w:pPr>
        <w:spacing w:after="0"/>
        <w:jc w:val="center"/>
      </w:pPr>
      <w:r>
        <w:rPr>
          <w:rFonts w:ascii="Georgia" w:cs="Georgia" w:eastAsia="Georgia" w:hAnsi="Georgia"/>
          <w:b w:val="false"/>
          <w:bCs w:val="false"/>
          <w:i w:val="false"/>
          <w:iCs w:val="false"/>
          <w:color w:val="6E6E6E"/>
          <w:sz w:val="16"/>
          <w:szCs w:val="16"/>
        </w:rPr>
        <w:t xml:space="preserve">Cross-border Trade  ·  Customs &amp; Indirect Tax  ·  FEMA / RBI  ·  Corporate &amp; Commercial</w:t>
      </w:r>
    </w:p>
    <w:p>
      <w:r>
        <w:br w:type="page"/>
      </w:r>
    </w:p>
    <w:p>
      <w:pPr>
        <w:pStyle w:val="Heading1"/>
        <w:pBdr>
          <w:bottom w:val="single" w:color="1F3864" w:sz="10" w:space="6"/>
        </w:pBdr>
        <w:spacing w:after="160" w:before="340"/>
      </w:pPr>
      <w:r>
        <w:rPr>
          <w:rFonts w:ascii="Georgia" w:cs="Georgia" w:eastAsia="Georgia" w:hAnsi="Georgia"/>
          <w:b/>
          <w:bCs/>
          <w:i w:val="false"/>
          <w:iCs w:val="false"/>
          <w:color w:val="1F3864"/>
          <w:sz w:val="30"/>
          <w:szCs w:val="30"/>
        </w:rPr>
        <w:t xml:space="preserve">Contents</w:t>
      </w:r>
    </w:p>
    <w:p>
      <w:pPr>
        <w:spacing w:after="24" w:before="0"/>
        <w:ind w:left="300"/>
      </w:pPr>
      <w:r>
        <w:rPr>
          <w:rFonts w:ascii="Georgia" w:cs="Georgia" w:eastAsia="Georgia" w:hAnsi="Georgia"/>
          <w:b w:val="false"/>
          <w:bCs w:val="false"/>
          <w:i w:val="false"/>
          <w:iCs w:val="false"/>
          <w:color w:val="222222"/>
          <w:sz w:val="19"/>
          <w:szCs w:val="19"/>
        </w:rPr>
        <w:t xml:space="preserve">How to Read This Memorandum</w:t>
      </w:r>
    </w:p>
    <w:p>
      <w:pPr>
        <w:spacing w:after="24" w:before="0"/>
        <w:ind w:left="300"/>
      </w:pPr>
      <w:r>
        <w:rPr>
          <w:rFonts w:ascii="Georgia" w:cs="Georgia" w:eastAsia="Georgia" w:hAnsi="Georgia"/>
          <w:b w:val="false"/>
          <w:bCs w:val="false"/>
          <w:i w:val="false"/>
          <w:iCs w:val="false"/>
          <w:color w:val="222222"/>
          <w:sz w:val="19"/>
          <w:szCs w:val="19"/>
        </w:rPr>
        <w:t xml:space="preserve">Important Notice — Scope, Sources and Reliance</w:t>
      </w:r>
    </w:p>
    <w:p>
      <w:pPr>
        <w:spacing w:after="24" w:before="0"/>
        <w:ind w:left="300"/>
      </w:pPr>
      <w:r>
        <w:rPr>
          <w:rFonts w:ascii="Georgia" w:cs="Georgia" w:eastAsia="Georgia" w:hAnsi="Georgia"/>
          <w:b w:val="false"/>
          <w:bCs w:val="false"/>
          <w:i w:val="false"/>
          <w:iCs w:val="false"/>
          <w:color w:val="222222"/>
          <w:sz w:val="19"/>
          <w:szCs w:val="19"/>
        </w:rPr>
        <w:t xml:space="preserve">Executive Summary</w:t>
      </w:r>
    </w:p>
    <w:p>
      <w:pPr>
        <w:spacing w:after="40" w:before="100"/>
        <w:ind w:left="0"/>
      </w:pPr>
      <w:r>
        <w:rPr>
          <w:rFonts w:ascii="Georgia" w:cs="Georgia" w:eastAsia="Georgia" w:hAnsi="Georgia"/>
          <w:b/>
          <w:bCs/>
          <w:i w:val="false"/>
          <w:iCs w:val="false"/>
          <w:color w:val="1F3864"/>
          <w:sz w:val="21"/>
          <w:szCs w:val="21"/>
        </w:rPr>
        <w:t xml:space="preserve">Chapter 1 — The Pre-FTA Position (Before the India–UK CETA)</w:t>
      </w:r>
    </w:p>
    <w:p>
      <w:pPr>
        <w:spacing w:after="24" w:before="0"/>
        <w:ind w:left="300"/>
      </w:pPr>
      <w:r>
        <w:rPr>
          <w:rFonts w:ascii="Georgia" w:cs="Georgia" w:eastAsia="Georgia" w:hAnsi="Georgia"/>
          <w:b w:val="false"/>
          <w:bCs w:val="false"/>
          <w:i w:val="false"/>
          <w:iCs w:val="false"/>
          <w:color w:val="222222"/>
          <w:sz w:val="19"/>
          <w:szCs w:val="19"/>
        </w:rPr>
        <w:t xml:space="preserve">1.1  The common framework applying to all sectors</w:t>
      </w:r>
    </w:p>
    <w:p>
      <w:pPr>
        <w:spacing w:after="24" w:before="0"/>
        <w:ind w:left="300"/>
      </w:pPr>
      <w:r>
        <w:rPr>
          <w:rFonts w:ascii="Georgia" w:cs="Georgia" w:eastAsia="Georgia" w:hAnsi="Georgia"/>
          <w:b w:val="false"/>
          <w:bCs w:val="false"/>
          <w:i w:val="false"/>
          <w:iCs w:val="false"/>
          <w:color w:val="222222"/>
          <w:sz w:val="19"/>
          <w:szCs w:val="19"/>
        </w:rPr>
        <w:t xml:space="preserve">1.2  Sector-by-sector: the pre-FTA position</w:t>
      </w:r>
    </w:p>
    <w:p>
      <w:pPr>
        <w:spacing w:after="24" w:before="0"/>
        <w:ind w:left="300"/>
      </w:pPr>
      <w:r>
        <w:rPr>
          <w:rFonts w:ascii="Georgia" w:cs="Georgia" w:eastAsia="Georgia" w:hAnsi="Georgia"/>
          <w:b w:val="false"/>
          <w:bCs w:val="false"/>
          <w:i w:val="false"/>
          <w:iCs w:val="false"/>
          <w:color w:val="222222"/>
          <w:sz w:val="19"/>
          <w:szCs w:val="19"/>
        </w:rPr>
        <w:t xml:space="preserve">1.3  Consolidated pre-FTA pain points</w:t>
      </w:r>
    </w:p>
    <w:p>
      <w:pPr>
        <w:spacing w:after="40" w:before="100"/>
        <w:ind w:left="0"/>
      </w:pPr>
      <w:r>
        <w:rPr>
          <w:rFonts w:ascii="Georgia" w:cs="Georgia" w:eastAsia="Georgia" w:hAnsi="Georgia"/>
          <w:b/>
          <w:bCs/>
          <w:i w:val="false"/>
          <w:iCs w:val="false"/>
          <w:color w:val="1F3864"/>
          <w:sz w:val="21"/>
          <w:szCs w:val="21"/>
        </w:rPr>
        <w:t xml:space="preserve">Chapter 2 — The India–UK CETA: An Overview</w:t>
      </w:r>
    </w:p>
    <w:p>
      <w:pPr>
        <w:spacing w:after="40" w:before="100"/>
        <w:ind w:left="0"/>
      </w:pPr>
      <w:r>
        <w:rPr>
          <w:rFonts w:ascii="Georgia" w:cs="Georgia" w:eastAsia="Georgia" w:hAnsi="Georgia"/>
          <w:b/>
          <w:bCs/>
          <w:i w:val="false"/>
          <w:iCs w:val="false"/>
          <w:color w:val="1F3864"/>
          <w:sz w:val="21"/>
          <w:szCs w:val="21"/>
        </w:rPr>
        <w:t xml:space="preserve">Chapter 3 — What the CETA Changes (Sector by Sector)</w:t>
      </w:r>
    </w:p>
    <w:p>
      <w:pPr>
        <w:spacing w:after="24" w:before="0"/>
        <w:ind w:left="300"/>
      </w:pPr>
      <w:r>
        <w:rPr>
          <w:rFonts w:ascii="Georgia" w:cs="Georgia" w:eastAsia="Georgia" w:hAnsi="Georgia"/>
          <w:b w:val="false"/>
          <w:bCs w:val="false"/>
          <w:i w:val="false"/>
          <w:iCs w:val="false"/>
          <w:color w:val="222222"/>
          <w:sz w:val="19"/>
          <w:szCs w:val="19"/>
        </w:rPr>
        <w:t xml:space="preserve">3.1  The cross-cutting changes</w:t>
      </w:r>
    </w:p>
    <w:p>
      <w:pPr>
        <w:spacing w:after="24" w:before="0"/>
        <w:ind w:left="300"/>
      </w:pPr>
      <w:r>
        <w:rPr>
          <w:rFonts w:ascii="Georgia" w:cs="Georgia" w:eastAsia="Georgia" w:hAnsi="Georgia"/>
          <w:b w:val="false"/>
          <w:bCs w:val="false"/>
          <w:i w:val="false"/>
          <w:iCs w:val="false"/>
          <w:color w:val="222222"/>
          <w:sz w:val="19"/>
          <w:szCs w:val="19"/>
        </w:rPr>
        <w:t xml:space="preserve">3.2  Sector-by-sector: what has changed</w:t>
      </w:r>
    </w:p>
    <w:p>
      <w:pPr>
        <w:spacing w:after="24" w:before="0"/>
        <w:ind w:left="300"/>
      </w:pPr>
      <w:r>
        <w:rPr>
          <w:rFonts w:ascii="Georgia" w:cs="Georgia" w:eastAsia="Georgia" w:hAnsi="Georgia"/>
          <w:b w:val="false"/>
          <w:bCs w:val="false"/>
          <w:i w:val="false"/>
          <w:iCs w:val="false"/>
          <w:color w:val="222222"/>
          <w:sz w:val="19"/>
          <w:szCs w:val="19"/>
        </w:rPr>
        <w:t xml:space="preserve">3.3  Transition and phase-in at a glance</w:t>
      </w:r>
    </w:p>
    <w:p>
      <w:pPr>
        <w:spacing w:after="40" w:before="100"/>
        <w:ind w:left="0"/>
      </w:pPr>
      <w:r>
        <w:rPr>
          <w:rFonts w:ascii="Georgia" w:cs="Georgia" w:eastAsia="Georgia" w:hAnsi="Georgia"/>
          <w:b/>
          <w:bCs/>
          <w:i w:val="false"/>
          <w:iCs w:val="false"/>
          <w:color w:val="1F3864"/>
          <w:sz w:val="21"/>
          <w:szCs w:val="21"/>
        </w:rPr>
        <w:t xml:space="preserve">The Eight Master Comparison Tables</w:t>
      </w:r>
    </w:p>
    <w:p>
      <w:pPr>
        <w:spacing w:after="24" w:before="0"/>
        <w:ind w:left="300"/>
      </w:pPr>
      <w:r>
        <w:rPr>
          <w:rFonts w:ascii="Georgia" w:cs="Georgia" w:eastAsia="Georgia" w:hAnsi="Georgia"/>
          <w:b w:val="false"/>
          <w:bCs w:val="false"/>
          <w:i w:val="false"/>
          <w:iCs w:val="false"/>
          <w:color w:val="222222"/>
          <w:sz w:val="19"/>
          <w:szCs w:val="19"/>
        </w:rPr>
        <w:t xml:space="preserve">Pre-FTA — Tables 1 to 4</w:t>
      </w:r>
    </w:p>
    <w:p>
      <w:pPr>
        <w:spacing w:after="24" w:before="0"/>
        <w:ind w:left="300"/>
      </w:pPr>
      <w:r>
        <w:rPr>
          <w:rFonts w:ascii="Georgia" w:cs="Georgia" w:eastAsia="Georgia" w:hAnsi="Georgia"/>
          <w:b w:val="false"/>
          <w:bCs w:val="false"/>
          <w:i w:val="false"/>
          <w:iCs w:val="false"/>
          <w:color w:val="222222"/>
          <w:sz w:val="19"/>
          <w:szCs w:val="19"/>
        </w:rPr>
        <w:t xml:space="preserve">Post-FTA — Tables 5 to 8</w:t>
      </w:r>
    </w:p>
    <w:p>
      <w:pPr>
        <w:spacing w:after="24" w:before="0"/>
        <w:ind w:left="300"/>
      </w:pPr>
      <w:r>
        <w:rPr>
          <w:rFonts w:ascii="Georgia" w:cs="Georgia" w:eastAsia="Georgia" w:hAnsi="Georgia"/>
          <w:b w:val="false"/>
          <w:bCs w:val="false"/>
          <w:i w:val="false"/>
          <w:iCs w:val="false"/>
          <w:color w:val="222222"/>
          <w:sz w:val="19"/>
          <w:szCs w:val="19"/>
        </w:rPr>
        <w:t xml:space="preserve">Analysis: Key Commercial Changes, Client Action Points, Compliance Checklists</w:t>
      </w:r>
    </w:p>
    <w:p>
      <w:pPr>
        <w:spacing w:after="40" w:before="100"/>
        <w:ind w:left="0"/>
      </w:pPr>
      <w:r>
        <w:rPr>
          <w:rFonts w:ascii="Georgia" w:cs="Georgia" w:eastAsia="Georgia" w:hAnsi="Georgia"/>
          <w:b/>
          <w:bCs/>
          <w:i w:val="false"/>
          <w:iCs w:val="false"/>
          <w:color w:val="1F3864"/>
          <w:sz w:val="21"/>
          <w:szCs w:val="21"/>
        </w:rPr>
        <w:t xml:space="preserve">Final Chapter — Advisory Opportunities for Professional Advisers</w:t>
      </w:r>
    </w:p>
    <w:p>
      <w:pPr>
        <w:spacing w:after="40" w:before="100"/>
        <w:ind w:left="0"/>
      </w:pPr>
      <w:r>
        <w:rPr>
          <w:rFonts w:ascii="Georgia" w:cs="Georgia" w:eastAsia="Georgia" w:hAnsi="Georgia"/>
          <w:b/>
          <w:bCs/>
          <w:i w:val="false"/>
          <w:iCs w:val="false"/>
          <w:color w:val="1F3864"/>
          <w:sz w:val="21"/>
          <w:szCs w:val="21"/>
        </w:rPr>
        <w:t xml:space="preserve">Closing Note and Consolidated Compliance Checklist</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40" w:line="276"/>
              <w:jc w:val="left"/>
            </w:pPr>
            <w:r>
              <w:rPr>
                <w:rFonts w:ascii="Georgia" w:cs="Georgia" w:eastAsia="Georgia" w:hAnsi="Georgia"/>
                <w:b/>
                <w:bCs/>
                <w:i w:val="false"/>
                <w:iCs w:val="false"/>
                <w:color w:val="222222"/>
                <w:sz w:val="19"/>
                <w:szCs w:val="19"/>
              </w:rPr>
              <w:t xml:space="preserve">Note on structure. </w:t>
            </w:r>
            <w:r>
              <w:rPr>
                <w:rFonts w:ascii="Georgia" w:cs="Georgia" w:eastAsia="Georgia" w:hAnsi="Georgia"/>
                <w:b w:val="false"/>
                <w:bCs w:val="false"/>
                <w:i w:val="false"/>
                <w:iCs w:val="false"/>
                <w:color w:val="222222"/>
                <w:sz w:val="19"/>
                <w:szCs w:val="19"/>
              </w:rPr>
              <w:t xml:space="preserve">Chapters are presented in their final reading order (Pre-FTA position, then the Overview, then what changed), followed by the eight comparison tables and the advisory chapter. Page numbers are shown in the footer; this contents page lists chapters and principal sections without page numbers so that it remains accurate if the document is edited.</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How to Read This Memorandum</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explains, in plain business English, what the India–UK CETA means for companies that import goods and services from the United Kingdom into India, and for companies that export goods and services from India to the United Kingdom. It is written for business owners, finance teams, supply-chain managers and in-house counsel — not for trade lawyers. Wherever possible we have avoided treaty language and focused on the commercial and compliance consequences of the Agreement.</w:t>
      </w:r>
    </w:p>
    <w:p>
      <w:pPr>
        <w:pStyle w:val="Heading2"/>
        <w:keepNext/>
        <w:spacing w:after="90" w:before="240"/>
      </w:pPr>
      <w:r>
        <w:rPr>
          <w:rFonts w:ascii="Georgia" w:cs="Georgia" w:eastAsia="Georgia" w:hAnsi="Georgia"/>
          <w:b/>
          <w:bCs/>
          <w:i w:val="false"/>
          <w:iCs w:val="false"/>
          <w:color w:val="2E4C7E"/>
          <w:sz w:val="24"/>
          <w:szCs w:val="24"/>
        </w:rPr>
        <w:t xml:space="preserve">The three questions this memorandum answers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What was the position </w:t>
      </w:r>
      <w:r>
        <w:rPr>
          <w:rFonts w:ascii="Georgia" w:cs="Georgia" w:eastAsia="Georgia" w:hAnsi="Georgia"/>
          <w:b w:val="false"/>
          <w:bCs w:val="false"/>
          <w:i w:val="false"/>
          <w:iCs w:val="false"/>
          <w:color w:val="222222"/>
          <w:sz w:val="21"/>
          <w:szCs w:val="21"/>
        </w:rPr>
        <w:t xml:space="preserve">before</w:t>
      </w:r>
      <w:r>
        <w:rPr>
          <w:rFonts w:ascii="Georgia" w:cs="Georgia" w:eastAsia="Georgia" w:hAnsi="Georgia"/>
          <w:b w:val="false"/>
          <w:bCs w:val="false"/>
          <w:i w:val="false"/>
          <w:iCs w:val="false"/>
          <w:color w:val="222222"/>
          <w:sz w:val="21"/>
          <w:szCs w:val="21"/>
        </w:rPr>
        <w:t xml:space="preserve"> the CETA — the duties, licences, standards and procedures that applied to your trade until now (Chapter 1);</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What has </w:t>
      </w:r>
      <w:r>
        <w:rPr>
          <w:rFonts w:ascii="Georgia" w:cs="Georgia" w:eastAsia="Georgia" w:hAnsi="Georgia"/>
          <w:b/>
          <w:bCs/>
          <w:i w:val="false"/>
          <w:iCs w:val="false"/>
          <w:color w:val="222222"/>
          <w:sz w:val="21"/>
          <w:szCs w:val="21"/>
        </w:rPr>
        <w:t xml:space="preserve">changed</w:t>
      </w:r>
      <w:r>
        <w:rPr>
          <w:rFonts w:ascii="Georgia" w:cs="Georgia" w:eastAsia="Georgia" w:hAnsi="Georgia"/>
          <w:b w:val="false"/>
          <w:bCs w:val="false"/>
          <w:i w:val="false"/>
          <w:iCs w:val="false"/>
          <w:color w:val="222222"/>
          <w:sz w:val="21"/>
          <w:szCs w:val="21"/>
        </w:rPr>
        <w:t xml:space="preserve"> on and from 15 July 2026 — the tariff cuts, new market access and new compliance steps (Chapters 2 and 3); and</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What has </w:t>
      </w:r>
      <w:r>
        <w:rPr>
          <w:rFonts w:ascii="Georgia" w:cs="Georgia" w:eastAsia="Georgia" w:hAnsi="Georgia"/>
          <w:b/>
          <w:bCs/>
          <w:i w:val="false"/>
          <w:iCs w:val="false"/>
          <w:color w:val="222222"/>
          <w:sz w:val="21"/>
          <w:szCs w:val="21"/>
        </w:rPr>
        <w:t xml:space="preserve">not</w:t>
      </w:r>
      <w:r>
        <w:rPr>
          <w:rFonts w:ascii="Georgia" w:cs="Georgia" w:eastAsia="Georgia" w:hAnsi="Georgia"/>
          <w:b w:val="false"/>
          <w:bCs w:val="false"/>
          <w:i w:val="false"/>
          <w:iCs w:val="false"/>
          <w:color w:val="222222"/>
          <w:sz w:val="21"/>
          <w:szCs w:val="21"/>
        </w:rPr>
        <w:t xml:space="preserve"> changed — the domestic taxes, approvals and regulatory requirements that continue to apply regardless of the Agreement (flagged throughout).</w:t>
      </w:r>
    </w:p>
    <w:p>
      <w:pPr>
        <w:pStyle w:val="Heading2"/>
        <w:keepNext/>
        <w:spacing w:after="90" w:before="240"/>
      </w:pPr>
      <w:r>
        <w:rPr>
          <w:rFonts w:ascii="Georgia" w:cs="Georgia" w:eastAsia="Georgia" w:hAnsi="Georgia"/>
          <w:b/>
          <w:bCs/>
          <w:i w:val="false"/>
          <w:iCs w:val="false"/>
          <w:color w:val="2E4C7E"/>
          <w:sz w:val="24"/>
          <w:szCs w:val="24"/>
        </w:rPr>
        <w:t xml:space="preserve">How this memorandum is organised</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1 — </w:t>
      </w:r>
      <w:r>
        <w:rPr>
          <w:rFonts w:ascii="Georgia" w:cs="Georgia" w:eastAsia="Georgia" w:hAnsi="Georgia"/>
          <w:b w:val="false"/>
          <w:bCs w:val="false"/>
          <w:i w:val="false"/>
          <w:iCs w:val="false"/>
          <w:color w:val="222222"/>
          <w:sz w:val="21"/>
          <w:szCs w:val="21"/>
        </w:rPr>
        <w:t xml:space="preserve">The pre-FTA position, sector by sector (the baseline against which every change is measured).</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2 — </w:t>
      </w:r>
      <w:r>
        <w:rPr>
          <w:rFonts w:ascii="Georgia" w:cs="Georgia" w:eastAsia="Georgia" w:hAnsi="Georgia"/>
          <w:b w:val="false"/>
          <w:bCs w:val="false"/>
          <w:i w:val="false"/>
          <w:iCs w:val="false"/>
          <w:color w:val="222222"/>
          <w:sz w:val="21"/>
          <w:szCs w:val="21"/>
        </w:rPr>
        <w:t xml:space="preserve">An overview of the CETA: what it is, what it covers and how it takes effect.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3 — </w:t>
      </w:r>
      <w:r>
        <w:rPr>
          <w:rFonts w:ascii="Georgia" w:cs="Georgia" w:eastAsia="Georgia" w:hAnsi="Georgia"/>
          <w:b w:val="false"/>
          <w:bCs w:val="false"/>
          <w:i w:val="false"/>
          <w:iCs w:val="false"/>
          <w:color w:val="222222"/>
          <w:sz w:val="21"/>
          <w:szCs w:val="21"/>
        </w:rPr>
        <w:t xml:space="preserve">What the CETA changes, sector by sector, for both directions of trade.</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Eight Master Comparison Tables — </w:t>
      </w:r>
      <w:r>
        <w:rPr>
          <w:rFonts w:ascii="Georgia" w:cs="Georgia" w:eastAsia="Georgia" w:hAnsi="Georgia"/>
          <w:b w:val="false"/>
          <w:bCs w:val="false"/>
          <w:i w:val="false"/>
          <w:iCs w:val="false"/>
          <w:color w:val="222222"/>
          <w:sz w:val="21"/>
          <w:szCs w:val="21"/>
        </w:rPr>
        <w:t xml:space="preserve">a side-by-side view of the pre-FTA and post-FTA position for goods and services in each direction, each with the four columns you asked for, followed by Key Commercial Changes, Client Action Points and a Compliance Checklist.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Final Chapter — </w:t>
      </w:r>
      <w:r>
        <w:rPr>
          <w:rFonts w:ascii="Georgia" w:cs="Georgia" w:eastAsia="Georgia" w:hAnsi="Georgia"/>
          <w:b w:val="false"/>
          <w:bCs w:val="false"/>
          <w:i w:val="false"/>
          <w:iCs w:val="false"/>
          <w:color w:val="222222"/>
          <w:sz w:val="21"/>
          <w:szCs w:val="21"/>
        </w:rPr>
        <w:t xml:space="preserve">A sector-wise map of where professional advisers can add value.</w:t>
      </w:r>
    </w:p>
    <w:p>
      <w:pPr>
        <w:pStyle w:val="Heading2"/>
        <w:keepNext/>
        <w:spacing w:after="90" w:before="240"/>
      </w:pPr>
      <w:r>
        <w:rPr>
          <w:rFonts w:ascii="Georgia" w:cs="Georgia" w:eastAsia="Georgia" w:hAnsi="Georgia"/>
          <w:b/>
          <w:bCs/>
          <w:i w:val="false"/>
          <w:iCs w:val="false"/>
          <w:color w:val="2E4C7E"/>
          <w:sz w:val="24"/>
          <w:szCs w:val="24"/>
        </w:rPr>
        <w:t xml:space="preserve">The call-out boxes used throughout</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A one-line summary of the single most important point in a section — read these if you read nothing else.</w:t>
            </w:r>
          </w:p>
        </w:tc>
      </w:tr>
    </w:tbl>
    <w:p>
      <w:pPr>
        <w:spacing w:after="60"/>
      </w:pPr>
      <w:r>
        <w:rPr>
          <w:rFonts w:ascii="Georgia" w:cs="Georgia" w:eastAsia="Georgia" w:hAnsi="Georgia"/>
          <w:b w:val="false"/>
          <w:bCs w:val="false"/>
          <w:i w:val="false"/>
          <w:iCs w:val="false"/>
          <w:color w:val="222222"/>
          <w:sz w:val="21"/>
          <w:szCs w:val="21"/>
        </w:rPr>
        <w:t xml:space="preserve"/>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What a change means in day-to-day commercial terms — for pricing, sourcing, cash flow or paperwork.</w:t>
            </w:r>
          </w:p>
        </w:tc>
      </w:tr>
    </w:tbl>
    <w:p>
      <w:pPr>
        <w:spacing w:after="60"/>
      </w:pPr>
      <w:r>
        <w:rPr>
          <w:rFonts w:ascii="Georgia" w:cs="Georgia" w:eastAsia="Georgia" w:hAnsi="Georgia"/>
          <w:b w:val="false"/>
          <w:bCs w:val="false"/>
          <w:i w:val="false"/>
          <w:iCs w:val="false"/>
          <w:color w:val="222222"/>
          <w:sz w:val="21"/>
          <w:szCs w:val="21"/>
        </w:rPr>
        <w:t xml:space="preserve"/>
      </w:r>
    </w:p>
    <w:tbl>
      <w:tblPr>
        <w:tblW w:type="dxa" w:w="9026"/>
        <w:tblBorders>
          <w:top w:val="single" w:color="EAF3EC" w:sz="2"/>
          <w:left w:val="single" w:color="3C7D52" w:sz="30"/>
          <w:bottom w:val="single" w:color="EAF3EC" w:sz="2"/>
          <w:right w:val="single" w:color="EAF3EC" w:sz="2"/>
          <w:insideH w:val="none"/>
          <w:insideV w:val="none"/>
        </w:tblBorders>
      </w:tblPr>
      <w:tblGrid>
        <w:gridCol w:w="9026"/>
      </w:tblGrid>
      <w:tr>
        <w:tc>
          <w:tcPr>
            <w:tcW w:type="dxa" w:w="9026"/>
            <w:shd w:fill="EAF3EC" w:color="auto" w:val="clear"/>
            <w:tcMar>
              <w:top w:type="dxa" w:w="130"/>
              <w:left w:type="dxa" w:w="220"/>
              <w:bottom w:type="dxa" w:w="130"/>
              <w:right w:type="dxa" w:w="200"/>
            </w:tcMar>
          </w:tcPr>
          <w:p>
            <w:pPr>
              <w:spacing w:after="60"/>
            </w:pPr>
            <w:r>
              <w:rPr>
                <w:rFonts w:ascii="Georgia" w:cs="Georgia" w:eastAsia="Georgia" w:hAnsi="Georgia"/>
                <w:b/>
                <w:bCs/>
                <w:i w:val="false"/>
                <w:iCs w:val="false"/>
                <w:color w:val="3C7D52"/>
                <w:sz w:val="17"/>
                <w:szCs w:val="17"/>
              </w:rPr>
              <w:t xml:space="preserve">CLIENT TIP</w:t>
            </w:r>
          </w:p>
          <w:p>
            <w:pPr>
              <w:spacing w:after="40" w:line="276"/>
              <w:jc w:val="left"/>
            </w:pPr>
            <w:r>
              <w:rPr>
                <w:rFonts w:ascii="Georgia" w:cs="Georgia" w:eastAsia="Georgia" w:hAnsi="Georgia"/>
                <w:b w:val="false"/>
                <w:bCs w:val="false"/>
                <w:i w:val="false"/>
                <w:iCs w:val="false"/>
                <w:color w:val="222222"/>
                <w:sz w:val="20"/>
                <w:szCs w:val="20"/>
              </w:rPr>
              <w:t xml:space="preserve">A practical suggestion on how to capture a benefit or avoid a pitfall.</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Important Notice — Scope, Sources and Reliance</w:t>
      </w:r>
    </w:p>
    <w:p>
      <w:pPr>
        <w:pStyle w:val="Heading3"/>
        <w:keepNext/>
        <w:spacing w:after="60" w:before="170"/>
      </w:pPr>
      <w:r>
        <w:rPr>
          <w:rFonts w:ascii="Georgia" w:cs="Georgia" w:eastAsia="Georgia" w:hAnsi="Georgia"/>
          <w:b/>
          <w:bCs/>
          <w:i w:val="false"/>
          <w:iCs w:val="false"/>
          <w:color w:val="2E4C7E"/>
          <w:sz w:val="21"/>
          <w:szCs w:val="21"/>
        </w:rPr>
        <w:t xml:space="preserve">Nature of this document</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a general information document prepared to help businesses understand the India–UK CETA. It is not legal, tax, customs, regulatory or financial advice, and it does not create any adviser–client relationship. The commercial position of every business is different; the classification of a product, the origin of its inputs, the structure of a transaction and the applicable regulatory regime can each change the outcome materially. You should obtain advice tailored to your specific facts before acting on anything in this memorandum.</w:t>
      </w:r>
    </w:p>
    <w:p>
      <w:pPr>
        <w:pStyle w:val="Heading3"/>
        <w:keepNext/>
        <w:spacing w:after="60" w:before="170"/>
      </w:pPr>
      <w:r>
        <w:rPr>
          <w:rFonts w:ascii="Georgia" w:cs="Georgia" w:eastAsia="Georgia" w:hAnsi="Georgia"/>
          <w:b/>
          <w:bCs/>
          <w:i w:val="false"/>
          <w:iCs w:val="false"/>
          <w:color w:val="2E4C7E"/>
          <w:sz w:val="21"/>
          <w:szCs w:val="21"/>
        </w:rPr>
        <w:t xml:space="preserve">Timing</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issued as at 15 July 2026 — the date on which the CETA and the accompanying Double Contribution Convention enter into force. Because the Agreement becomes operative only now, implementing instruments on the Indian side (including Central Board of Indirect Taxes and Customs (CBIC) customs notifications and Directorate General of Foreign Trade (DGFT) procedures) and on the UK side are still being issued and refined. Positions summarised here may be supplemented or clarified as those instruments are published.</w:t>
      </w:r>
    </w:p>
    <w:p>
      <w:pPr>
        <w:pStyle w:val="Heading3"/>
        <w:keepNext/>
        <w:spacing w:after="60" w:before="170"/>
      </w:pPr>
      <w:r>
        <w:rPr>
          <w:rFonts w:ascii="Georgia" w:cs="Georgia" w:eastAsia="Georgia" w:hAnsi="Georgia"/>
          <w:b/>
          <w:bCs/>
          <w:i w:val="false"/>
          <w:iCs w:val="false"/>
          <w:color w:val="2E4C7E"/>
          <w:sz w:val="21"/>
          <w:szCs w:val="21"/>
        </w:rPr>
        <w:t xml:space="preserve">Sources and cross-references</w:t>
      </w:r>
    </w:p>
    <w:p>
      <w:pPr>
        <w:spacing w:after="150" w:before="0" w:line="288"/>
        <w:jc w:val="both"/>
      </w:pPr>
      <w:r>
        <w:rPr>
          <w:rFonts w:ascii="Georgia" w:cs="Georgia" w:eastAsia="Georgia" w:hAnsi="Georgia"/>
          <w:b w:val="false"/>
          <w:bCs w:val="false"/>
          <w:i w:val="false"/>
          <w:iCs w:val="false"/>
          <w:color w:val="222222"/>
          <w:sz w:val="21"/>
          <w:szCs w:val="21"/>
        </w:rPr>
        <w:t xml:space="preserve">Figures, tariff bands and commitments are drawn from official and authoritative sources, principally: the Press Information Bureau (PIB) of the Government of India (including the entry-into-force release, Release ID 2274280, 17 June 2026, and the CETA backgrounder of 29 July 2025); the Ministry of Commerce &amp; Industry / Department of Commerce (commerce.gov.in); the UK Government (GOV.UK), HM Revenue &amp; Customs (HMRC) and the UK Department for Business and Trade (DBT) India Trade and Investment Factsheet dated 23 June 2026; and the MVIRDC World Trade Center (WTC) Mumbai Report on the India–UK FTA (2025). The definitive text of the Agreement, its tariff schedules, and the product-specific rules of origin (Annex 3A) are published by the Department of Commerce and on GOV.UK and are controlling in the event of any inconsistency. Where a precise Article or agreement page cannot be verified from the materials available to us, we have cited the relevant Chapter, Annex, schedule, notification or official publication, and have flagged the point for confirmation against the Agreement text rather than state a reference we cannot verify.</w:t>
      </w:r>
    </w:p>
    <w:p>
      <w:pPr>
        <w:pStyle w:val="Heading3"/>
        <w:keepNext/>
        <w:spacing w:after="60" w:before="170"/>
      </w:pPr>
      <w:r>
        <w:rPr>
          <w:rFonts w:ascii="Georgia" w:cs="Georgia" w:eastAsia="Georgia" w:hAnsi="Georgia"/>
          <w:b/>
          <w:bCs/>
          <w:i w:val="false"/>
          <w:iCs w:val="false"/>
          <w:color w:val="2E4C7E"/>
          <w:sz w:val="21"/>
          <w:szCs w:val="21"/>
        </w:rPr>
        <w:t xml:space="preserve">A note on the numbers</w:t>
      </w:r>
    </w:p>
    <w:p>
      <w:pPr>
        <w:spacing w:after="150" w:before="0" w:line="288"/>
        <w:jc w:val="both"/>
      </w:pPr>
      <w:r>
        <w:rPr>
          <w:rFonts w:ascii="Georgia" w:cs="Georgia" w:eastAsia="Georgia" w:hAnsi="Georgia"/>
          <w:b w:val="false"/>
          <w:bCs w:val="false"/>
          <w:i w:val="false"/>
          <w:iCs w:val="false"/>
          <w:color w:val="222222"/>
          <w:sz w:val="21"/>
          <w:szCs w:val="21"/>
        </w:rPr>
        <w:t xml:space="preserve">Trade statistics are reported by different bodies on different bases (India in US dollars, the UK in pounds sterling; some calendar-year, some financial-year; some goods-only). Where sources differ we have said so rather than force a single figure. Tariff rates given in the text are indicative peak or headline rates from the cited sources; the exact line-by-line rate for any product must be read off the applicable tariff schedule against the correct HS code.</w:t>
      </w:r>
    </w:p>
    <w:p>
      <w:pPr>
        <w:pStyle w:val="Heading3"/>
        <w:keepNext/>
        <w:spacing w:after="60" w:before="170"/>
      </w:pPr>
      <w:r>
        <w:rPr>
          <w:rFonts w:ascii="Georgia" w:cs="Georgia" w:eastAsia="Georgia" w:hAnsi="Georgia"/>
          <w:b/>
          <w:bCs/>
          <w:i w:val="false"/>
          <w:iCs w:val="false"/>
          <w:color w:val="2E4C7E"/>
          <w:sz w:val="21"/>
          <w:szCs w:val="21"/>
        </w:rPr>
        <w:t xml:space="preserve">Confidentiality</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confidential and is provided for the internal use of the recipient business and its advisers. It should not be circulated externally or relied upon by any third party without consent.</w:t>
      </w:r>
    </w:p>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Executive Summary</w:t>
      </w:r>
    </w:p>
    <w:p>
      <w:pPr>
        <w:spacing w:after="150" w:before="0" w:line="288"/>
        <w:jc w:val="both"/>
      </w:pPr>
      <w:r>
        <w:rPr>
          <w:rFonts w:ascii="Georgia" w:cs="Georgia" w:eastAsia="Georgia" w:hAnsi="Georgia"/>
          <w:b w:val="false"/>
          <w:bCs w:val="false"/>
          <w:i w:val="false"/>
          <w:iCs w:val="false"/>
          <w:color w:val="222222"/>
          <w:sz w:val="21"/>
          <w:szCs w:val="21"/>
        </w:rPr>
        <w:t xml:space="preserve">On 15 July 2026 the India–United Kingdom Comprehensive Economic and Trade Agreement (CETA) and its companion Agreement on Social Security (the Double Contribution Convention, or DCC) </w:t>
      </w:r>
      <w:r>
        <w:rPr>
          <w:rFonts w:ascii="Georgia" w:cs="Georgia" w:eastAsia="Georgia" w:hAnsi="Georgia"/>
          <w:b/>
          <w:bCs/>
          <w:i w:val="false"/>
          <w:iCs w:val="false"/>
          <w:color w:val="222222"/>
          <w:sz w:val="21"/>
          <w:szCs w:val="21"/>
        </w:rPr>
        <w:t xml:space="preserve">enter into force</w:t>
      </w:r>
      <w:r>
        <w:rPr>
          <w:rFonts w:ascii="Georgia" w:cs="Georgia" w:eastAsia="Georgia" w:hAnsi="Georgia"/>
          <w:b w:val="false"/>
          <w:bCs w:val="false"/>
          <w:i w:val="false"/>
          <w:iCs w:val="false"/>
          <w:color w:val="222222"/>
          <w:sz w:val="21"/>
          <w:szCs w:val="21"/>
        </w:rPr>
        <w:t xml:space="preserve">. This is India's most comprehensive free trade agreement with a G7 economy and the United Kingdom's most significant bilateral trade agreement since it left the European Union. It runs to 30 chapters and covers far more than tariffs — services, investment, digital trade, intellectual property, government procurement, mobility of professionals and sustainability all sit within it (PIB, Release ID 2274280, 17 June 2026).</w:t>
      </w:r>
    </w:p>
    <w:p>
      <w:pPr>
        <w:spacing w:after="150" w:before="0" w:line="288"/>
        <w:jc w:val="both"/>
      </w:pPr>
      <w:r>
        <w:rPr>
          <w:rFonts w:ascii="Georgia" w:cs="Georgia" w:eastAsia="Georgia" w:hAnsi="Georgia"/>
          <w:b w:val="false"/>
          <w:bCs w:val="false"/>
          <w:i w:val="false"/>
          <w:iCs w:val="false"/>
          <w:color w:val="222222"/>
          <w:sz w:val="21"/>
          <w:szCs w:val="21"/>
        </w:rPr>
        <w:t xml:space="preserve">For businesses on both sides, the headline is simple: the cost of trading goods across the India–UK corridor falls sharply, and the process of trading is meant to get faster and more predictable. But — and this is the point most often missed — the tariff savings are conditional. They are available only for goods that genuinely qualify as Indian- or UK-origin under the Agreement's Rules of Origin, and only if that origin is properly declared and documented. Capturing the benefit is a compliance exercise, not an automatic entitlement.</w:t>
      </w:r>
    </w:p>
    <w:p>
      <w:pPr>
        <w:pStyle w:val="Heading2"/>
        <w:keepNext/>
        <w:spacing w:after="90" w:before="240"/>
      </w:pPr>
      <w:r>
        <w:rPr>
          <w:rFonts w:ascii="Georgia" w:cs="Georgia" w:eastAsia="Georgia" w:hAnsi="Georgia"/>
          <w:b/>
          <w:bCs/>
          <w:i w:val="false"/>
          <w:iCs w:val="false"/>
          <w:color w:val="2E4C7E"/>
          <w:sz w:val="24"/>
          <w:szCs w:val="24"/>
        </w:rPr>
        <w:t xml:space="preserve">The Agreement at a glance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350"/>
        <w:gridCol w:w="6676"/>
      </w:tblGrid>
      <w:tr>
        <w:trPr>
          <w:tblHeader/>
        </w:trPr>
        <w:tc>
          <w:tcPr>
            <w:tcW w:type="dxa" w:w="23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Feature</w:t>
            </w:r>
          </w:p>
        </w:tc>
        <w:tc>
          <w:tcPr>
            <w:tcW w:type="dxa" w:w="667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What it means for your business</w:t>
            </w:r>
          </w:p>
        </w:tc>
      </w:tr>
      <w:tr>
        <w:tc>
          <w:tcPr>
            <w:tcW w:type="dxa" w:w="235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Tariffs — exports to the UK</w:t>
            </w:r>
          </w:p>
        </w:tc>
        <w:tc>
          <w:tcPr>
            <w:tcW w:type="dxa" w:w="667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The UK removes customs duties on about 99% of Indian tariff lines from day one, covering close to 100% of the value of India's exports. High-duty sectors — processed food (up to 70%), marine (up to 21.5%), engineering and auto components (up to 18%), leather and footwear (up to 16%), textiles and clothing (up to 12%) and chemicals and pharmaceuticals (up to 8%) — move to zero.</w:t>
            </w:r>
          </w:p>
        </w:tc>
      </w:tr>
      <w:tr>
        <w:tc>
          <w:tcPr>
            <w:tcW w:type="dxa" w:w="235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Tariffs — imports from the UK</w:t>
            </w:r>
          </w:p>
        </w:tc>
        <w:tc>
          <w:tcPr>
            <w:tcW w:type="dxa" w:w="667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India opens about 89.5% of its tariff lines (covering 91% of UK exports); roughly a quarter of UK export value becomes duty-free immediately, with the rest phased down over 5, 7 or 10 years. Sensitive farm and strategic lines are excluded.</w:t>
            </w:r>
          </w:p>
        </w:tc>
      </w:tr>
      <w:tr>
        <w:tc>
          <w:tcPr>
            <w:tcW w:type="dxa" w:w="235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The key condition</w:t>
            </w:r>
          </w:p>
        </w:tc>
        <w:tc>
          <w:tcPr>
            <w:tcW w:type="dxa" w:w="667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Duty savings apply only to goods that qualify under Rules of Origin (product-specific rules in Annex 3A). Origin is largely self-certified — a powerful simplification that shifts the compliance and record-keeping burden onto the trader.</w:t>
            </w:r>
          </w:p>
        </w:tc>
      </w:tr>
      <w:tr>
        <w:tc>
          <w:tcPr>
            <w:tcW w:type="dxa" w:w="235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Services &amp; mobility</w:t>
            </w:r>
          </w:p>
        </w:tc>
        <w:tc>
          <w:tcPr>
            <w:tcW w:type="dxa" w:w="667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The UK has opened 137 sub-sectors and given assured entry routes for business visitors, intra-corporate transferees, contractual service suppliers, independent professionals and investors — plus a dedicated annual quota of 1,800 for chefs, yoga instructors and classical musicians.</w:t>
            </w:r>
          </w:p>
        </w:tc>
      </w:tr>
      <w:tr>
        <w:tc>
          <w:tcPr>
            <w:tcW w:type="dxa" w:w="235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Social security (DCC)</w:t>
            </w:r>
          </w:p>
        </w:tc>
        <w:tc>
          <w:tcPr>
            <w:tcW w:type="dxa" w:w="667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Indian professionals on temporary UK assignments — and their employers — are exempt from UK social security contributions for up to five years (increased from three), removing a significant payroll cost. A Certificate of Coverage is required to claim it.</w:t>
            </w:r>
          </w:p>
        </w:tc>
      </w:tr>
      <w:tr>
        <w:tc>
          <w:tcPr>
            <w:tcW w:type="dxa" w:w="235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Faster customs</w:t>
            </w:r>
          </w:p>
        </w:tc>
        <w:tc>
          <w:tcPr>
            <w:tcW w:type="dxa" w:w="667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Commitments to simplified, digital, paperless customs, Authorised Economic Operator fast-tracking and quicker release of compliant goods are designed to cut clearance time.</w:t>
            </w:r>
          </w:p>
        </w:tc>
      </w:tr>
      <w:tr>
        <w:tc>
          <w:tcPr>
            <w:tcW w:type="dxa" w:w="235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What has NOT changed</w:t>
            </w:r>
          </w:p>
        </w:tc>
        <w:tc>
          <w:tcPr>
            <w:tcW w:type="dxa" w:w="667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Domestic taxes and rules continue to apply: Indian GST (IGST) on imports, product approvals (BIS, FSSAI, CDSCO and others), the FEMA / RBI framework for cross-border payments, and UK product standards. CETA lowers tariffs and eases process; it does not switch off domestic compliance.</w:t>
            </w:r>
          </w:p>
        </w:tc>
      </w:tr>
    </w:tbl>
    <w:p>
      <w:pPr>
        <w:pStyle w:val="Heading2"/>
        <w:keepNext/>
        <w:spacing w:after="90" w:before="240"/>
      </w:pPr>
      <w:r>
        <w:rPr>
          <w:rFonts w:ascii="Georgia" w:cs="Georgia" w:eastAsia="Georgia" w:hAnsi="Georgia"/>
          <w:b/>
          <w:bCs/>
          <w:i w:val="false"/>
          <w:iCs w:val="false"/>
          <w:color w:val="2E4C7E"/>
          <w:sz w:val="24"/>
          <w:szCs w:val="24"/>
        </w:rPr>
        <w:t xml:space="preserve">What you should be doing now</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Confirm the HS classification</w:t>
      </w:r>
      <w:r>
        <w:rPr>
          <w:rFonts w:ascii="Georgia" w:cs="Georgia" w:eastAsia="Georgia" w:hAnsi="Georgia"/>
          <w:b w:val="false"/>
          <w:bCs w:val="false"/>
          <w:i w:val="false"/>
          <w:iCs w:val="false"/>
          <w:color w:val="222222"/>
          <w:sz w:val="21"/>
          <w:szCs w:val="21"/>
        </w:rPr>
        <w:t xml:space="preserve"> of each product traded — the tariff outcome and the origin rule both turn on it;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Test Rules-of-Origin eligibility</w:t>
      </w:r>
      <w:r>
        <w:rPr>
          <w:rFonts w:ascii="Georgia" w:cs="Georgia" w:eastAsia="Georgia" w:hAnsi="Georgia"/>
          <w:b w:val="false"/>
          <w:bCs w:val="false"/>
          <w:i w:val="false"/>
          <w:iCs w:val="false"/>
          <w:color w:val="222222"/>
          <w:sz w:val="21"/>
          <w:szCs w:val="21"/>
        </w:rPr>
        <w:t xml:space="preserve"> against Annex 3A, and gather supporting supplier declarations;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Put origin self-certification in place</w:t>
      </w:r>
      <w:r>
        <w:rPr>
          <w:rFonts w:ascii="Georgia" w:cs="Georgia" w:eastAsia="Georgia" w:hAnsi="Georgia"/>
          <w:b w:val="false"/>
          <w:bCs w:val="false"/>
          <w:i w:val="false"/>
          <w:iCs w:val="false"/>
          <w:color w:val="222222"/>
          <w:sz w:val="21"/>
          <w:szCs w:val="21"/>
        </w:rPr>
        <w:t xml:space="preserve"> and a document-retention system able to survive a later verification;</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Re-price and revisit contracts</w:t>
      </w:r>
      <w:r>
        <w:rPr>
          <w:rFonts w:ascii="Georgia" w:cs="Georgia" w:eastAsia="Georgia" w:hAnsi="Georgia"/>
          <w:b w:val="false"/>
          <w:bCs w:val="false"/>
          <w:i w:val="false"/>
          <w:iCs w:val="false"/>
          <w:color w:val="222222"/>
          <w:sz w:val="21"/>
          <w:szCs w:val="21"/>
        </w:rPr>
        <w:t xml:space="preserve"> — decide how the duty saving is shared, and review Incoterms and long-term supply agreements;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Plan the customs and GST position</w:t>
      </w:r>
      <w:r>
        <w:rPr>
          <w:rFonts w:ascii="Georgia" w:cs="Georgia" w:eastAsia="Georgia" w:hAnsi="Georgia"/>
          <w:b w:val="false"/>
          <w:bCs w:val="false"/>
          <w:i w:val="false"/>
          <w:iCs w:val="false"/>
          <w:color w:val="222222"/>
          <w:sz w:val="21"/>
          <w:szCs w:val="21"/>
        </w:rPr>
        <w:t xml:space="preserve"> — landed cost, valuation and input-tax-credit treatment all change when duty falls;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Set up the DCC process</w:t>
      </w:r>
      <w:r>
        <w:rPr>
          <w:rFonts w:ascii="Georgia" w:cs="Georgia" w:eastAsia="Georgia" w:hAnsi="Georgia"/>
          <w:b w:val="false"/>
          <w:bCs w:val="false"/>
          <w:i w:val="false"/>
          <w:iCs w:val="false"/>
          <w:color w:val="222222"/>
          <w:sz w:val="21"/>
          <w:szCs w:val="21"/>
        </w:rPr>
        <w:t xml:space="preserve"> for staff on UK assignments — Certificate of Coverage, payroll and tax-equalisation clauses.</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The CETA does not reduce your duty automatically. It gives you the </w:t>
            </w:r>
            <w:r>
              <w:rPr>
                <w:rFonts w:ascii="Georgia" w:cs="Georgia" w:eastAsia="Georgia" w:hAnsi="Georgia"/>
                <w:b/>
                <w:bCs/>
                <w:i w:val="false"/>
                <w:iCs w:val="false"/>
                <w:color w:val="222222"/>
                <w:sz w:val="20"/>
                <w:szCs w:val="20"/>
              </w:rPr>
              <w:t xml:space="preserve">right</w:t>
            </w:r>
            <w:r>
              <w:rPr>
                <w:rFonts w:ascii="Georgia" w:cs="Georgia" w:eastAsia="Georgia" w:hAnsi="Georgia"/>
                <w:b w:val="false"/>
                <w:bCs w:val="false"/>
                <w:i w:val="false"/>
                <w:iCs w:val="false"/>
                <w:color w:val="222222"/>
                <w:sz w:val="20"/>
                <w:szCs w:val="20"/>
              </w:rPr>
              <w:t xml:space="preserve"> to a lower duty </w:t>
            </w:r>
            <w:r>
              <w:rPr>
                <w:rFonts w:ascii="Georgia" w:cs="Georgia" w:eastAsia="Georgia" w:hAnsi="Georgia"/>
                <w:b w:val="false"/>
                <w:bCs w:val="false"/>
                <w:i/>
                <w:iCs/>
                <w:color w:val="222222"/>
                <w:sz w:val="20"/>
                <w:szCs w:val="20"/>
              </w:rPr>
              <w:t xml:space="preserve">if</w:t>
            </w:r>
            <w:r>
              <w:rPr>
                <w:rFonts w:ascii="Georgia" w:cs="Georgia" w:eastAsia="Georgia" w:hAnsi="Georgia"/>
                <w:b w:val="false"/>
                <w:bCs w:val="false"/>
                <w:i w:val="false"/>
                <w:iCs w:val="false"/>
                <w:color w:val="222222"/>
                <w:sz w:val="20"/>
                <w:szCs w:val="20"/>
              </w:rPr>
              <w:t xml:space="preserve"> you can prove your goods qualify under the Rules of Origin and follow the customs and documentary steps. Preparation, not the Agreement itself, unlocks the saving.</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Chapter 1 — The Pre-FTA Position (Before the India–UK CETA)</w:t>
      </w:r>
    </w:p>
    <w:p>
      <w:pPr>
        <w:spacing w:after="150" w:before="0" w:line="288"/>
        <w:jc w:val="both"/>
      </w:pPr>
      <w:r>
        <w:rPr>
          <w:rFonts w:ascii="Georgia" w:cs="Georgia" w:eastAsia="Georgia" w:hAnsi="Georgia"/>
          <w:b w:val="false"/>
          <w:bCs w:val="false"/>
          <w:i w:val="false"/>
          <w:iCs w:val="false"/>
          <w:color w:val="222222"/>
          <w:sz w:val="21"/>
          <w:szCs w:val="21"/>
        </w:rPr>
        <w:t xml:space="preserve">This chapter sets out the legal and commercial position that applied to India–UK trade up to 14 July 2026 — the baseline against which every change in Chapters 2 and 3 is measured. It is organised so that the common framework that applied to all sectors is explained once (section 1.1), followed by the sector-specific position for both directions of trade (section 1.2), and a consolidated summary of the practical pain points that the CETA is designed to solve (section 1.3).</w:t>
      </w:r>
    </w:p>
    <w:p>
      <w:pPr>
        <w:pStyle w:val="Heading2"/>
        <w:keepNext/>
        <w:spacing w:after="90" w:before="240"/>
      </w:pPr>
      <w:r>
        <w:rPr>
          <w:rFonts w:ascii="Georgia" w:cs="Georgia" w:eastAsia="Georgia" w:hAnsi="Georgia"/>
          <w:b/>
          <w:bCs/>
          <w:i w:val="false"/>
          <w:iCs w:val="false"/>
          <w:color w:val="2E4C7E"/>
          <w:sz w:val="24"/>
          <w:szCs w:val="24"/>
        </w:rPr>
        <w:t xml:space="preserve">1.1  The common framework applying to all sectors</w:t>
      </w:r>
    </w:p>
    <w:p>
      <w:pPr>
        <w:pStyle w:val="Heading3"/>
        <w:keepNext/>
        <w:spacing w:after="60" w:before="170"/>
      </w:pPr>
      <w:r>
        <w:rPr>
          <w:rFonts w:ascii="Georgia" w:cs="Georgia" w:eastAsia="Georgia" w:hAnsi="Georgia"/>
          <w:b/>
          <w:bCs/>
          <w:i w:val="false"/>
          <w:iCs w:val="false"/>
          <w:color w:val="2E4C7E"/>
          <w:sz w:val="21"/>
          <w:szCs w:val="21"/>
        </w:rPr>
        <w:t xml:space="preserve">1.1.1  The starting point: no preferential access</w:t>
      </w:r>
    </w:p>
    <w:p>
      <w:pPr>
        <w:spacing w:after="150" w:before="0" w:line="288"/>
        <w:jc w:val="both"/>
      </w:pPr>
      <w:r>
        <w:rPr>
          <w:rFonts w:ascii="Georgia" w:cs="Georgia" w:eastAsia="Georgia" w:hAnsi="Georgia"/>
          <w:b w:val="false"/>
          <w:bCs w:val="false"/>
          <w:i w:val="false"/>
          <w:iCs w:val="false"/>
          <w:color w:val="222222"/>
          <w:sz w:val="21"/>
          <w:szCs w:val="21"/>
        </w:rPr>
        <w:t xml:space="preserve">Until 15 July 2026 there was no free trade agreement between India and the United Kingdom. Goods therefore moved in both directions at ordinary, non-preferential (‘Most-Favoured-Nation’, or MFN) rates of duty, subject to each country's domestic tariff and its full suite of non-tariff requirements — standards, licensing, sanitary controls and customs procedures. The only preferential element was a limited, one-way UK scheme for developing countries (discussed below), which did not cover the bulk of India's competitive exports and was in any event being withdrawn on India's key lines from January 2026.</w:t>
      </w:r>
    </w:p>
    <w:p>
      <w:pPr>
        <w:pStyle w:val="Heading3"/>
        <w:keepNext/>
        <w:spacing w:after="60" w:before="170"/>
      </w:pPr>
      <w:r>
        <w:rPr>
          <w:rFonts w:ascii="Georgia" w:cs="Georgia" w:eastAsia="Georgia" w:hAnsi="Georgia"/>
          <w:b/>
          <w:bCs/>
          <w:i w:val="false"/>
          <w:iCs w:val="false"/>
          <w:color w:val="2E4C7E"/>
          <w:sz w:val="21"/>
          <w:szCs w:val="21"/>
        </w:rPr>
        <w:t xml:space="preserve">1.1.2  Exports from India to the UK — the pre-CETA regime</w:t>
      </w:r>
    </w:p>
    <w:p>
      <w:pPr>
        <w:spacing w:after="120" w:line="288"/>
        <w:jc w:val="both"/>
      </w:pPr>
      <w:r>
        <w:rPr>
          <w:rFonts w:ascii="Georgia" w:cs="Georgia" w:eastAsia="Georgia" w:hAnsi="Georgia"/>
          <w:b/>
          <w:bCs/>
          <w:i w:val="false"/>
          <w:iCs w:val="false"/>
          <w:color w:val="2E4C7E"/>
          <w:sz w:val="21"/>
          <w:szCs w:val="21"/>
        </w:rPr>
        <w:t xml:space="preserve">Duties.  </w:t>
      </w:r>
      <w:r>
        <w:rPr>
          <w:rFonts w:ascii="Georgia" w:cs="Georgia" w:eastAsia="Georgia" w:hAnsi="Georgia"/>
          <w:b w:val="false"/>
          <w:bCs w:val="false"/>
          <w:i w:val="false"/>
          <w:iCs w:val="false"/>
          <w:color w:val="222222"/>
          <w:sz w:val="21"/>
          <w:szCs w:val="21"/>
        </w:rPr>
        <w:t xml:space="preserve">Indian goods entered the UK under the UK Global Tariff (UKGT), the UK's post-Brexit MFN schedule. Limited unilateral relief was available under the UK Developing Countries Trading Scheme (DCTS), in force from 19 June 2023 (replacing the UK's GSP, which had itself replicated the EU GSP). India, however, sat in the least generous ‘Standard Preferences’ tier — one of only two countries (with Indonesia) excluded from the more generous Enhanced tier — so many competitive Indian products received little or no margin, and several were excluded from preferences altogether (GOV.UK, DCTS; UK Trade Policy Observatory).</w:t>
      </w:r>
    </w:p>
    <w:p>
      <w:pPr>
        <w:spacing w:after="120" w:line="288"/>
        <w:jc w:val="both"/>
      </w:pPr>
      <w:r>
        <w:rPr>
          <w:rFonts w:ascii="Georgia" w:cs="Georgia" w:eastAsia="Georgia" w:hAnsi="Georgia"/>
          <w:b/>
          <w:bCs/>
          <w:i w:val="false"/>
          <w:iCs w:val="false"/>
          <w:color w:val="2E4C7E"/>
          <w:sz w:val="21"/>
          <w:szCs w:val="21"/>
        </w:rPr>
        <w:t xml:space="preserve">The January 2026 withdrawal.  </w:t>
      </w:r>
      <w:r>
        <w:rPr>
          <w:rFonts w:ascii="Georgia" w:cs="Georgia" w:eastAsia="Georgia" w:hAnsi="Georgia"/>
          <w:b w:val="false"/>
          <w:bCs w:val="false"/>
          <w:i w:val="false"/>
          <w:iCs w:val="false"/>
          <w:color w:val="222222"/>
          <w:sz w:val="21"/>
          <w:szCs w:val="21"/>
        </w:rPr>
        <w:t xml:space="preserve">Crucially, from 1 January 2026 the UK ‘graduated’ (suspended) DCTS preferences on India's most important categories — including textiles and garments (HS 61–63), chemicals, and articles of iron, steel and precious metals — for a three-year period to 31 December 2028, pushing those goods back to the full UKGT rate. This left many Indian exporters paying full UK duty in the months immediately before the CETA took effect (GOV.UK graduation notice; KPMG UK, Nov 2025).</w:t>
      </w:r>
    </w:p>
    <w:p>
      <w:pPr>
        <w:spacing w:after="120" w:line="288"/>
        <w:jc w:val="both"/>
      </w:pPr>
      <w:r>
        <w:rPr>
          <w:rFonts w:ascii="Georgia" w:cs="Georgia" w:eastAsia="Georgia" w:hAnsi="Georgia"/>
          <w:b/>
          <w:bCs/>
          <w:i w:val="false"/>
          <w:iCs w:val="false"/>
          <w:color w:val="2E4C7E"/>
          <w:sz w:val="21"/>
          <w:szCs w:val="21"/>
        </w:rPr>
        <w:t xml:space="preserve">Proof of origin.  </w:t>
      </w:r>
      <w:r>
        <w:rPr>
          <w:rFonts w:ascii="Georgia" w:cs="Georgia" w:eastAsia="Georgia" w:hAnsi="Georgia"/>
          <w:b w:val="false"/>
          <w:bCs w:val="false"/>
          <w:i w:val="false"/>
          <w:iCs w:val="false"/>
          <w:color w:val="222222"/>
          <w:sz w:val="21"/>
          <w:szCs w:val="21"/>
        </w:rPr>
        <w:t xml:space="preserve">To claim any DCTS preference, Indian exporters relied on GSP-style evidence — the Form A certificate or a REX self-registration declaration.</w:t>
      </w:r>
    </w:p>
    <w:p>
      <w:pPr>
        <w:spacing w:after="120" w:line="288"/>
        <w:jc w:val="both"/>
      </w:pPr>
      <w:r>
        <w:rPr>
          <w:rFonts w:ascii="Georgia" w:cs="Georgia" w:eastAsia="Georgia" w:hAnsi="Georgia"/>
          <w:b/>
          <w:bCs/>
          <w:i w:val="false"/>
          <w:iCs w:val="false"/>
          <w:color w:val="2E4C7E"/>
          <w:sz w:val="21"/>
          <w:szCs w:val="21"/>
        </w:rPr>
        <w:t xml:space="preserve">At the UK border.  </w:t>
      </w:r>
      <w:r>
        <w:rPr>
          <w:rFonts w:ascii="Georgia" w:cs="Georgia" w:eastAsia="Georgia" w:hAnsi="Georgia"/>
          <w:b w:val="false"/>
          <w:bCs w:val="false"/>
          <w:i w:val="false"/>
          <w:iCs w:val="false"/>
          <w:color w:val="222222"/>
          <w:sz w:val="21"/>
          <w:szCs w:val="21"/>
        </w:rPr>
        <w:t xml:space="preserve">Goods had to meet UK product-conformity rules (UKCA marking, with continued recognition of CE marking as extended) and, for food, animal and plant products, UK sanitary and phytosanitary (SPS) controls under the UK's Border Target Operating Model — pre-notification via IPAFFS, health certification and checks at Border Control Posts. Import declarations were filed through HMRC's Customs Declaration Service (CDS).</w:t>
      </w:r>
    </w:p>
    <w:p>
      <w:pPr>
        <w:spacing w:after="60"/>
      </w:pPr>
      <w:r>
        <w:rPr>
          <w:rFonts w:ascii="Georgia" w:cs="Georgia" w:eastAsia="Georgia" w:hAnsi="Georgia"/>
          <w:b w:val="false"/>
          <w:bCs w:val="false"/>
          <w:i w:val="false"/>
          <w:iCs w:val="false"/>
          <w:color w:val="222222"/>
          <w:sz w:val="21"/>
          <w:szCs w:val="21"/>
        </w:rPr>
        <w:t xml:space="preserve"/>
      </w:r>
    </w:p>
    <w:p>
      <w:pPr>
        <w:spacing w:after="60"/>
      </w:pPr>
      <w:r>
        <w:rPr>
          <w:rFonts w:ascii="Georgia" w:cs="Georgia" w:eastAsia="Georgia" w:hAnsi="Georgia"/>
          <w:b/>
          <w:bCs/>
          <w:i w:val="false"/>
          <w:iCs w:val="false"/>
          <w:color w:val="1F3864"/>
          <w:sz w:val="19"/>
          <w:szCs w:val="19"/>
        </w:rPr>
        <w:t xml:space="preserve">Indicative peak UK duties Indian goods faced (pre-CETA)</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4600"/>
        <w:gridCol w:w="4426"/>
      </w:tblGrid>
      <w:tr>
        <w:trPr>
          <w:tblHeader/>
        </w:trPr>
        <w:tc>
          <w:tcPr>
            <w:tcW w:type="dxa" w:w="46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Indian export category</w:t>
            </w:r>
          </w:p>
        </w:tc>
        <w:tc>
          <w:tcPr>
            <w:tcW w:type="dxa" w:w="44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Indicative peak UK duty (MFN / UKGT)</w:t>
            </w:r>
          </w:p>
        </w:tc>
      </w:tr>
      <w:tr>
        <w:tc>
          <w:tcPr>
            <w:tcW w:type="dxa" w:w="4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Processed &amp; prepared foods</w:t>
            </w:r>
          </w:p>
        </w:tc>
        <w:tc>
          <w:tcPr>
            <w:tcW w:type="dxa" w:w="4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~70%</w:t>
            </w:r>
          </w:p>
        </w:tc>
      </w:tr>
      <w:tr>
        <w:tc>
          <w:tcPr>
            <w:tcW w:type="dxa" w:w="46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Marine products (fish, shrimp)</w:t>
            </w:r>
          </w:p>
        </w:tc>
        <w:tc>
          <w:tcPr>
            <w:tcW w:type="dxa" w:w="44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~4.2% to 21.5%</w:t>
            </w:r>
          </w:p>
        </w:tc>
      </w:tr>
      <w:tr>
        <w:tc>
          <w:tcPr>
            <w:tcW w:type="dxa" w:w="4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Engineering goods &amp; auto components</w:t>
            </w:r>
          </w:p>
        </w:tc>
        <w:tc>
          <w:tcPr>
            <w:tcW w:type="dxa" w:w="4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~18%</w:t>
            </w:r>
          </w:p>
        </w:tc>
      </w:tr>
      <w:tr>
        <w:tc>
          <w:tcPr>
            <w:tcW w:type="dxa" w:w="46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Leather &amp; footwear</w:t>
            </w:r>
          </w:p>
        </w:tc>
        <w:tc>
          <w:tcPr>
            <w:tcW w:type="dxa" w:w="44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~16%</w:t>
            </w:r>
          </w:p>
        </w:tc>
      </w:tr>
      <w:tr>
        <w:tc>
          <w:tcPr>
            <w:tcW w:type="dxa" w:w="4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Textiles, apparel &amp; clothing</w:t>
            </w:r>
          </w:p>
        </w:tc>
        <w:tc>
          <w:tcPr>
            <w:tcW w:type="dxa" w:w="4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~12%</w:t>
            </w:r>
          </w:p>
        </w:tc>
      </w:tr>
      <w:tr>
        <w:tc>
          <w:tcPr>
            <w:tcW w:type="dxa" w:w="46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Chemicals &amp; pharmaceuticals</w:t>
            </w:r>
          </w:p>
        </w:tc>
        <w:tc>
          <w:tcPr>
            <w:tcW w:type="dxa" w:w="44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~8%</w:t>
            </w:r>
          </w:p>
        </w:tc>
      </w:tr>
      <w:tr>
        <w:tc>
          <w:tcPr>
            <w:tcW w:type="dxa" w:w="4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Ceramics, base metals, articles of iron/steel</w:t>
            </w:r>
          </w:p>
        </w:tc>
        <w:tc>
          <w:tcPr>
            <w:tcW w:type="dxa" w:w="4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Typically ~2% to 12%</w:t>
            </w:r>
          </w:p>
        </w:tc>
      </w:tr>
    </w:tbl>
    <w:p>
      <w:pPr>
        <w:spacing w:after="60" w:before="0" w:line="288"/>
        <w:jc w:val="both"/>
      </w:pPr>
      <w:r>
        <w:rPr>
          <w:rFonts w:ascii="Georgia" w:cs="Georgia" w:eastAsia="Georgia" w:hAnsi="Georgia"/>
          <w:b w:val="false"/>
          <w:bCs w:val="false"/>
          <w:i/>
          <w:iCs/>
          <w:color w:val="6E6E6E"/>
          <w:sz w:val="17"/>
          <w:szCs w:val="17"/>
        </w:rPr>
        <w:t xml:space="preserve">Sources: PIB, Release ID 2274280 (17 June 2026); PIB Backgrounder, 29 July 2025, pp. 3, 11–13; WTC Mumbai Report, 2025, pp. 11–13. DCTS Standard-Preferences relief was partial and, on textiles/chemicals/steel/precious metals, withdrawn from 1 January 2026 (GOV.UK).</w:t>
      </w:r>
    </w:p>
    <w:p>
      <w:pPr>
        <w:pStyle w:val="Heading3"/>
        <w:keepNext/>
        <w:spacing w:after="60" w:before="170"/>
      </w:pPr>
      <w:r>
        <w:rPr>
          <w:rFonts w:ascii="Georgia" w:cs="Georgia" w:eastAsia="Georgia" w:hAnsi="Georgia"/>
          <w:b/>
          <w:bCs/>
          <w:i w:val="false"/>
          <w:iCs w:val="false"/>
          <w:color w:val="2E4C7E"/>
          <w:sz w:val="21"/>
          <w:szCs w:val="21"/>
        </w:rPr>
        <w:t xml:space="preserve">1.1.3  Imports from the UK into India — the pre-CETA regime</w:t>
      </w:r>
    </w:p>
    <w:p>
      <w:pPr>
        <w:spacing w:after="120" w:line="288"/>
        <w:jc w:val="both"/>
      </w:pPr>
      <w:r>
        <w:rPr>
          <w:rFonts w:ascii="Georgia" w:cs="Georgia" w:eastAsia="Georgia" w:hAnsi="Georgia"/>
          <w:b/>
          <w:bCs/>
          <w:i w:val="false"/>
          <w:iCs w:val="false"/>
          <w:color w:val="2E4C7E"/>
          <w:sz w:val="21"/>
          <w:szCs w:val="21"/>
        </w:rPr>
        <w:t xml:space="preserve">The Indian duty stack.  </w:t>
      </w:r>
      <w:r>
        <w:rPr>
          <w:rFonts w:ascii="Georgia" w:cs="Georgia" w:eastAsia="Georgia" w:hAnsi="Georgia"/>
          <w:b w:val="false"/>
          <w:bCs w:val="false"/>
          <w:i w:val="false"/>
          <w:iCs w:val="false"/>
          <w:color w:val="222222"/>
          <w:sz w:val="21"/>
          <w:szCs w:val="21"/>
        </w:rPr>
        <w:t xml:space="preserve">UK goods attracted India's MFN Basic Customs Duty (BCD) under the Customs Tariff Act, 1975, plus (in most cases) a Social Welfare Surcharge of 10% of BCD, plus Integrated GST (IGST) on the landed value under the IGST Act, 2017 read with section 3(7) of the Customs Tariff Act, and — on certain goods — an Agriculture Infrastructure and Development Cess. No preferential rate was available for UK-origin goods.</w:t>
      </w:r>
    </w:p>
    <w:p>
      <w:pPr>
        <w:spacing w:after="120" w:line="288"/>
        <w:jc w:val="both"/>
      </w:pPr>
      <w:r>
        <w:rPr>
          <w:rFonts w:ascii="Georgia" w:cs="Georgia" w:eastAsia="Georgia" w:hAnsi="Georgia"/>
          <w:b/>
          <w:bCs/>
          <w:i w:val="false"/>
          <w:iCs w:val="false"/>
          <w:color w:val="2E4C7E"/>
          <w:sz w:val="21"/>
          <w:szCs w:val="21"/>
        </w:rPr>
        <w:t xml:space="preserve">Registration and procedure.  </w:t>
      </w:r>
      <w:r>
        <w:rPr>
          <w:rFonts w:ascii="Georgia" w:cs="Georgia" w:eastAsia="Georgia" w:hAnsi="Georgia"/>
          <w:b w:val="false"/>
          <w:bCs w:val="false"/>
          <w:i w:val="false"/>
          <w:iCs w:val="false"/>
          <w:color w:val="222222"/>
          <w:sz w:val="21"/>
          <w:szCs w:val="21"/>
        </w:rPr>
        <w:t xml:space="preserve">An Importer-Exporter Code (IEC) from the DGFT was (and remains) mandatory. Imports were cleared by filing a Bill of Entry electronically on ICEGATE/ICES, with assessment under the faceless ‘Turant’ customs system; valuation followed section 14 of the Customs Act, 1962 and the Customs Valuation (Determination of Value of Imported Goods) Rules, 2007. Trusted traders could use the Authorised Economic Operator (AEO) programme for faster clearance.</w:t>
      </w:r>
    </w:p>
    <w:p>
      <w:pPr>
        <w:spacing w:after="60"/>
      </w:pPr>
      <w:r>
        <w:rPr>
          <w:rFonts w:ascii="Georgia" w:cs="Georgia" w:eastAsia="Georgia" w:hAnsi="Georgia"/>
          <w:b w:val="false"/>
          <w:bCs w:val="false"/>
          <w:i w:val="false"/>
          <w:iCs w:val="false"/>
          <w:color w:val="222222"/>
          <w:sz w:val="21"/>
          <w:szCs w:val="21"/>
        </w:rPr>
        <w:t xml:space="preserve"/>
      </w:r>
    </w:p>
    <w:p>
      <w:pPr>
        <w:spacing w:after="60"/>
      </w:pPr>
      <w:r>
        <w:rPr>
          <w:rFonts w:ascii="Georgia" w:cs="Georgia" w:eastAsia="Georgia" w:hAnsi="Georgia"/>
          <w:b/>
          <w:bCs/>
          <w:i w:val="false"/>
          <w:iCs w:val="false"/>
          <w:color w:val="1F3864"/>
          <w:sz w:val="19"/>
          <w:szCs w:val="19"/>
        </w:rPr>
        <w:t xml:space="preserve">Indicative peak Indian import duties on UK goods, by category (pre-CETA)</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5200"/>
        <w:gridCol w:w="3826"/>
      </w:tblGrid>
      <w:tr>
        <w:trPr>
          <w:tblHeader/>
        </w:trPr>
        <w:tc>
          <w:tcPr>
            <w:tcW w:type="dxa" w:w="52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UK export category</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Pre-CETA peak Indian BCD</w:t>
            </w:r>
          </w:p>
        </w:tc>
      </w:tr>
      <w:tr>
        <w:tc>
          <w:tcPr>
            <w:tcW w:type="dxa" w:w="52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Alcoholic spirits (whisky, gin)</w:t>
            </w:r>
          </w:p>
        </w:tc>
        <w:tc>
          <w:tcPr>
            <w:tcW w:type="dxa" w:w="38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150%</w:t>
            </w:r>
          </w:p>
        </w:tc>
      </w:tr>
      <w:tr>
        <w:tc>
          <w:tcPr>
            <w:tcW w:type="dxa" w:w="52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Automobiles (CBU)</w:t>
            </w:r>
          </w:p>
        </w:tc>
        <w:tc>
          <w:tcPr>
            <w:tcW w:type="dxa" w:w="38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Over 100% (up to ~110%)</w:t>
            </w:r>
          </w:p>
        </w:tc>
      </w:tr>
      <w:tr>
        <w:tc>
          <w:tcPr>
            <w:tcW w:type="dxa" w:w="52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Processed food</w:t>
            </w:r>
          </w:p>
        </w:tc>
        <w:tc>
          <w:tcPr>
            <w:tcW w:type="dxa" w:w="38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70%</w:t>
            </w:r>
          </w:p>
        </w:tc>
      </w:tr>
      <w:tr>
        <w:tc>
          <w:tcPr>
            <w:tcW w:type="dxa" w:w="52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Vegetable oils</w:t>
            </w:r>
          </w:p>
        </w:tc>
        <w:tc>
          <w:tcPr>
            <w:tcW w:type="dxa" w:w="38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20%</w:t>
            </w:r>
          </w:p>
        </w:tc>
      </w:tr>
      <w:tr>
        <w:tc>
          <w:tcPr>
            <w:tcW w:type="dxa" w:w="52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Transport / automotive</w:t>
            </w:r>
          </w:p>
        </w:tc>
        <w:tc>
          <w:tcPr>
            <w:tcW w:type="dxa" w:w="38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18%</w:t>
            </w:r>
          </w:p>
        </w:tc>
      </w:tr>
      <w:tr>
        <w:tc>
          <w:tcPr>
            <w:tcW w:type="dxa" w:w="52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Leather / footwear</w:t>
            </w:r>
          </w:p>
        </w:tc>
        <w:tc>
          <w:tcPr>
            <w:tcW w:type="dxa" w:w="38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16%</w:t>
            </w:r>
          </w:p>
        </w:tc>
      </w:tr>
      <w:tr>
        <w:tc>
          <w:tcPr>
            <w:tcW w:type="dxa" w:w="52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Electrical machinery</w:t>
            </w:r>
          </w:p>
        </w:tc>
        <w:tc>
          <w:tcPr>
            <w:tcW w:type="dxa" w:w="38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14%</w:t>
            </w:r>
          </w:p>
        </w:tc>
      </w:tr>
      <w:tr>
        <w:tc>
          <w:tcPr>
            <w:tcW w:type="dxa" w:w="52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Textiles / clothing; headgear, glass, ceramics</w:t>
            </w:r>
          </w:p>
        </w:tc>
        <w:tc>
          <w:tcPr>
            <w:tcW w:type="dxa" w:w="38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12%</w:t>
            </w:r>
          </w:p>
        </w:tc>
      </w:tr>
      <w:tr>
        <w:tc>
          <w:tcPr>
            <w:tcW w:type="dxa" w:w="52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Wood / paper; base metals</w:t>
            </w:r>
          </w:p>
        </w:tc>
        <w:tc>
          <w:tcPr>
            <w:tcW w:type="dxa" w:w="38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10%</w:t>
            </w:r>
          </w:p>
        </w:tc>
      </w:tr>
      <w:tr>
        <w:tc>
          <w:tcPr>
            <w:tcW w:type="dxa" w:w="52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Mechanical machinery; minerals; chemicals</w:t>
            </w:r>
          </w:p>
        </w:tc>
        <w:tc>
          <w:tcPr>
            <w:tcW w:type="dxa" w:w="38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8%</w:t>
            </w:r>
          </w:p>
        </w:tc>
      </w:tr>
      <w:tr>
        <w:tc>
          <w:tcPr>
            <w:tcW w:type="dxa" w:w="52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Plastic / rubber; instruments / clocks</w:t>
            </w:r>
          </w:p>
        </w:tc>
        <w:tc>
          <w:tcPr>
            <w:tcW w:type="dxa" w:w="38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6%</w:t>
            </w:r>
          </w:p>
        </w:tc>
      </w:tr>
      <w:tr>
        <w:tc>
          <w:tcPr>
            <w:tcW w:type="dxa" w:w="52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Gems &amp; jewellery; furniture; sports goods</w:t>
            </w:r>
          </w:p>
        </w:tc>
        <w:tc>
          <w:tcPr>
            <w:tcW w:type="dxa" w:w="38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4%</w:t>
            </w:r>
          </w:p>
        </w:tc>
      </w:tr>
      <w:tr>
        <w:tc>
          <w:tcPr>
            <w:tcW w:type="dxa" w:w="52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Arms &amp; ammunition</w:t>
            </w:r>
          </w:p>
        </w:tc>
        <w:tc>
          <w:tcPr>
            <w:tcW w:type="dxa" w:w="38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2%</w:t>
            </w:r>
          </w:p>
        </w:tc>
      </w:tr>
    </w:tbl>
    <w:p>
      <w:pPr>
        <w:spacing w:after="60" w:before="0" w:line="288"/>
        <w:jc w:val="both"/>
      </w:pPr>
      <w:r>
        <w:rPr>
          <w:rFonts w:ascii="Georgia" w:cs="Georgia" w:eastAsia="Georgia" w:hAnsi="Georgia"/>
          <w:b w:val="false"/>
          <w:bCs w:val="false"/>
          <w:i/>
          <w:iCs/>
          <w:color w:val="6E6E6E"/>
          <w:sz w:val="17"/>
          <w:szCs w:val="17"/>
        </w:rPr>
        <w:t xml:space="preserve">Source: PIB Backgrounder, 29 July 2025, p. 3 (‘How India Gains’ duty table; applies to ~97.1% of tariff lines); spirits and automobile peaks per PIB Backgrounder p. 12 and WTC Mumbai Report pp. 9, 12. Add 10% Social Welfare Surcharge on BCD and IGST on the landed value.</w:t>
      </w:r>
    </w:p>
    <w:p>
      <w:pPr>
        <w:pStyle w:val="Heading3"/>
        <w:keepNext/>
        <w:spacing w:after="60" w:before="170"/>
      </w:pPr>
      <w:r>
        <w:rPr>
          <w:rFonts w:ascii="Georgia" w:cs="Georgia" w:eastAsia="Georgia" w:hAnsi="Georgia"/>
          <w:b/>
          <w:bCs/>
          <w:i w:val="false"/>
          <w:iCs w:val="false"/>
          <w:color w:val="2E4C7E"/>
          <w:sz w:val="21"/>
          <w:szCs w:val="21"/>
        </w:rPr>
        <w:t xml:space="preserve">1.1.4  India's non-tariff landscape (applied to UK imports)</w:t>
      </w:r>
    </w:p>
    <w:p>
      <w:pPr>
        <w:spacing w:after="150" w:before="0" w:line="288"/>
        <w:jc w:val="both"/>
      </w:pPr>
      <w:r>
        <w:rPr>
          <w:rFonts w:ascii="Georgia" w:cs="Georgia" w:eastAsia="Georgia" w:hAnsi="Georgia"/>
          <w:b w:val="false"/>
          <w:bCs w:val="false"/>
          <w:i w:val="false"/>
          <w:iCs w:val="false"/>
          <w:color w:val="222222"/>
          <w:sz w:val="21"/>
          <w:szCs w:val="21"/>
        </w:rPr>
        <w:t xml:space="preserve">Beyond duty, UK goods entering India commonly had to satisfy one or more domestic regulatory regimes — and, importantly, these continue to apply after the CETA. The principal regimes are:</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BIS certification</w:t>
      </w:r>
      <w:r>
        <w:rPr>
          <w:rFonts w:ascii="Georgia" w:cs="Georgia" w:eastAsia="Georgia" w:hAnsi="Georgia"/>
          <w:b w:val="false"/>
          <w:bCs w:val="false"/>
          <w:i w:val="false"/>
          <w:iCs w:val="false"/>
          <w:color w:val="222222"/>
          <w:sz w:val="21"/>
          <w:szCs w:val="21"/>
        </w:rPr>
        <w:t xml:space="preserve"> — mandatory ISI-mark certification or, for many electronics and IT goods, registration under the Compulsory Registration Scheme (CRS), for products covered by Quality Control Orders (Bureau of Indian Standards Act, 2016);</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FSSAI</w:t>
      </w:r>
      <w:r>
        <w:rPr>
          <w:rFonts w:ascii="Georgia" w:cs="Georgia" w:eastAsia="Georgia" w:hAnsi="Georgia"/>
          <w:b w:val="false"/>
          <w:bCs w:val="false"/>
          <w:i w:val="false"/>
          <w:iCs w:val="false"/>
          <w:color w:val="222222"/>
          <w:sz w:val="21"/>
          <w:szCs w:val="21"/>
        </w:rPr>
        <w:t xml:space="preserve"> — food import clearance through the Food Import Clearance System (FICS) and licensing under the Food Safety and Standards Act, 2006;</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CDSCO</w:t>
      </w:r>
      <w:r>
        <w:rPr>
          <w:rFonts w:ascii="Georgia" w:cs="Georgia" w:eastAsia="Georgia" w:hAnsi="Georgia"/>
          <w:b w:val="false"/>
          <w:bCs w:val="false"/>
          <w:i w:val="false"/>
          <w:iCs w:val="false"/>
          <w:color w:val="222222"/>
          <w:sz w:val="21"/>
          <w:szCs w:val="21"/>
        </w:rPr>
        <w:t xml:space="preserve"> — import registration/licences for drugs, medical devices and cosmetics (Drugs and Cosmetics Act, 1940; Medical Devices Rules, 2017; Cosmetics Rules, 2020; New Drugs and Clinical Trials Rules, 2019);</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Legal Metrology</w:t>
      </w:r>
      <w:r>
        <w:rPr>
          <w:rFonts w:ascii="Georgia" w:cs="Georgia" w:eastAsia="Georgia" w:hAnsi="Georgia"/>
          <w:b w:val="false"/>
          <w:bCs w:val="false"/>
          <w:i w:val="false"/>
          <w:iCs w:val="false"/>
          <w:color w:val="222222"/>
          <w:sz w:val="21"/>
          <w:szCs w:val="21"/>
        </w:rPr>
        <w:t xml:space="preserve"> — mandatory declarations on pre-packaged goods (Legal Metrology (Packaged Commodities) Rules, 2011);</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WPC / TEC</w:t>
      </w:r>
      <w:r>
        <w:rPr>
          <w:rFonts w:ascii="Georgia" w:cs="Georgia" w:eastAsia="Georgia" w:hAnsi="Georgia"/>
          <w:b w:val="false"/>
          <w:bCs w:val="false"/>
          <w:i w:val="false"/>
          <w:iCs w:val="false"/>
          <w:color w:val="222222"/>
          <w:sz w:val="21"/>
          <w:szCs w:val="21"/>
        </w:rPr>
        <w:t xml:space="preserve"> — equipment approval and mandatory testing/certification for wireless and telecom products (MTCTE);</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Quarantine</w:t>
      </w:r>
      <w:r>
        <w:rPr>
          <w:rFonts w:ascii="Georgia" w:cs="Georgia" w:eastAsia="Georgia" w:hAnsi="Georgia"/>
          <w:b w:val="false"/>
          <w:bCs w:val="false"/>
          <w:i w:val="false"/>
          <w:iCs w:val="false"/>
          <w:color w:val="222222"/>
          <w:sz w:val="21"/>
          <w:szCs w:val="21"/>
        </w:rPr>
        <w:t xml:space="preserve"> — sanitary/phytosanitary import permits and inspection for plants and plant products (Plant Quarantine (Regulation of Import into India) Order, 2003) and animal products (Live-stock Importation Act, 1898).</w:t>
      </w:r>
    </w:p>
    <w:p>
      <w:pPr>
        <w:pStyle w:val="Heading3"/>
        <w:keepNext/>
        <w:spacing w:after="60" w:before="170"/>
      </w:pPr>
      <w:r>
        <w:rPr>
          <w:rFonts w:ascii="Georgia" w:cs="Georgia" w:eastAsia="Georgia" w:hAnsi="Georgia"/>
          <w:b/>
          <w:bCs/>
          <w:i w:val="false"/>
          <w:iCs w:val="false"/>
          <w:color w:val="2E4C7E"/>
          <w:sz w:val="21"/>
          <w:szCs w:val="21"/>
        </w:rPr>
        <w:t xml:space="preserve">1.1.5  The UK's non-tariff landscape (applied to Indian exports)</w:t>
      </w:r>
    </w:p>
    <w:p>
      <w:pPr>
        <w:spacing w:after="150" w:before="0" w:line="288"/>
        <w:jc w:val="both"/>
      </w:pPr>
      <w:r>
        <w:rPr>
          <w:rFonts w:ascii="Georgia" w:cs="Georgia" w:eastAsia="Georgia" w:hAnsi="Georgia"/>
          <w:b w:val="false"/>
          <w:bCs w:val="false"/>
          <w:i w:val="false"/>
          <w:iCs w:val="false"/>
          <w:color w:val="222222"/>
          <w:sz w:val="21"/>
          <w:szCs w:val="21"/>
        </w:rPr>
        <w:t xml:space="preserve">Indian goods entering the UK had to meet UK product and safety standards — UKCA/CE conformity marking and product-specific safety rules; UK REACH for chemicals; food-labelling and compositional rules; and SPS controls for products of animal origin, fishery products and plants (health certificates, IPAFFS pre-notification and checks at Border Control Posts under the Border Target Operating Model). These UK requirements are not removed by the CETA; the Agreement instead works towards smoother conformity assessment and, over time, mutual recognition in some fields.</w:t>
      </w:r>
    </w:p>
    <w:p>
      <w:pPr>
        <w:pStyle w:val="Heading3"/>
        <w:keepNext/>
        <w:spacing w:after="60" w:before="170"/>
      </w:pPr>
      <w:r>
        <w:rPr>
          <w:rFonts w:ascii="Georgia" w:cs="Georgia" w:eastAsia="Georgia" w:hAnsi="Georgia"/>
          <w:b/>
          <w:bCs/>
          <w:i w:val="false"/>
          <w:iCs w:val="false"/>
          <w:color w:val="2E4C7E"/>
          <w:sz w:val="21"/>
          <w:szCs w:val="21"/>
        </w:rPr>
        <w:t xml:space="preserve">1.1.6  FEMA and RBI — cross-border payments (both directions)</w:t>
      </w:r>
    </w:p>
    <w:p>
      <w:pPr>
        <w:spacing w:after="150" w:before="0" w:line="288"/>
        <w:jc w:val="both"/>
      </w:pPr>
      <w:r>
        <w:rPr>
          <w:rFonts w:ascii="Georgia" w:cs="Georgia" w:eastAsia="Georgia" w:hAnsi="Georgia"/>
          <w:b w:val="false"/>
          <w:bCs w:val="false"/>
          <w:i w:val="false"/>
          <w:iCs w:val="false"/>
          <w:color w:val="222222"/>
          <w:sz w:val="21"/>
          <w:szCs w:val="21"/>
        </w:rPr>
        <w:t xml:space="preserve">Payment for trade was, and remains, governed by the Foreign Exchange Management Act, 1999 (FEMA) and RBI directions. Import payments are routed through Authorised Dealer banks under the RBI Master Direction on Import of Goods and Services; export proceeds must generally be realised and repatriated within nine months under the Master Direction on Export of Goods and Services. Current-account transactions follow the Foreign Exchange Management (Current Account Transactions) Rules, 2000. The CETA does not change the FEMA framework, but the increased trade and investment it encourages makes disciplined FEMA/RBI compliance more important, not less.</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Before the CETA, India–UK trade ran on full MFN duties and a thick layer of domestic compliance in both markets, with only limited (and, from January 2026, withdrawn) UK preferences for India. The Agreement chiefly attacks the </w:t>
            </w:r>
            <w:r>
              <w:rPr>
                <w:rFonts w:ascii="Georgia" w:cs="Georgia" w:eastAsia="Georgia" w:hAnsi="Georgia"/>
                <w:b w:val="false"/>
                <w:bCs w:val="false"/>
                <w:i/>
                <w:iCs/>
                <w:color w:val="222222"/>
                <w:sz w:val="20"/>
                <w:szCs w:val="20"/>
              </w:rPr>
              <w:t xml:space="preserve">duty</w:t>
            </w:r>
            <w:r>
              <w:rPr>
                <w:rFonts w:ascii="Georgia" w:cs="Georgia" w:eastAsia="Georgia" w:hAnsi="Georgia"/>
                <w:b w:val="false"/>
                <w:bCs w:val="false"/>
                <w:i w:val="false"/>
                <w:iCs w:val="false"/>
                <w:color w:val="222222"/>
                <w:sz w:val="20"/>
                <w:szCs w:val="20"/>
              </w:rPr>
              <w:t xml:space="preserve"> and the </w:t>
            </w:r>
            <w:r>
              <w:rPr>
                <w:rFonts w:ascii="Georgia" w:cs="Georgia" w:eastAsia="Georgia" w:hAnsi="Georgia"/>
                <w:b w:val="false"/>
                <w:bCs w:val="false"/>
                <w:i/>
                <w:iCs/>
                <w:color w:val="222222"/>
                <w:sz w:val="20"/>
                <w:szCs w:val="20"/>
              </w:rPr>
              <w:t xml:space="preserve">customs process</w:t>
            </w:r>
            <w:r>
              <w:rPr>
                <w:rFonts w:ascii="Georgia" w:cs="Georgia" w:eastAsia="Georgia" w:hAnsi="Georgia"/>
                <w:b w:val="false"/>
                <w:bCs w:val="false"/>
                <w:i w:val="false"/>
                <w:iCs w:val="false"/>
                <w:color w:val="222222"/>
                <w:sz w:val="20"/>
                <w:szCs w:val="20"/>
              </w:rPr>
              <w:t xml:space="preserve"> — most domestic standards, approvals and the FEMA framework survive unchanged.</w:t>
            </w:r>
          </w:p>
        </w:tc>
      </w:tr>
    </w:tbl>
    <w:p>
      <w:pPr>
        <w:pStyle w:val="Heading2"/>
        <w:keepNext/>
        <w:spacing w:after="90" w:before="240"/>
      </w:pPr>
      <w:r>
        <w:rPr>
          <w:rFonts w:ascii="Georgia" w:cs="Georgia" w:eastAsia="Georgia" w:hAnsi="Georgia"/>
          <w:b/>
          <w:bCs/>
          <w:i w:val="false"/>
          <w:iCs w:val="false"/>
          <w:color w:val="2E4C7E"/>
          <w:sz w:val="24"/>
          <w:szCs w:val="24"/>
        </w:rPr>
        <w:t xml:space="preserve">1.2  Sector-by-sector: the pre-FTA position</w:t>
      </w:r>
    </w:p>
    <w:p>
      <w:pPr>
        <w:spacing w:after="150" w:before="0" w:line="288"/>
        <w:jc w:val="both"/>
      </w:pPr>
      <w:r>
        <w:rPr>
          <w:rFonts w:ascii="Georgia" w:cs="Georgia" w:eastAsia="Georgia" w:hAnsi="Georgia"/>
          <w:b w:val="false"/>
          <w:bCs w:val="false"/>
          <w:i w:val="false"/>
          <w:iCs w:val="false"/>
          <w:color w:val="222222"/>
          <w:sz w:val="21"/>
          <w:szCs w:val="21"/>
        </w:rPr>
        <w:t xml:space="preserve">For each sector below we give the position for both directions — imports from the UK into India, and exports from India to the UK — focusing on what was sector-specific. The common duty stack, registrations, customs procedure and FEMA position described in section 1.1 apply throughout and are not repeated.</w:t>
      </w:r>
    </w:p>
    <w:p>
      <w:pPr>
        <w:pStyle w:val="Heading3"/>
        <w:keepNext/>
        <w:spacing w:after="60" w:before="170"/>
      </w:pPr>
      <w:r>
        <w:rPr>
          <w:rFonts w:ascii="Georgia" w:cs="Georgia" w:eastAsia="Georgia" w:hAnsi="Georgia"/>
          <w:b/>
          <w:bCs/>
          <w:i w:val="false"/>
          <w:iCs w:val="false"/>
          <w:color w:val="2E4C7E"/>
          <w:sz w:val="21"/>
          <w:szCs w:val="21"/>
        </w:rPr>
        <w:t xml:space="preserve">Agriculture and processed foods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High protection. Processed foods faced BCD up to 70% and vegetable oils up to 20% (Backgrounder p. 3), plus FSSAI clearance, Legal Metrology labelling and, for plant/animal-derived items, quarantine permits. Effectively prohibitive for most UK food exporters.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 exported tea, spices, rice, fruit and ready-to-eat items, but faced UK MFN duties (with processed-food peaks up to ~70%) and demanding SPS controls — residue limits, health certificates and BCP checks — which were often a bigger barrier than duty (WTC Report p. 12).</w:t>
      </w:r>
    </w:p>
    <w:p>
      <w:pPr>
        <w:pStyle w:val="Heading3"/>
        <w:keepNext/>
        <w:spacing w:after="60" w:before="170"/>
      </w:pPr>
      <w:r>
        <w:rPr>
          <w:rFonts w:ascii="Georgia" w:cs="Georgia" w:eastAsia="Georgia" w:hAnsi="Georgia"/>
          <w:b/>
          <w:bCs/>
          <w:i w:val="false"/>
          <w:iCs w:val="false"/>
          <w:color w:val="2E4C7E"/>
          <w:sz w:val="21"/>
          <w:szCs w:val="21"/>
        </w:rPr>
        <w:t xml:space="preserve">Marine products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Limited; subject to BCD, FSSAI and animal-quarantine sanitary permits.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A major Indian strength (shrimp, fish, cuttlefish), but Indian product faced UK tariffs of roughly 4.2% to 21.5% while competitors such as Vietnam and Ecuador enjoyed zero duty, and stringent phytosanitary norms restricted access. India's UK market share sat around 2.25% despite a UK marine market of ~USD 5.4 billion (WTC Report pp. 8, 13, 23; Backgrounder p. 8).</w:t>
      </w:r>
    </w:p>
    <w:p>
      <w:pPr>
        <w:pStyle w:val="Heading3"/>
        <w:keepNext/>
        <w:spacing w:after="60" w:before="170"/>
      </w:pPr>
      <w:r>
        <w:rPr>
          <w:rFonts w:ascii="Georgia" w:cs="Georgia" w:eastAsia="Georgia" w:hAnsi="Georgia"/>
          <w:b/>
          <w:bCs/>
          <w:i w:val="false"/>
          <w:iCs w:val="false"/>
          <w:color w:val="2E4C7E"/>
          <w:sz w:val="21"/>
          <w:szCs w:val="21"/>
        </w:rPr>
        <w:t xml:space="preserve">Dairy</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Among India's most sensitive sectors — high duties and strict sanitary/vegetarian-certification requirements; effectively closed to protect millions of small producers.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Modest, constrained by UK SPS approval of establishments and health certification.</w:t>
      </w:r>
    </w:p>
    <w:p>
      <w:pPr>
        <w:pStyle w:val="Heading3"/>
        <w:keepNext/>
        <w:spacing w:after="60" w:before="170"/>
      </w:pPr>
      <w:r>
        <w:rPr>
          <w:rFonts w:ascii="Georgia" w:cs="Georgia" w:eastAsia="Georgia" w:hAnsi="Georgia"/>
          <w:b/>
          <w:bCs/>
          <w:i w:val="false"/>
          <w:iCs w:val="false"/>
          <w:color w:val="2E4C7E"/>
          <w:sz w:val="21"/>
          <w:szCs w:val="21"/>
        </w:rPr>
        <w:t xml:space="preserve">Food processing and FMCG</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Branded UK foods, confectionery and beverages faced high BCD, FSSAI product approvals and packaging/labelling rules under Legal Metrology.</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Value-added and ethnic foods faced UK MFN duty and food-safety/labelling compliance; strong diaspora demand but margin eroded by duty and certification cost.</w:t>
      </w:r>
    </w:p>
    <w:p>
      <w:pPr>
        <w:pStyle w:val="Heading3"/>
        <w:keepNext/>
        <w:spacing w:after="60" w:before="170"/>
      </w:pPr>
      <w:r>
        <w:rPr>
          <w:rFonts w:ascii="Georgia" w:cs="Georgia" w:eastAsia="Georgia" w:hAnsi="Georgia"/>
          <w:b/>
          <w:bCs/>
          <w:i w:val="false"/>
          <w:iCs w:val="false"/>
          <w:color w:val="2E4C7E"/>
          <w:sz w:val="21"/>
          <w:szCs w:val="21"/>
        </w:rPr>
        <w:t xml:space="preserve">Tea, coffee and spices (plantations)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Minimal.</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The UK was already a meaningful buyer (around 5.6% of India's tea, 1.7% of coffee and 2.9% of spice exports), but value-added and instant products faced duty that blunted competitiveness against European processors (Backgrounder p. 7–8).</w:t>
      </w:r>
    </w:p>
    <w:p>
      <w:pPr>
        <w:pStyle w:val="Heading3"/>
        <w:keepNext/>
        <w:spacing w:after="60" w:before="170"/>
      </w:pPr>
      <w:r>
        <w:rPr>
          <w:rFonts w:ascii="Georgia" w:cs="Georgia" w:eastAsia="Georgia" w:hAnsi="Georgia"/>
          <w:b/>
          <w:bCs/>
          <w:i w:val="false"/>
          <w:iCs w:val="false"/>
          <w:color w:val="2E4C7E"/>
          <w:sz w:val="21"/>
          <w:szCs w:val="21"/>
        </w:rPr>
        <w:t xml:space="preserve">Textiles, apparel and carpets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up to 12% on textiles/clothing (Backgrounder p. 3), plus BIS/handloom and labelling requirements.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India's single largest export category to the UK, yet Indian textiles faced UK duty up to ~10% and clothing up to ~12%, while Bangladesh, Pakistan and Cambodia enjoyed duty-free access — a direct competitive disadvantage. The withdrawal of DCTS preferences on HS 61–63 from January 2026 worsened this immediately before the CETA (WTC Report p. 11; combined CETA document p. 9; GOV.UK graduation notice).</w:t>
      </w:r>
    </w:p>
    <w:p>
      <w:pPr>
        <w:pStyle w:val="Heading3"/>
        <w:keepNext/>
        <w:spacing w:after="60" w:before="170"/>
      </w:pPr>
      <w:r>
        <w:rPr>
          <w:rFonts w:ascii="Georgia" w:cs="Georgia" w:eastAsia="Georgia" w:hAnsi="Georgia"/>
          <w:b/>
          <w:bCs/>
          <w:i w:val="false"/>
          <w:iCs w:val="false"/>
          <w:color w:val="2E4C7E"/>
          <w:sz w:val="21"/>
          <w:szCs w:val="21"/>
        </w:rPr>
        <w:t xml:space="preserve">Leather and footwear</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up to 16% (Backgrounder p. 3), plus BIS footwear QCO requirements.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Indian leather goods and footwear faced UK duties of up to ~16%, disadvantaging them against Vietnam and others; current exports to the UK were around USD 440 million against a far larger potential (combined CETA document p. 9).</w:t>
      </w:r>
    </w:p>
    <w:p>
      <w:pPr>
        <w:pStyle w:val="Heading3"/>
        <w:keepNext/>
        <w:spacing w:after="60" w:before="170"/>
      </w:pPr>
      <w:r>
        <w:rPr>
          <w:rFonts w:ascii="Georgia" w:cs="Georgia" w:eastAsia="Georgia" w:hAnsi="Georgia"/>
          <w:b/>
          <w:bCs/>
          <w:i w:val="false"/>
          <w:iCs w:val="false"/>
          <w:color w:val="2E4C7E"/>
          <w:sz w:val="21"/>
          <w:szCs w:val="21"/>
        </w:rPr>
        <w:t xml:space="preserve">Gems and jewellery</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Gold, jewellery and lab-grown diamonds — treated as sensitive/strategic; jewellery BCD up to ~4% plus high duties on gold, with hallmarking (BIS) requirements.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A flagship sector; India's G&amp;J exports to the UK were around USD 941 million (of which ~USD 400 million jewellery), facing UK duty (jewellery up to ~4%) against a UK jewellery import market of ~USD 3 billion (combined CETA document p. 16; WTC Report p. 11).</w:t>
      </w:r>
    </w:p>
    <w:p>
      <w:pPr>
        <w:pStyle w:val="Heading3"/>
        <w:keepNext/>
        <w:spacing w:after="60" w:before="170"/>
      </w:pPr>
      <w:r>
        <w:rPr>
          <w:rFonts w:ascii="Georgia" w:cs="Georgia" w:eastAsia="Georgia" w:hAnsi="Georgia"/>
          <w:b/>
          <w:bCs/>
          <w:i w:val="false"/>
          <w:iCs w:val="false"/>
          <w:color w:val="2E4C7E"/>
          <w:sz w:val="21"/>
          <w:szCs w:val="21"/>
        </w:rPr>
        <w:t xml:space="preserve">Pharmaceuticals and biotech</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Innovator medicines faced BCD (pharma peak up to ~8–10%) plus CDSCO import registration/licensing and price-control considerations.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 is a leading generics supplier, but exports to the UK sat under USD 1 billion against a UK pharma import market near USD 30 billion, with UK regulatory approval (MHRA) and MFN duty as the main frictions (combined CETA document p. 12).</w:t>
      </w:r>
    </w:p>
    <w:p>
      <w:pPr>
        <w:pStyle w:val="Heading3"/>
        <w:keepNext/>
        <w:spacing w:after="60" w:before="170"/>
      </w:pPr>
      <w:r>
        <w:rPr>
          <w:rFonts w:ascii="Georgia" w:cs="Georgia" w:eastAsia="Georgia" w:hAnsi="Georgia"/>
          <w:b/>
          <w:bCs/>
          <w:i w:val="false"/>
          <w:iCs w:val="false"/>
          <w:color w:val="2E4C7E"/>
          <w:sz w:val="21"/>
          <w:szCs w:val="21"/>
        </w:rPr>
        <w:t xml:space="preserve">Medical devices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of ~2–6% plus CDSCO registration under the Medical Devices Rules, 2017.</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Small (India's exports to the UK ~USD 37 million against a UK market ~USD 32 billion), constrained by UK conformity assessment (UKCA/UKAS) and MFN duty (combined CETA document p. 13).</w:t>
      </w:r>
    </w:p>
    <w:p>
      <w:pPr>
        <w:pStyle w:val="Heading3"/>
        <w:keepNext/>
        <w:spacing w:after="60" w:before="170"/>
      </w:pPr>
      <w:r>
        <w:rPr>
          <w:rFonts w:ascii="Georgia" w:cs="Georgia" w:eastAsia="Georgia" w:hAnsi="Georgia"/>
          <w:b/>
          <w:bCs/>
          <w:i w:val="false"/>
          <w:iCs w:val="false"/>
          <w:color w:val="2E4C7E"/>
          <w:sz w:val="21"/>
          <w:szCs w:val="21"/>
        </w:rPr>
        <w:t xml:space="preserve">Chemicals and petrochemicals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up to ~8% (Backgrounder p. 3), plus, for hazardous chemicals, registration and safety compliance.</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Specialty and organic chemicals faced UK duty up to ~8% and UK REACH registration; DCTS preferences on chemicals were withdrawn from January 2026, restoring full duty just before the CETA (combined CETA document pp. 13–14; GOV.UK).</w:t>
      </w:r>
    </w:p>
    <w:p>
      <w:pPr>
        <w:pStyle w:val="Heading3"/>
        <w:keepNext/>
        <w:spacing w:after="60" w:before="170"/>
      </w:pPr>
      <w:r>
        <w:rPr>
          <w:rFonts w:ascii="Georgia" w:cs="Georgia" w:eastAsia="Georgia" w:hAnsi="Georgia"/>
          <w:b/>
          <w:bCs/>
          <w:i w:val="false"/>
          <w:iCs w:val="false"/>
          <w:color w:val="2E4C7E"/>
          <w:sz w:val="21"/>
          <w:szCs w:val="21"/>
        </w:rPr>
        <w:t xml:space="preserve">Plastics and rubber</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up to ~6% (Backgrounder p. 3).</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 was around the 13th-largest plastics supplier to the UK (FY2024-25 ~USD 0.5 billion), facing MFN duty against strong EU competition (combined CETA document p. 15).</w:t>
      </w:r>
    </w:p>
    <w:p>
      <w:pPr>
        <w:pStyle w:val="Heading3"/>
        <w:keepNext/>
        <w:spacing w:after="60" w:before="170"/>
      </w:pPr>
      <w:r>
        <w:rPr>
          <w:rFonts w:ascii="Georgia" w:cs="Georgia" w:eastAsia="Georgia" w:hAnsi="Georgia"/>
          <w:b/>
          <w:bCs/>
          <w:i w:val="false"/>
          <w:iCs w:val="false"/>
          <w:color w:val="2E4C7E"/>
          <w:sz w:val="21"/>
          <w:szCs w:val="21"/>
        </w:rPr>
        <w:t xml:space="preserve">Machinery and engineering goods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Mechanical machinery BCD up to ~8%; electrical machinery up to ~14% (Backgrounder p. 3), plus BIS/CRS where notified.</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The UK is a major engineering market but Indian exports (~USD 4.3 billion) faced UK duty up to ~18%; a wide gap given UK engineering imports near USD 193 billion (combined CETA document pp. 10–11).</w:t>
      </w:r>
    </w:p>
    <w:p>
      <w:pPr>
        <w:pStyle w:val="Heading3"/>
        <w:keepNext/>
        <w:spacing w:after="60" w:before="170"/>
      </w:pPr>
      <w:r>
        <w:rPr>
          <w:rFonts w:ascii="Georgia" w:cs="Georgia" w:eastAsia="Georgia" w:hAnsi="Georgia"/>
          <w:b/>
          <w:bCs/>
          <w:i w:val="false"/>
          <w:iCs w:val="false"/>
          <w:color w:val="2E4C7E"/>
          <w:sz w:val="21"/>
          <w:szCs w:val="21"/>
        </w:rPr>
        <w:t xml:space="preserve">Electronics and electrical equipment</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(electrical machinery up to ~14%), plus mandatory BIS registration under CRS and, for wireless items, WPC/TEC approval.</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Growing (smartphones had become a leading Indian export line), but general electronics faced UK MFN duty and UKCA conformity.</w:t>
      </w:r>
    </w:p>
    <w:p>
      <w:pPr>
        <w:pStyle w:val="Heading3"/>
        <w:keepNext/>
        <w:spacing w:after="60" w:before="170"/>
      </w:pPr>
      <w:r>
        <w:rPr>
          <w:rFonts w:ascii="Georgia" w:cs="Georgia" w:eastAsia="Georgia" w:hAnsi="Georgia"/>
          <w:b/>
          <w:bCs/>
          <w:i w:val="false"/>
          <w:iCs w:val="false"/>
          <w:color w:val="2E4C7E"/>
          <w:sz w:val="21"/>
          <w:szCs w:val="21"/>
        </w:rPr>
        <w:t xml:space="preserve">Automobiles and auto components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Built-up vehicles faced BCD exceeding 100% — one of the highest duties in the schedule — effectively confining UK cars to a niche; components faced up to ~15% plus BIS/AIS type-approval.</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Components and (increasingly) EVs faced UK duty (autos up to ~10%; components up to ~18%) and UK type-approval/UNECE conformity (WTC Report p. 9; combined CETA document p. 20).</w:t>
      </w:r>
    </w:p>
    <w:p>
      <w:pPr>
        <w:pStyle w:val="Heading3"/>
        <w:keepNext/>
        <w:spacing w:after="60" w:before="170"/>
      </w:pPr>
      <w:r>
        <w:rPr>
          <w:rFonts w:ascii="Georgia" w:cs="Georgia" w:eastAsia="Georgia" w:hAnsi="Georgia"/>
          <w:b/>
          <w:bCs/>
          <w:i w:val="false"/>
          <w:iCs w:val="false"/>
          <w:color w:val="2E4C7E"/>
          <w:sz w:val="21"/>
          <w:szCs w:val="21"/>
        </w:rPr>
        <w:t xml:space="preserve">Aerospace and defence</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Duty plus licensing and security clearances; defence procurement governed separately.</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Nascent; UK aerospace certification and MFN duty applied.</w:t>
      </w:r>
    </w:p>
    <w:p>
      <w:pPr>
        <w:pStyle w:val="Heading3"/>
        <w:keepNext/>
        <w:spacing w:after="60" w:before="170"/>
      </w:pPr>
      <w:r>
        <w:rPr>
          <w:rFonts w:ascii="Georgia" w:cs="Georgia" w:eastAsia="Georgia" w:hAnsi="Georgia"/>
          <w:b/>
          <w:bCs/>
          <w:i w:val="false"/>
          <w:iCs w:val="false"/>
          <w:color w:val="2E4C7E"/>
          <w:sz w:val="21"/>
          <w:szCs w:val="21"/>
        </w:rPr>
        <w:t xml:space="preserve">Renewable energy components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plus BIS requirements on solar and electrical equipment.</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 (a net exporter of wind turbines and solar modules) faced UK MFN duty and conformity requirements while the UK pursued net-zero procurement (WTC Report p. 13).</w:t>
      </w:r>
    </w:p>
    <w:p>
      <w:pPr>
        <w:pStyle w:val="Heading3"/>
        <w:keepNext/>
        <w:spacing w:after="60" w:before="170"/>
      </w:pPr>
      <w:r>
        <w:rPr>
          <w:rFonts w:ascii="Georgia" w:cs="Georgia" w:eastAsia="Georgia" w:hAnsi="Georgia"/>
          <w:b/>
          <w:bCs/>
          <w:i w:val="false"/>
          <w:iCs w:val="false"/>
          <w:color w:val="2E4C7E"/>
          <w:sz w:val="21"/>
          <w:szCs w:val="21"/>
        </w:rPr>
        <w:t xml:space="preserve">Steel and iron</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Base metals/articles BCD up to ~10% (Backgrounder p. 3), plus BIS steel QCOs.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Iron/steel articles faced UK MFN duty and DCTS preferences on these lines were withdrawn from January 2026; the UK's separate steel-safeguard regime added quota and above-quota tariff risk (GOV.UK; PIB 2274280).</w:t>
      </w:r>
    </w:p>
    <w:p>
      <w:pPr>
        <w:pStyle w:val="Heading3"/>
        <w:keepNext/>
        <w:spacing w:after="60" w:before="170"/>
      </w:pPr>
      <w:r>
        <w:rPr>
          <w:rFonts w:ascii="Georgia" w:cs="Georgia" w:eastAsia="Georgia" w:hAnsi="Georgia"/>
          <w:b/>
          <w:bCs/>
          <w:i w:val="false"/>
          <w:iCs w:val="false"/>
          <w:color w:val="2E4C7E"/>
          <w:sz w:val="21"/>
          <w:szCs w:val="21"/>
        </w:rPr>
        <w:t xml:space="preserve">Aluminium and non-ferrous metals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up to ~10% plus BIS.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Faced UK MFN duty; non-ferrous metals were a notable UK import from India.</w:t>
      </w:r>
    </w:p>
    <w:p>
      <w:pPr>
        <w:pStyle w:val="Heading3"/>
        <w:keepNext/>
        <w:spacing w:after="60" w:before="170"/>
      </w:pPr>
      <w:r>
        <w:rPr>
          <w:rFonts w:ascii="Georgia" w:cs="Georgia" w:eastAsia="Georgia" w:hAnsi="Georgia"/>
          <w:b/>
          <w:bCs/>
          <w:i w:val="false"/>
          <w:iCs w:val="false"/>
          <w:color w:val="2E4C7E"/>
          <w:sz w:val="21"/>
          <w:szCs w:val="21"/>
        </w:rPr>
        <w:t xml:space="preserve">Construction materials and ceramics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up to ~12% (headgear/glass/ceramics band) plus BIS.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Indian ceramics (concentrated in Morbi, Gujarat) had roughly doubled to ~USD 119 million but faced UK MFN duty (Backgrounder p. 12).</w:t>
      </w:r>
    </w:p>
    <w:p>
      <w:pPr>
        <w:pStyle w:val="Heading3"/>
        <w:keepNext/>
        <w:spacing w:after="60" w:before="170"/>
      </w:pPr>
      <w:r>
        <w:rPr>
          <w:rFonts w:ascii="Georgia" w:cs="Georgia" w:eastAsia="Georgia" w:hAnsi="Georgia"/>
          <w:b/>
          <w:bCs/>
          <w:i w:val="false"/>
          <w:iCs w:val="false"/>
          <w:color w:val="2E4C7E"/>
          <w:sz w:val="21"/>
          <w:szCs w:val="21"/>
        </w:rPr>
        <w:t xml:space="preserve">Furniture, sports goods and toys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up to ~4% plus BIS toy-safety QCO.</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Faced UK MFN duty and product-safety/UKCA compliance; a modest but growing category (combined CETA document p. 15).</w:t>
      </w:r>
    </w:p>
    <w:p>
      <w:pPr>
        <w:pStyle w:val="Heading3"/>
        <w:keepNext/>
        <w:spacing w:after="60" w:before="170"/>
      </w:pPr>
      <w:r>
        <w:rPr>
          <w:rFonts w:ascii="Georgia" w:cs="Georgia" w:eastAsia="Georgia" w:hAnsi="Georgia"/>
          <w:b/>
          <w:bCs/>
          <w:i w:val="false"/>
          <w:iCs w:val="false"/>
          <w:color w:val="2E4C7E"/>
          <w:sz w:val="21"/>
          <w:szCs w:val="21"/>
        </w:rPr>
        <w:t xml:space="preserve">Cosmetics and personal care</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BCD plus CDSCO cosmetic import registration under the Cosmetics Rules, 2020 — the registration being the main practical barrier.</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Faced UK duty and UK cosmetics safety/labelling compliance.</w:t>
      </w:r>
    </w:p>
    <w:p>
      <w:pPr>
        <w:pStyle w:val="Heading3"/>
        <w:keepNext/>
        <w:spacing w:after="60" w:before="170"/>
      </w:pPr>
      <w:r>
        <w:rPr>
          <w:rFonts w:ascii="Georgia" w:cs="Georgia" w:eastAsia="Georgia" w:hAnsi="Georgia"/>
          <w:b/>
          <w:bCs/>
          <w:i w:val="false"/>
          <w:iCs w:val="false"/>
          <w:color w:val="2E4C7E"/>
          <w:sz w:val="21"/>
          <w:szCs w:val="21"/>
        </w:rPr>
        <w:t xml:space="preserve">Alcoholic beverages (wines and spirits)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Scotch whisky and gin faced BCD of 150% — layered on top of high state excise duties — keeping imported spirits expensive and confined to a premium niche (Backgrounder p. 12; WTC Report p. 12).</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Indian spirits faced UK MFN duty and UK labelling; a small category.</w:t>
      </w:r>
    </w:p>
    <w:p>
      <w:pPr>
        <w:pStyle w:val="Heading3"/>
        <w:keepNext/>
        <w:spacing w:after="60" w:before="170"/>
      </w:pPr>
      <w:r>
        <w:rPr>
          <w:rFonts w:ascii="Georgia" w:cs="Georgia" w:eastAsia="Georgia" w:hAnsi="Georgia"/>
          <w:b/>
          <w:bCs/>
          <w:i w:val="false"/>
          <w:iCs w:val="false"/>
          <w:color w:val="2E4C7E"/>
          <w:sz w:val="21"/>
          <w:szCs w:val="21"/>
        </w:rPr>
        <w:t xml:space="preserve">Retail, luxury goods and other consumer products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Consumer/luxury goods faced BCD across bands plus Legal Metrology and, where relevant, BIS — with FDI in multi-brand retail restricted under the FDI policy (DPIIT).</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Handicrafts and consumer goods faced UK MFN duty and product-safety compliance.</w:t>
      </w:r>
    </w:p>
    <w:p>
      <w:pPr>
        <w:pStyle w:val="Heading2"/>
        <w:keepNext/>
        <w:spacing w:after="90" w:before="240"/>
      </w:pPr>
      <w:r>
        <w:rPr>
          <w:rFonts w:ascii="Georgia" w:cs="Georgia" w:eastAsia="Georgia" w:hAnsi="Georgia"/>
          <w:b/>
          <w:bCs/>
          <w:i w:val="false"/>
          <w:iCs w:val="false"/>
          <w:color w:val="2E4C7E"/>
          <w:sz w:val="24"/>
          <w:szCs w:val="24"/>
        </w:rPr>
        <w:t xml:space="preserve">Services and cross-cutting areas — the pre-FTA position</w:t>
      </w:r>
    </w:p>
    <w:p>
      <w:pPr>
        <w:pStyle w:val="Heading3"/>
        <w:keepNext/>
        <w:spacing w:after="60" w:before="170"/>
      </w:pPr>
      <w:r>
        <w:rPr>
          <w:rFonts w:ascii="Georgia" w:cs="Georgia" w:eastAsia="Georgia" w:hAnsi="Georgia"/>
          <w:b/>
          <w:bCs/>
          <w:i w:val="false"/>
          <w:iCs w:val="false"/>
          <w:color w:val="2E4C7E"/>
          <w:sz w:val="21"/>
          <w:szCs w:val="21"/>
        </w:rPr>
        <w:t xml:space="preserve">IT and IT-enabled services (IT/ITeS)</w:t>
      </w:r>
    </w:p>
    <w:p>
      <w:pPr>
        <w:spacing w:after="120" w:line="288"/>
        <w:jc w:val="both"/>
      </w:pPr>
      <w:r>
        <w:rPr>
          <w:rFonts w:ascii="Georgia" w:cs="Georgia" w:eastAsia="Georgia" w:hAnsi="Georgia"/>
          <w:b/>
          <w:bCs/>
          <w:i w:val="false"/>
          <w:iCs w:val="false"/>
          <w:color w:val="2E4C7E"/>
          <w:sz w:val="21"/>
          <w:szCs w:val="21"/>
        </w:rPr>
        <w:t xml:space="preserve">India → UK:  </w:t>
      </w:r>
      <w:r>
        <w:rPr>
          <w:rFonts w:ascii="Georgia" w:cs="Georgia" w:eastAsia="Georgia" w:hAnsi="Georgia"/>
          <w:b w:val="false"/>
          <w:bCs w:val="false"/>
          <w:i w:val="false"/>
          <w:iCs w:val="false"/>
          <w:color w:val="222222"/>
          <w:sz w:val="21"/>
          <w:szCs w:val="21"/>
        </w:rPr>
        <w:t xml:space="preserve">India's largest services export to the UK (‘Other Business Services’ and telecom/computer/information services dominated), but delivery through posted staff was constrained by UK immigration rules and, critically, by dual social-security contributions — Indian professionals and their employers paying UK National Insurance during assignments without commensurate benefit.</w:t>
      </w:r>
    </w:p>
    <w:p>
      <w:pPr>
        <w:spacing w:after="120" w:line="288"/>
        <w:jc w:val="both"/>
      </w:pPr>
      <w:r>
        <w:rPr>
          <w:rFonts w:ascii="Georgia" w:cs="Georgia" w:eastAsia="Georgia" w:hAnsi="Georgia"/>
          <w:b/>
          <w:bCs/>
          <w:i w:val="false"/>
          <w:iCs w:val="false"/>
          <w:color w:val="2E4C7E"/>
          <w:sz w:val="21"/>
          <w:szCs w:val="21"/>
        </w:rPr>
        <w:t xml:space="preserve">UK → India:  </w:t>
      </w:r>
      <w:r>
        <w:rPr>
          <w:rFonts w:ascii="Georgia" w:cs="Georgia" w:eastAsia="Georgia" w:hAnsi="Georgia"/>
          <w:b w:val="false"/>
          <w:bCs w:val="false"/>
          <w:i w:val="false"/>
          <w:iCs w:val="false"/>
          <w:color w:val="222222"/>
          <w:sz w:val="21"/>
          <w:szCs w:val="21"/>
        </w:rPr>
        <w:t xml:space="preserve">UK firms supplied consulting and technology services into India subject to sectoral FDI caps and RBI/FEMA rules on cross-border payments.</w:t>
      </w:r>
    </w:p>
    <w:p>
      <w:pPr>
        <w:pStyle w:val="Heading3"/>
        <w:keepNext/>
        <w:spacing w:after="60" w:before="170"/>
      </w:pPr>
      <w:r>
        <w:rPr>
          <w:rFonts w:ascii="Georgia" w:cs="Georgia" w:eastAsia="Georgia" w:hAnsi="Georgia"/>
          <w:b/>
          <w:bCs/>
          <w:i w:val="false"/>
          <w:iCs w:val="false"/>
          <w:color w:val="2E4C7E"/>
          <w:sz w:val="21"/>
          <w:szCs w:val="21"/>
        </w:rPr>
        <w:t xml:space="preserve">Financial services, banking, insurance and FinTech</w:t>
      </w:r>
    </w:p>
    <w:p>
      <w:pPr>
        <w:spacing w:after="120" w:line="288"/>
        <w:jc w:val="both"/>
      </w:pPr>
      <w:r>
        <w:rPr>
          <w:rFonts w:ascii="Georgia" w:cs="Georgia" w:eastAsia="Georgia" w:hAnsi="Georgia"/>
          <w:b/>
          <w:bCs/>
          <w:i w:val="false"/>
          <w:iCs w:val="false"/>
          <w:color w:val="2E4C7E"/>
          <w:sz w:val="21"/>
          <w:szCs w:val="21"/>
        </w:rPr>
        <w:t xml:space="preserve">India → UK:  </w:t>
      </w:r>
      <w:r>
        <w:rPr>
          <w:rFonts w:ascii="Georgia" w:cs="Georgia" w:eastAsia="Georgia" w:hAnsi="Georgia"/>
          <w:b w:val="false"/>
          <w:bCs w:val="false"/>
          <w:i w:val="false"/>
          <w:iCs w:val="false"/>
          <w:color w:val="222222"/>
          <w:sz w:val="21"/>
          <w:szCs w:val="21"/>
        </w:rPr>
        <w:t xml:space="preserve">Indian financial firms could operate in the UK subject to UK authorisation (FCA/PRA); market access was ad hoc rather than treaty-assured.</w:t>
      </w:r>
    </w:p>
    <w:p>
      <w:pPr>
        <w:spacing w:after="120" w:line="288"/>
        <w:jc w:val="both"/>
      </w:pPr>
      <w:r>
        <w:rPr>
          <w:rFonts w:ascii="Georgia" w:cs="Georgia" w:eastAsia="Georgia" w:hAnsi="Georgia"/>
          <w:b/>
          <w:bCs/>
          <w:i w:val="false"/>
          <w:iCs w:val="false"/>
          <w:color w:val="2E4C7E"/>
          <w:sz w:val="21"/>
          <w:szCs w:val="21"/>
        </w:rPr>
        <w:t xml:space="preserve">UK → India:  </w:t>
      </w:r>
      <w:r>
        <w:rPr>
          <w:rFonts w:ascii="Georgia" w:cs="Georgia" w:eastAsia="Georgia" w:hAnsi="Georgia"/>
          <w:b w:val="false"/>
          <w:bCs w:val="false"/>
          <w:i w:val="false"/>
          <w:iCs w:val="false"/>
          <w:color w:val="222222"/>
          <w:sz w:val="21"/>
          <w:szCs w:val="21"/>
        </w:rPr>
        <w:t xml:space="preserve">UK banks and insurers faced sectoral FDI caps (e.g., insurance) and RBI/IRDAI/SEBI licensing; access was not underpinned by a bilateral treaty.</w:t>
      </w:r>
    </w:p>
    <w:p>
      <w:pPr>
        <w:pStyle w:val="Heading3"/>
        <w:keepNext/>
        <w:spacing w:after="60" w:before="170"/>
      </w:pPr>
      <w:r>
        <w:rPr>
          <w:rFonts w:ascii="Georgia" w:cs="Georgia" w:eastAsia="Georgia" w:hAnsi="Georgia"/>
          <w:b/>
          <w:bCs/>
          <w:i w:val="false"/>
          <w:iCs w:val="false"/>
          <w:color w:val="2E4C7E"/>
          <w:sz w:val="21"/>
          <w:szCs w:val="21"/>
        </w:rPr>
        <w:t xml:space="preserve">Professional services and consulting</w:t>
      </w:r>
    </w:p>
    <w:p>
      <w:pPr>
        <w:spacing w:after="120" w:line="288"/>
        <w:jc w:val="both"/>
      </w:pPr>
      <w:r>
        <w:rPr>
          <w:rFonts w:ascii="Georgia" w:cs="Georgia" w:eastAsia="Georgia" w:hAnsi="Georgia"/>
          <w:b/>
          <w:bCs/>
          <w:i w:val="false"/>
          <w:iCs w:val="false"/>
          <w:color w:val="2E4C7E"/>
          <w:sz w:val="21"/>
          <w:szCs w:val="21"/>
        </w:rPr>
        <w:t xml:space="preserve">India → UK:  </w:t>
      </w:r>
      <w:r>
        <w:rPr>
          <w:rFonts w:ascii="Georgia" w:cs="Georgia" w:eastAsia="Georgia" w:hAnsi="Georgia"/>
          <w:b w:val="false"/>
          <w:bCs w:val="false"/>
          <w:i w:val="false"/>
          <w:iCs w:val="false"/>
          <w:color w:val="222222"/>
          <w:sz w:val="21"/>
          <w:szCs w:val="21"/>
        </w:rPr>
        <w:t xml:space="preserve">Architects, engineers, accountants and lawyers faced non-recognition of Indian qualifications and immigration friction — a significant practical barrier to delivering services in person.</w:t>
      </w:r>
    </w:p>
    <w:p>
      <w:pPr>
        <w:spacing w:after="120" w:line="288"/>
        <w:jc w:val="both"/>
      </w:pPr>
      <w:r>
        <w:rPr>
          <w:rFonts w:ascii="Georgia" w:cs="Georgia" w:eastAsia="Georgia" w:hAnsi="Georgia"/>
          <w:b/>
          <w:bCs/>
          <w:i w:val="false"/>
          <w:iCs w:val="false"/>
          <w:color w:val="2E4C7E"/>
          <w:sz w:val="21"/>
          <w:szCs w:val="21"/>
        </w:rPr>
        <w:t xml:space="preserve">UK → India:  </w:t>
      </w:r>
      <w:r>
        <w:rPr>
          <w:rFonts w:ascii="Georgia" w:cs="Georgia" w:eastAsia="Georgia" w:hAnsi="Georgia"/>
          <w:b w:val="false"/>
          <w:bCs w:val="false"/>
          <w:i w:val="false"/>
          <w:iCs w:val="false"/>
          <w:color w:val="222222"/>
          <w:sz w:val="21"/>
          <w:szCs w:val="21"/>
        </w:rPr>
        <w:t xml:space="preserve">Reciprocal recognition and entry limitations applied; professional-body regulation on both sides constrained cross-border practice.</w:t>
      </w:r>
    </w:p>
    <w:p>
      <w:pPr>
        <w:pStyle w:val="Heading3"/>
        <w:keepNext/>
        <w:spacing w:after="60" w:before="170"/>
      </w:pPr>
      <w:r>
        <w:rPr>
          <w:rFonts w:ascii="Georgia" w:cs="Georgia" w:eastAsia="Georgia" w:hAnsi="Georgia"/>
          <w:b/>
          <w:bCs/>
          <w:i w:val="false"/>
          <w:iCs w:val="false"/>
          <w:color w:val="2E4C7E"/>
          <w:sz w:val="21"/>
          <w:szCs w:val="21"/>
        </w:rPr>
        <w:t xml:space="preserve">Telecommunications</w:t>
      </w:r>
    </w:p>
    <w:p>
      <w:pPr>
        <w:spacing w:after="120" w:line="288"/>
        <w:jc w:val="both"/>
      </w:pPr>
      <w:r>
        <w:rPr>
          <w:rFonts w:ascii="Georgia" w:cs="Georgia" w:eastAsia="Georgia" w:hAnsi="Georgia"/>
          <w:b/>
          <w:bCs/>
          <w:i w:val="false"/>
          <w:iCs w:val="false"/>
          <w:color w:val="2E4C7E"/>
          <w:sz w:val="21"/>
          <w:szCs w:val="21"/>
        </w:rPr>
        <w:t xml:space="preserve">India → UK / UK → India:  </w:t>
      </w:r>
      <w:r>
        <w:rPr>
          <w:rFonts w:ascii="Georgia" w:cs="Georgia" w:eastAsia="Georgia" w:hAnsi="Georgia"/>
          <w:b w:val="false"/>
          <w:bCs w:val="false"/>
          <w:i w:val="false"/>
          <w:iCs w:val="false"/>
          <w:color w:val="222222"/>
          <w:sz w:val="21"/>
          <w:szCs w:val="21"/>
        </w:rPr>
        <w:t xml:space="preserve">Cross-border telecom and computer-related services were supplied without treaty-level market-access commitments; Indian equipment faced WPC/TEC on import, and Indian conformity was not recognised in the UK.</w:t>
      </w:r>
    </w:p>
    <w:p>
      <w:pPr>
        <w:pStyle w:val="Heading3"/>
        <w:keepNext/>
        <w:spacing w:after="60" w:before="170"/>
      </w:pPr>
      <w:r>
        <w:rPr>
          <w:rFonts w:ascii="Georgia" w:cs="Georgia" w:eastAsia="Georgia" w:hAnsi="Georgia"/>
          <w:b/>
          <w:bCs/>
          <w:i w:val="false"/>
          <w:iCs w:val="false"/>
          <w:color w:val="2E4C7E"/>
          <w:sz w:val="21"/>
          <w:szCs w:val="21"/>
        </w:rPr>
        <w:t xml:space="preserve">Education services</w:t>
      </w:r>
    </w:p>
    <w:p>
      <w:pPr>
        <w:spacing w:after="120" w:line="288"/>
        <w:jc w:val="both"/>
      </w:pPr>
      <w:r>
        <w:rPr>
          <w:rFonts w:ascii="Georgia" w:cs="Georgia" w:eastAsia="Georgia" w:hAnsi="Georgia"/>
          <w:b/>
          <w:bCs/>
          <w:i w:val="false"/>
          <w:iCs w:val="false"/>
          <w:color w:val="2E4C7E"/>
          <w:sz w:val="21"/>
          <w:szCs w:val="21"/>
        </w:rPr>
        <w:t xml:space="preserve">India → UK / UK → India:  </w:t>
      </w:r>
      <w:r>
        <w:rPr>
          <w:rFonts w:ascii="Georgia" w:cs="Georgia" w:eastAsia="Georgia" w:hAnsi="Georgia"/>
          <w:b w:val="false"/>
          <w:bCs w:val="false"/>
          <w:i w:val="false"/>
          <w:iCs w:val="false"/>
          <w:color w:val="222222"/>
          <w:sz w:val="21"/>
          <w:szCs w:val="21"/>
        </w:rPr>
        <w:t xml:space="preserve">Cooperation was policy-driven rather than treaty-based; UK institutions could not readily establish campuses in India, and mobility of students/faculty followed general immigration rules.</w:t>
      </w:r>
    </w:p>
    <w:p>
      <w:pPr>
        <w:pStyle w:val="Heading3"/>
        <w:keepNext/>
        <w:spacing w:after="60" w:before="170"/>
      </w:pPr>
      <w:r>
        <w:rPr>
          <w:rFonts w:ascii="Georgia" w:cs="Georgia" w:eastAsia="Georgia" w:hAnsi="Georgia"/>
          <w:b/>
          <w:bCs/>
          <w:i w:val="false"/>
          <w:iCs w:val="false"/>
          <w:color w:val="2E4C7E"/>
          <w:sz w:val="21"/>
          <w:szCs w:val="21"/>
        </w:rPr>
        <w:t xml:space="preserve">Logistics, shipping and aviation</w:t>
      </w:r>
    </w:p>
    <w:p>
      <w:pPr>
        <w:spacing w:after="120" w:line="288"/>
        <w:jc w:val="both"/>
      </w:pPr>
      <w:r>
        <w:rPr>
          <w:rFonts w:ascii="Georgia" w:cs="Georgia" w:eastAsia="Georgia" w:hAnsi="Georgia"/>
          <w:b/>
          <w:bCs/>
          <w:i w:val="false"/>
          <w:iCs w:val="false"/>
          <w:color w:val="2E4C7E"/>
          <w:sz w:val="21"/>
          <w:szCs w:val="21"/>
        </w:rPr>
        <w:t xml:space="preserve">Both directions:  </w:t>
      </w:r>
      <w:r>
        <w:rPr>
          <w:rFonts w:ascii="Georgia" w:cs="Georgia" w:eastAsia="Georgia" w:hAnsi="Georgia"/>
          <w:b w:val="false"/>
          <w:bCs w:val="false"/>
          <w:i w:val="false"/>
          <w:iCs w:val="false"/>
          <w:color w:val="222222"/>
          <w:sz w:val="21"/>
          <w:szCs w:val="21"/>
        </w:rPr>
        <w:t xml:space="preserve">Maritime, air-transport-support and logistics services operated under general regulation and bilateral air-services arrangements, without CETA-level commitments; customs friction added time and cost to physical trade.</w:t>
      </w:r>
    </w:p>
    <w:p>
      <w:pPr>
        <w:pStyle w:val="Heading3"/>
        <w:keepNext/>
        <w:spacing w:after="60" w:before="170"/>
      </w:pPr>
      <w:r>
        <w:rPr>
          <w:rFonts w:ascii="Georgia" w:cs="Georgia" w:eastAsia="Georgia" w:hAnsi="Georgia"/>
          <w:b/>
          <w:bCs/>
          <w:i w:val="false"/>
          <w:iCs w:val="false"/>
          <w:color w:val="2E4C7E"/>
          <w:sz w:val="21"/>
          <w:szCs w:val="21"/>
        </w:rPr>
        <w:t xml:space="preserve">Digital trade and e-commerce</w:t>
      </w:r>
    </w:p>
    <w:p>
      <w:pPr>
        <w:spacing w:after="120" w:line="288"/>
        <w:jc w:val="both"/>
      </w:pPr>
      <w:r>
        <w:rPr>
          <w:rFonts w:ascii="Georgia" w:cs="Georgia" w:eastAsia="Georgia" w:hAnsi="Georgia"/>
          <w:b/>
          <w:bCs/>
          <w:i w:val="false"/>
          <w:iCs w:val="false"/>
          <w:color w:val="2E4C7E"/>
          <w:sz w:val="21"/>
          <w:szCs w:val="21"/>
        </w:rPr>
        <w:t xml:space="preserve">Both directions:  </w:t>
      </w:r>
      <w:r>
        <w:rPr>
          <w:rFonts w:ascii="Georgia" w:cs="Georgia" w:eastAsia="Georgia" w:hAnsi="Georgia"/>
          <w:b w:val="false"/>
          <w:bCs w:val="false"/>
          <w:i w:val="false"/>
          <w:iCs w:val="false"/>
          <w:color w:val="222222"/>
          <w:sz w:val="21"/>
          <w:szCs w:val="21"/>
        </w:rPr>
        <w:t xml:space="preserve">No bilateral digital-trade framework existed; paperless trade, e-signatures/e-certification and cross-border data flows depended on each country's domestic law, adding friction for smaller online sellers.</w:t>
      </w:r>
    </w:p>
    <w:p>
      <w:pPr>
        <w:pStyle w:val="Heading3"/>
        <w:keepNext/>
        <w:spacing w:after="60" w:before="170"/>
      </w:pPr>
      <w:r>
        <w:rPr>
          <w:rFonts w:ascii="Georgia" w:cs="Georgia" w:eastAsia="Georgia" w:hAnsi="Georgia"/>
          <w:b/>
          <w:bCs/>
          <w:i w:val="false"/>
          <w:iCs w:val="false"/>
          <w:color w:val="2E4C7E"/>
          <w:sz w:val="21"/>
          <w:szCs w:val="21"/>
        </w:rPr>
        <w:t xml:space="preserve">Investment</w:t>
      </w:r>
    </w:p>
    <w:p>
      <w:pPr>
        <w:spacing w:after="120" w:line="288"/>
        <w:jc w:val="both"/>
      </w:pPr>
      <w:r>
        <w:rPr>
          <w:rFonts w:ascii="Georgia" w:cs="Georgia" w:eastAsia="Georgia" w:hAnsi="Georgia"/>
          <w:b/>
          <w:bCs/>
          <w:i w:val="false"/>
          <w:iCs w:val="false"/>
          <w:color w:val="2E4C7E"/>
          <w:sz w:val="21"/>
          <w:szCs w:val="21"/>
        </w:rPr>
        <w:t xml:space="preserve">Both directions:  </w:t>
      </w:r>
      <w:r>
        <w:rPr>
          <w:rFonts w:ascii="Georgia" w:cs="Georgia" w:eastAsia="Georgia" w:hAnsi="Georgia"/>
          <w:b w:val="false"/>
          <w:bCs w:val="false"/>
          <w:i w:val="false"/>
          <w:iCs w:val="false"/>
          <w:color w:val="222222"/>
          <w:sz w:val="21"/>
          <w:szCs w:val="21"/>
        </w:rPr>
        <w:t xml:space="preserve">Investment was governed by each country's domestic regime — in India, the FDI policy (DPIIT) with sectoral caps and, for outbound investment, the FEMA (Overseas Investment) framework and RBI reporting. There was no bilateral investment treaty in force after the earlier India–UK BIT was terminated, so treaty-level investment protection was absent.</w:t>
      </w:r>
    </w:p>
    <w:p>
      <w:pPr>
        <w:pStyle w:val="Heading3"/>
        <w:keepNext/>
        <w:spacing w:after="60" w:before="170"/>
      </w:pPr>
      <w:r>
        <w:rPr>
          <w:rFonts w:ascii="Georgia" w:cs="Georgia" w:eastAsia="Georgia" w:hAnsi="Georgia"/>
          <w:b/>
          <w:bCs/>
          <w:i w:val="false"/>
          <w:iCs w:val="false"/>
          <w:color w:val="2E4C7E"/>
          <w:sz w:val="21"/>
          <w:szCs w:val="21"/>
        </w:rPr>
        <w:t xml:space="preserve">Intellectual property</w:t>
      </w:r>
    </w:p>
    <w:p>
      <w:pPr>
        <w:spacing w:after="120" w:line="288"/>
        <w:jc w:val="both"/>
      </w:pPr>
      <w:r>
        <w:rPr>
          <w:rFonts w:ascii="Georgia" w:cs="Georgia" w:eastAsia="Georgia" w:hAnsi="Georgia"/>
          <w:b/>
          <w:bCs/>
          <w:i w:val="false"/>
          <w:iCs w:val="false"/>
          <w:color w:val="2E4C7E"/>
          <w:sz w:val="21"/>
          <w:szCs w:val="21"/>
        </w:rPr>
        <w:t xml:space="preserve">Both directions:  </w:t>
      </w:r>
      <w:r>
        <w:rPr>
          <w:rFonts w:ascii="Georgia" w:cs="Georgia" w:eastAsia="Georgia" w:hAnsi="Georgia"/>
          <w:b w:val="false"/>
          <w:bCs w:val="false"/>
          <w:i w:val="false"/>
          <w:iCs w:val="false"/>
          <w:color w:val="222222"/>
          <w:sz w:val="21"/>
          <w:szCs w:val="21"/>
        </w:rPr>
        <w:t xml:space="preserve">IP was protected under each country's domestic law consistent with the WTO TRIPS Agreement, without bilateral CETA-specific commitments on protection, enforcement or cooperation.</w:t>
      </w:r>
    </w:p>
    <w:p>
      <w:pPr>
        <w:pStyle w:val="Heading3"/>
        <w:keepNext/>
        <w:spacing w:after="60" w:before="170"/>
      </w:pPr>
      <w:r>
        <w:rPr>
          <w:rFonts w:ascii="Georgia" w:cs="Georgia" w:eastAsia="Georgia" w:hAnsi="Georgia"/>
          <w:b/>
          <w:bCs/>
          <w:i w:val="false"/>
          <w:iCs w:val="false"/>
          <w:color w:val="2E4C7E"/>
          <w:sz w:val="21"/>
          <w:szCs w:val="21"/>
        </w:rPr>
        <w:t xml:space="preserve">Start-ups and MSMEs</w:t>
      </w:r>
    </w:p>
    <w:p>
      <w:pPr>
        <w:spacing w:after="120" w:line="288"/>
        <w:jc w:val="both"/>
      </w:pPr>
      <w:r>
        <w:rPr>
          <w:rFonts w:ascii="Georgia" w:cs="Georgia" w:eastAsia="Georgia" w:hAnsi="Georgia"/>
          <w:b/>
          <w:bCs/>
          <w:i w:val="false"/>
          <w:iCs w:val="false"/>
          <w:color w:val="2E4C7E"/>
          <w:sz w:val="21"/>
          <w:szCs w:val="21"/>
        </w:rPr>
        <w:t xml:space="preserve">Both directions:  </w:t>
      </w:r>
      <w:r>
        <w:rPr>
          <w:rFonts w:ascii="Georgia" w:cs="Georgia" w:eastAsia="Georgia" w:hAnsi="Georgia"/>
          <w:b w:val="false"/>
          <w:bCs w:val="false"/>
          <w:i w:val="false"/>
          <w:iCs w:val="false"/>
          <w:color w:val="222222"/>
          <w:sz w:val="21"/>
          <w:szCs w:val="21"/>
        </w:rPr>
        <w:t xml:space="preserve">Smaller firms bore the compliance burden described in section 1.1 without any dedicated facilitation — no MSME chapter, no contact point, and origin/customs procedures that were disproportionately costly for small consignments.</w:t>
      </w:r>
    </w:p>
    <w:p>
      <w:pPr>
        <w:pStyle w:val="Heading2"/>
        <w:keepNext/>
        <w:spacing w:after="90" w:before="240"/>
      </w:pPr>
      <w:r>
        <w:rPr>
          <w:rFonts w:ascii="Georgia" w:cs="Georgia" w:eastAsia="Georgia" w:hAnsi="Georgia"/>
          <w:b/>
          <w:bCs/>
          <w:i w:val="false"/>
          <w:iCs w:val="false"/>
          <w:color w:val="2E4C7E"/>
          <w:sz w:val="24"/>
          <w:szCs w:val="24"/>
        </w:rPr>
        <w:t xml:space="preserve">1.3  Consolidated pre-FTA pain points</w:t>
      </w:r>
    </w:p>
    <w:p>
      <w:pPr>
        <w:spacing w:after="150" w:before="0" w:line="288"/>
        <w:jc w:val="both"/>
      </w:pPr>
      <w:r>
        <w:rPr>
          <w:rFonts w:ascii="Georgia" w:cs="Georgia" w:eastAsia="Georgia" w:hAnsi="Georgia"/>
          <w:b w:val="false"/>
          <w:bCs w:val="false"/>
          <w:i w:val="false"/>
          <w:iCs w:val="false"/>
          <w:color w:val="222222"/>
          <w:sz w:val="21"/>
          <w:szCs w:val="21"/>
        </w:rPr>
        <w:t xml:space="preserve">Pulling the threads together, businesses on both sides faced four recurring problems before the CETA:</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A duty disadvantage.</w:t>
      </w:r>
      <w:r>
        <w:rPr>
          <w:rFonts w:ascii="Georgia" w:cs="Georgia" w:eastAsia="Georgia" w:hAnsi="Georgia"/>
          <w:b w:val="false"/>
          <w:bCs w:val="false"/>
          <w:i w:val="false"/>
          <w:iCs w:val="false"/>
          <w:color w:val="222222"/>
          <w:sz w:val="21"/>
          <w:szCs w:val="21"/>
        </w:rPr>
        <w:t xml:space="preserve"> Indian labour-intensive exports paid meaningful UK duty while duty-free competitors undercut them; UK goods faced very high Indian duties on autos, spirits and processed food.</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A thick non-tariff and standards burden.</w:t>
      </w:r>
      <w:r>
        <w:rPr>
          <w:rFonts w:ascii="Georgia" w:cs="Georgia" w:eastAsia="Georgia" w:hAnsi="Georgia"/>
          <w:b w:val="false"/>
          <w:bCs w:val="false"/>
          <w:i w:val="false"/>
          <w:iCs w:val="false"/>
          <w:color w:val="222222"/>
          <w:sz w:val="21"/>
          <w:szCs w:val="21"/>
        </w:rPr>
        <w:t xml:space="preserve"> BIS, FSSAI, CDSCO, Legal Metrology and quarantine in India; UKCA/CE, UK REACH and SPS controls in the UK — each adding cost, testing and delay.</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Origin-proof and customs friction.</w:t>
      </w:r>
      <w:r>
        <w:rPr>
          <w:rFonts w:ascii="Georgia" w:cs="Georgia" w:eastAsia="Georgia" w:hAnsi="Georgia"/>
          <w:b w:val="false"/>
          <w:bCs w:val="false"/>
          <w:i w:val="false"/>
          <w:iCs w:val="false"/>
          <w:color w:val="222222"/>
          <w:sz w:val="21"/>
          <w:szCs w:val="21"/>
        </w:rPr>
        <w:t xml:space="preserve"> GSP/DCTS-style Form A/REX evidence, manual documentation and — from January 2026 — the withdrawal of UK preferences on India's key lines.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Mobility and payment friction.</w:t>
      </w:r>
      <w:r>
        <w:rPr>
          <w:rFonts w:ascii="Georgia" w:cs="Georgia" w:eastAsia="Georgia" w:hAnsi="Georgia"/>
          <w:b w:val="false"/>
          <w:bCs w:val="false"/>
          <w:i w:val="false"/>
          <w:iCs w:val="false"/>
          <w:color w:val="222222"/>
          <w:sz w:val="21"/>
          <w:szCs w:val="21"/>
        </w:rPr>
        <w:t xml:space="preserve"> Dual social-security costs and immigration uncertainty for service professionals; FEMA/RBI discipline on every cross-border payment.</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Chapter 3 shows how the CETA addresses the first and third of these directly (duty and origin/customs), eases the fourth for services (the DCC and assured mobility), and only partially touches the second — domestic standards and approvals largely remain. That distinction is the key to setting realistic expectations.</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Chapter 2 — The India–UK CETA: An Overview</w:t>
      </w:r>
    </w:p>
    <w:p>
      <w:pPr>
        <w:spacing w:after="150" w:before="0" w:line="288"/>
        <w:jc w:val="both"/>
      </w:pPr>
      <w:r>
        <w:rPr>
          <w:rFonts w:ascii="Georgia" w:cs="Georgia" w:eastAsia="Georgia" w:hAnsi="Georgia"/>
          <w:b w:val="false"/>
          <w:bCs w:val="false"/>
          <w:i/>
          <w:iCs/>
          <w:color w:val="6E6E6E"/>
          <w:sz w:val="21"/>
          <w:szCs w:val="21"/>
        </w:rPr>
        <w:t xml:space="preserve">This chapter is a plain-English overview of the Agreement — what it is, why it was negotiated, what it covers, and how it takes effect.</w:t>
      </w:r>
    </w:p>
    <w:p>
      <w:pPr>
        <w:pStyle w:val="Heading2"/>
        <w:keepNext/>
        <w:spacing w:after="90" w:before="240"/>
      </w:pPr>
      <w:r>
        <w:rPr>
          <w:rFonts w:ascii="Georgia" w:cs="Georgia" w:eastAsia="Georgia" w:hAnsi="Georgia"/>
          <w:b/>
          <w:bCs/>
          <w:i w:val="false"/>
          <w:iCs w:val="false"/>
          <w:color w:val="2E4C7E"/>
          <w:sz w:val="24"/>
          <w:szCs w:val="24"/>
        </w:rPr>
        <w:t xml:space="preserve">2.1  Why this Agreement, and why now</w:t>
      </w:r>
    </w:p>
    <w:p>
      <w:pPr>
        <w:spacing w:after="150" w:before="0" w:line="288"/>
        <w:jc w:val="both"/>
      </w:pPr>
      <w:r>
        <w:rPr>
          <w:rFonts w:ascii="Georgia" w:cs="Georgia" w:eastAsia="Georgia" w:hAnsi="Georgia"/>
          <w:b w:val="false"/>
          <w:bCs w:val="false"/>
          <w:i w:val="false"/>
          <w:iCs w:val="false"/>
          <w:color w:val="222222"/>
          <w:sz w:val="21"/>
          <w:szCs w:val="21"/>
        </w:rPr>
        <w:t xml:space="preserve">India and the United Kingdom have been building towards this Agreement for several years. The groundwork was laid in May 2021 through an Enhanced Trade Partnership and the India–UK Roadmap 2030, which set the ambition of a Comprehensive Strategic Partnership and of roughly doubling bilateral trade by 2030 (PIB, Release ID 2274280). Formal FTA negotiations were launched in 2022 and ran through fourteen rounds over about three years. The talks concluded on 6 May 2025; the Agreement was signed in London on 24 July 2025 by India's Commerce &amp; Industry Minister and the UK Secretary of State for Business and Trade, in the presence of both Prime Ministers (PIB, Release ID 2274280).</w:t>
      </w:r>
    </w:p>
    <w:p>
      <w:pPr>
        <w:spacing w:after="150" w:before="0" w:line="288"/>
        <w:jc w:val="both"/>
      </w:pPr>
      <w:r>
        <w:rPr>
          <w:rFonts w:ascii="Georgia" w:cs="Georgia" w:eastAsia="Georgia" w:hAnsi="Georgia"/>
          <w:b w:val="false"/>
          <w:bCs w:val="false"/>
          <w:i w:val="false"/>
          <w:iCs w:val="false"/>
          <w:color w:val="222222"/>
          <w:sz w:val="21"/>
          <w:szCs w:val="21"/>
        </w:rPr>
        <w:t xml:space="preserve">The commercial logic is straightforward. Bilateral trade already stands at roughly USD 56–60 billion a year (about £48 billion on the UK's 2025 figures) and both governments want to roughly double it by 2030 (PIB Backgrounder, 29 July 2025; UK DBT Factsheet, 23 June 2026, p. 1). For India, the Agreement diversifies export markets and secures duty-free access to a large, high-income economy; for the UK, it is the most economically significant trade deal since leaving the EU. This is the sixth free trade agreement implemented by India in recent years, following those with Mauritius, the UAE, Australia, EFTA and Oman.</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For most businesses the practical significance is the timing: the tariff cuts and new rules are live from 15 July 2026. Consignments cleared on or after that date can, if properly documented, attract the preferential duty.</w:t>
            </w:r>
          </w:p>
        </w:tc>
      </w:tr>
    </w:tbl>
    <w:p>
      <w:pPr>
        <w:pStyle w:val="Heading2"/>
        <w:keepNext/>
        <w:spacing w:after="90" w:before="240"/>
      </w:pPr>
      <w:r>
        <w:rPr>
          <w:rFonts w:ascii="Georgia" w:cs="Georgia" w:eastAsia="Georgia" w:hAnsi="Georgia"/>
          <w:b/>
          <w:bCs/>
          <w:i w:val="false"/>
          <w:iCs w:val="false"/>
          <w:color w:val="2E4C7E"/>
          <w:sz w:val="24"/>
          <w:szCs w:val="24"/>
        </w:rPr>
        <w:t xml:space="preserve">2.2  Legal status: signed versus in force</w:t>
      </w:r>
    </w:p>
    <w:p>
      <w:pPr>
        <w:spacing w:after="150" w:before="0" w:line="288"/>
        <w:jc w:val="both"/>
      </w:pPr>
      <w:r>
        <w:rPr>
          <w:rFonts w:ascii="Georgia" w:cs="Georgia" w:eastAsia="Georgia" w:hAnsi="Georgia"/>
          <w:b w:val="false"/>
          <w:bCs w:val="false"/>
          <w:i w:val="false"/>
          <w:iCs w:val="false"/>
          <w:color w:val="222222"/>
          <w:sz w:val="21"/>
          <w:szCs w:val="21"/>
        </w:rPr>
        <w:t xml:space="preserve">A trade agreement passes through distinct legal stages. Negotiations concluding (May 2025) meant the text was agreed. Signature (July 2025) was the political and legal commitment. Ratification was each country completing its internal approval. Entry into force — 15 July 2026 — is the stage that matters commercially: the date on which the tariff cuts and rules become operative and enforceable (PIB, Release ID 2274280). The preferential rate is an option, not a compulsion — where the ordinary MFN rate is lower or equal, a trader may continue to use it, and either country may cut duties faster than agreed.</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“Signed” and “in force” are not the same thing. The Agreement was signed in July 2025, but its benefits and obligations only take legal effect from 15 July 2026 — the date from which your customs planning should run.</w:t>
            </w:r>
          </w:p>
        </w:tc>
      </w:tr>
    </w:tbl>
    <w:p>
      <w:pPr>
        <w:pStyle w:val="Heading2"/>
        <w:keepNext/>
        <w:spacing w:after="90" w:before="240"/>
      </w:pPr>
      <w:r>
        <w:rPr>
          <w:rFonts w:ascii="Georgia" w:cs="Georgia" w:eastAsia="Georgia" w:hAnsi="Georgia"/>
          <w:b/>
          <w:bCs/>
          <w:i w:val="false"/>
          <w:iCs w:val="false"/>
          <w:color w:val="2E4C7E"/>
          <w:sz w:val="24"/>
          <w:szCs w:val="24"/>
        </w:rPr>
        <w:t xml:space="preserve">2.3  What the Agreement covers</w:t>
      </w:r>
    </w:p>
    <w:p>
      <w:pPr>
        <w:spacing w:after="150" w:before="0" w:line="288"/>
        <w:jc w:val="both"/>
      </w:pPr>
      <w:r>
        <w:rPr>
          <w:rFonts w:ascii="Georgia" w:cs="Georgia" w:eastAsia="Georgia" w:hAnsi="Georgia"/>
          <w:b w:val="false"/>
          <w:bCs w:val="false"/>
          <w:i w:val="false"/>
          <w:iCs w:val="false"/>
          <w:color w:val="222222"/>
          <w:sz w:val="21"/>
          <w:szCs w:val="21"/>
        </w:rPr>
        <w:t xml:space="preserve">The CETA comprises 30 chapters and is a ‘next-generation’ agreement — it goes well beyond cutting tariffs (PIB, Release ID 2274280). The chapters group thematically as follows (indicative; see the Agreement text at commerce.gov.in for the definitive list).</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6526"/>
      </w:tblGrid>
      <w:tr>
        <w:trPr>
          <w:tblHeader/>
        </w:trPr>
        <w:tc>
          <w:tcPr>
            <w:tcW w:type="dxa" w:w="25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Theme</w:t>
            </w:r>
          </w:p>
        </w:tc>
        <w:tc>
          <w:tcPr>
            <w:tcW w:type="dxa" w:w="65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What it broadly covers (plain English)</w:t>
            </w:r>
          </w:p>
        </w:tc>
      </w:tr>
      <w:tr>
        <w:tc>
          <w:tcPr>
            <w:tcW w:type="dxa" w:w="250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Trade in goods</w:t>
            </w:r>
          </w:p>
        </w:tc>
        <w:tc>
          <w:tcPr>
            <w:tcW w:type="dxa" w:w="65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Tariff elimination and phase-downs; Rules of Origin and product-specific rules (Annex 3A); customs procedures and trade facilitation; sanitary/phytosanitary (SPS) measures; technical standards (TBT); and trade-remedy safeguards.</w:t>
            </w:r>
          </w:p>
        </w:tc>
      </w:tr>
      <w:tr>
        <w:tc>
          <w:tcPr>
            <w:tcW w:type="dxa" w:w="250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Services &amp; investment</w:t>
            </w:r>
          </w:p>
        </w:tc>
        <w:tc>
          <w:tcPr>
            <w:tcW w:type="dxa" w:w="65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Cross-border services; financial services; telecommunications; movement of professionals (mobility); and investment protections and non-discrimination.</w:t>
            </w:r>
          </w:p>
        </w:tc>
      </w:tr>
      <w:tr>
        <w:tc>
          <w:tcPr>
            <w:tcW w:type="dxa" w:w="250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Digital &amp; innovation</w:t>
            </w:r>
          </w:p>
        </w:tc>
        <w:tc>
          <w:tcPr>
            <w:tcW w:type="dxa" w:w="65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Digital trade and data flows; electronic/paperless documentation; intellectual property; and innovation cooperation.</w:t>
            </w:r>
          </w:p>
        </w:tc>
      </w:tr>
      <w:tr>
        <w:tc>
          <w:tcPr>
            <w:tcW w:type="dxa" w:w="250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Business environment</w:t>
            </w:r>
          </w:p>
        </w:tc>
        <w:tc>
          <w:tcPr>
            <w:tcW w:type="dxa" w:w="65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Government procurement (opened bilaterally for the first time); competition; support for SMEs; good regulatory practice and transparency; and anti-corruption.</w:t>
            </w:r>
          </w:p>
        </w:tc>
      </w:tr>
      <w:tr>
        <w:tc>
          <w:tcPr>
            <w:tcW w:type="dxa" w:w="250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Sustainability &amp; people</w:t>
            </w:r>
          </w:p>
        </w:tc>
        <w:tc>
          <w:tcPr>
            <w:tcW w:type="dxa" w:w="65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Environment and climate cooperation; labour standards; gender; and inclusive development.</w:t>
            </w:r>
          </w:p>
        </w:tc>
      </w:tr>
      <w:tr>
        <w:tc>
          <w:tcPr>
            <w:tcW w:type="dxa" w:w="250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Governance</w:t>
            </w:r>
          </w:p>
        </w:tc>
        <w:tc>
          <w:tcPr>
            <w:tcW w:type="dxa" w:w="65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The institutional framework — a Joint Committee, sub-committees and working groups — plus dispute settlement and general exceptions.</w:t>
            </w:r>
          </w:p>
        </w:tc>
      </w:tr>
    </w:tbl>
    <w:p>
      <w:pPr>
        <w:pStyle w:val="Heading2"/>
        <w:keepNext/>
        <w:spacing w:after="90" w:before="240"/>
      </w:pPr>
      <w:r>
        <w:rPr>
          <w:rFonts w:ascii="Georgia" w:cs="Georgia" w:eastAsia="Georgia" w:hAnsi="Georgia"/>
          <w:b/>
          <w:bCs/>
          <w:i w:val="false"/>
          <w:iCs w:val="false"/>
          <w:color w:val="2E4C7E"/>
          <w:sz w:val="24"/>
          <w:szCs w:val="24"/>
        </w:rPr>
        <w:t xml:space="preserve">2.4  Goods: tariff elimination in plain terms</w:t>
      </w:r>
    </w:p>
    <w:p>
      <w:pPr>
        <w:pStyle w:val="Heading3"/>
        <w:keepNext/>
        <w:spacing w:after="60" w:before="170"/>
      </w:pPr>
      <w:r>
        <w:rPr>
          <w:rFonts w:ascii="Georgia" w:cs="Georgia" w:eastAsia="Georgia" w:hAnsi="Georgia"/>
          <w:b/>
          <w:bCs/>
          <w:i w:val="false"/>
          <w:iCs w:val="false"/>
          <w:color w:val="2E4C7E"/>
          <w:sz w:val="21"/>
          <w:szCs w:val="21"/>
        </w:rPr>
        <w:t xml:space="preserve">Exports from India to the UK</w:t>
      </w:r>
    </w:p>
    <w:p>
      <w:pPr>
        <w:spacing w:after="150" w:before="0" w:line="288"/>
        <w:jc w:val="both"/>
      </w:pPr>
      <w:r>
        <w:rPr>
          <w:rFonts w:ascii="Georgia" w:cs="Georgia" w:eastAsia="Georgia" w:hAnsi="Georgia"/>
          <w:b w:val="false"/>
          <w:bCs w:val="false"/>
          <w:i w:val="false"/>
          <w:iCs w:val="false"/>
          <w:color w:val="222222"/>
          <w:sz w:val="21"/>
          <w:szCs w:val="21"/>
        </w:rPr>
        <w:t xml:space="preserve">From 15 July 2026 the UK removes customs duties on about 99% of Indian tariff lines, covering close to 100% of the value of India's goods exports (PIB, Release ID 2274280). High-duty sectors fall to zero — processed food (previously up to 70%), marine (up to 21.5%), engineering and auto components (up to 18%), leather and footwear (up to 16%), textiles and clothing (up to 12%), chemicals and pharmaceuticals (up to 8%) (PIB, Release ID 2274280; Backgrounder p. 3). For labour-intensive sectors this removes a long-standing cost disadvantage against Bangladesh, Vietnam and China.</w:t>
      </w:r>
    </w:p>
    <w:p>
      <w:pPr>
        <w:pStyle w:val="Heading3"/>
        <w:keepNext/>
        <w:spacing w:after="60" w:before="170"/>
      </w:pPr>
      <w:r>
        <w:rPr>
          <w:rFonts w:ascii="Georgia" w:cs="Georgia" w:eastAsia="Georgia" w:hAnsi="Georgia"/>
          <w:b/>
          <w:bCs/>
          <w:i w:val="false"/>
          <w:iCs w:val="false"/>
          <w:color w:val="2E4C7E"/>
          <w:sz w:val="21"/>
          <w:szCs w:val="21"/>
        </w:rPr>
        <w:t xml:space="preserve">Imports from the UK into India</w:t>
      </w:r>
    </w:p>
    <w:p>
      <w:pPr>
        <w:spacing w:after="150" w:before="0" w:line="288"/>
        <w:jc w:val="both"/>
      </w:pPr>
      <w:r>
        <w:rPr>
          <w:rFonts w:ascii="Georgia" w:cs="Georgia" w:eastAsia="Georgia" w:hAnsi="Georgia"/>
          <w:b w:val="false"/>
          <w:bCs w:val="false"/>
          <w:i w:val="false"/>
          <w:iCs w:val="false"/>
          <w:color w:val="222222"/>
          <w:sz w:val="21"/>
          <w:szCs w:val="21"/>
        </w:rPr>
        <w:t xml:space="preserve">India's liberalisation is more gradual and guarded. India opens about 89.5% of its tariff lines (covering ~91% of UK exports), but only ~24.5% of UK export value is duty-free immediately; the rest phases down over 5, 7 or 10 years, with the longest transitions for strategic products under Make in India / PLI (Backgrounder pp. 4–5, 20). India excludes sensitive lines outright — dairy, cereals, millets, pulses, edible oils, oilseeds, apples and several vegetables, plus gold, jewellery, lab-grown diamonds, smartphones and optical fibres (PIB 2274280; Backgrounder pp. 5, 20). Automobiles move from over 100% towards 10% but only within quotas and over a phased period; Scotch whisky and gin fall from 150% to 75% immediately and to 40% over ten years, other premium spirits stepping to 75% by year ten subject to a minimum import price (Backgrounder p. 12; WTC Report pp. 9, 12).</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Because India's cuts are phased and quota-bound, importers of UK goods should not assume an immediate zero duty. The correct year-by-year rate for each product must be read off the tariff schedule — and, for autos and spirits, checked against the quota and any minimum import price.</w:t>
            </w:r>
          </w:p>
        </w:tc>
      </w:tr>
    </w:tbl>
    <w:p>
      <w:pPr>
        <w:pStyle w:val="Heading2"/>
        <w:keepNext/>
        <w:spacing w:after="90" w:before="240"/>
      </w:pPr>
      <w:r>
        <w:rPr>
          <w:rFonts w:ascii="Georgia" w:cs="Georgia" w:eastAsia="Georgia" w:hAnsi="Georgia"/>
          <w:b/>
          <w:bCs/>
          <w:i w:val="false"/>
          <w:iCs w:val="false"/>
          <w:color w:val="2E4C7E"/>
          <w:sz w:val="24"/>
          <w:szCs w:val="24"/>
        </w:rPr>
        <w:t xml:space="preserve">2.5  Rules of Origin — the real key to the benefit</w:t>
      </w:r>
    </w:p>
    <w:p>
      <w:pPr>
        <w:spacing w:after="150" w:before="0" w:line="288"/>
        <w:jc w:val="both"/>
      </w:pPr>
      <w:r>
        <w:rPr>
          <w:rFonts w:ascii="Georgia" w:cs="Georgia" w:eastAsia="Georgia" w:hAnsi="Georgia"/>
          <w:b w:val="false"/>
          <w:bCs w:val="false"/>
          <w:i w:val="false"/>
          <w:iCs w:val="false"/>
          <w:color w:val="222222"/>
          <w:sz w:val="21"/>
          <w:szCs w:val="21"/>
        </w:rPr>
        <w:t xml:space="preserve">Rules of Origin are the gatekeeper of every concession: the preferential duty goes only to genuinely Indian or British goods, not to third-country goods merely routed through either country. Each product has a product-specific rule (Annex 3A) setting the minimum processing or local value-addition needed to qualify (Backgrounder p. 5). The Agreement makes claiming origin easier — exporters self-certify; UK importers may rely on importer's knowledge; and small consignments (broadly under £1,000) need no origin documentation (Backgrounder p. 5).</w:t>
      </w:r>
    </w:p>
    <w:tbl>
      <w:tblPr>
        <w:tblW w:type="dxa" w:w="9026"/>
        <w:tblBorders>
          <w:top w:val="single" w:color="EAF3EC" w:sz="2"/>
          <w:left w:val="single" w:color="3C7D52" w:sz="30"/>
          <w:bottom w:val="single" w:color="EAF3EC" w:sz="2"/>
          <w:right w:val="single" w:color="EAF3EC" w:sz="2"/>
          <w:insideH w:val="none"/>
          <w:insideV w:val="none"/>
        </w:tblBorders>
      </w:tblPr>
      <w:tblGrid>
        <w:gridCol w:w="9026"/>
      </w:tblGrid>
      <w:tr>
        <w:tc>
          <w:tcPr>
            <w:tcW w:type="dxa" w:w="9026"/>
            <w:shd w:fill="EAF3EC" w:color="auto" w:val="clear"/>
            <w:tcMar>
              <w:top w:type="dxa" w:w="130"/>
              <w:left w:type="dxa" w:w="220"/>
              <w:bottom w:type="dxa" w:w="130"/>
              <w:right w:type="dxa" w:w="200"/>
            </w:tcMar>
          </w:tcPr>
          <w:p>
            <w:pPr>
              <w:spacing w:after="60"/>
            </w:pPr>
            <w:r>
              <w:rPr>
                <w:rFonts w:ascii="Georgia" w:cs="Georgia" w:eastAsia="Georgia" w:hAnsi="Georgia"/>
                <w:b/>
                <w:bCs/>
                <w:i w:val="false"/>
                <w:iCs w:val="false"/>
                <w:color w:val="3C7D52"/>
                <w:sz w:val="17"/>
                <w:szCs w:val="17"/>
              </w:rPr>
              <w:t xml:space="preserve">CLIENT TIP</w:t>
            </w:r>
          </w:p>
          <w:p>
            <w:pPr>
              <w:spacing w:after="40" w:line="276"/>
              <w:jc w:val="left"/>
            </w:pPr>
            <w:r>
              <w:rPr>
                <w:rFonts w:ascii="Georgia" w:cs="Georgia" w:eastAsia="Georgia" w:hAnsi="Georgia"/>
                <w:b w:val="false"/>
                <w:bCs w:val="false"/>
                <w:i w:val="false"/>
                <w:iCs w:val="false"/>
                <w:color w:val="222222"/>
                <w:sz w:val="20"/>
                <w:szCs w:val="20"/>
              </w:rPr>
              <w:t xml:space="preserve">Self-certification is a simplification of process, not of substance. The trader remains fully responsible for the accuracy of the origin claim and must be able to prove it — with bills of materials, supplier declarations and production records — if customs later verify it. Build the evidence file at the time of shipment.</w:t>
            </w:r>
          </w:p>
        </w:tc>
      </w:tr>
    </w:tbl>
    <w:p>
      <w:pPr>
        <w:pStyle w:val="Heading2"/>
        <w:keepNext/>
        <w:spacing w:after="90" w:before="240"/>
      </w:pPr>
      <w:r>
        <w:rPr>
          <w:rFonts w:ascii="Georgia" w:cs="Georgia" w:eastAsia="Georgia" w:hAnsi="Georgia"/>
          <w:b/>
          <w:bCs/>
          <w:i w:val="false"/>
          <w:iCs w:val="false"/>
          <w:color w:val="2E4C7E"/>
          <w:sz w:val="24"/>
          <w:szCs w:val="24"/>
        </w:rPr>
        <w:t xml:space="preserve">2.6  Services and professional mobility</w:t>
      </w:r>
    </w:p>
    <w:p>
      <w:pPr>
        <w:spacing w:after="150" w:before="0" w:line="288"/>
        <w:jc w:val="both"/>
      </w:pPr>
      <w:r>
        <w:rPr>
          <w:rFonts w:ascii="Georgia" w:cs="Georgia" w:eastAsia="Georgia" w:hAnsi="Georgia"/>
          <w:b w:val="false"/>
          <w:bCs w:val="false"/>
          <w:i w:val="false"/>
          <w:iCs w:val="false"/>
          <w:color w:val="222222"/>
          <w:sz w:val="21"/>
          <w:szCs w:val="21"/>
        </w:rPr>
        <w:t xml:space="preserve">The UK has made commitments across all major services sectors and 137 sub-sectors of interest to India — IT/ITeS, financial and professional services, healthcare, education, engineering, telecommunications and consulting (PIB 2274280). India extended commitments in a large number of sub-sectors (Backgrounder p. 17). For people, the Agreement gives assured, time-bound entry for business visitors, intra-corporate transferees (and dependants), contractual service suppliers, independent professionals and investors, and removes economic-needs tests and numerical caps for professionals going to the UK (Backgrounder pp. 17–18). A dedicated annual quota of 1,800 covers chefs, yoga instructors and classical musicians (PIB 2274280). Mutual recognition of qualifications is targeted within twelve months in fields such as nursing, accountancy and architecture (Backgrounder p. 17).</w:t>
      </w:r>
    </w:p>
    <w:p>
      <w:pPr>
        <w:pStyle w:val="Heading2"/>
        <w:keepNext/>
        <w:spacing w:after="90" w:before="240"/>
      </w:pPr>
      <w:r>
        <w:rPr>
          <w:rFonts w:ascii="Georgia" w:cs="Georgia" w:eastAsia="Georgia" w:hAnsi="Georgia"/>
          <w:b/>
          <w:bCs/>
          <w:i w:val="false"/>
          <w:iCs w:val="false"/>
          <w:color w:val="2E4C7E"/>
          <w:sz w:val="24"/>
          <w:szCs w:val="24"/>
        </w:rPr>
        <w:t xml:space="preserve">2.7  The Double Contribution Convention (social security)</w:t>
      </w:r>
    </w:p>
    <w:p>
      <w:pPr>
        <w:spacing w:after="150" w:before="0" w:line="288"/>
        <w:jc w:val="both"/>
      </w:pPr>
      <w:r>
        <w:rPr>
          <w:rFonts w:ascii="Georgia" w:cs="Georgia" w:eastAsia="Georgia" w:hAnsi="Georgia"/>
          <w:b w:val="false"/>
          <w:bCs w:val="false"/>
          <w:i w:val="false"/>
          <w:iCs w:val="false"/>
          <w:color w:val="222222"/>
          <w:sz w:val="21"/>
          <w:szCs w:val="21"/>
        </w:rPr>
        <w:t xml:space="preserve">Running alongside the CETA, and entering into force on the same day, is the Agreement on Social Security — the Double Contribution Convention (DCC), signed 10 February 2026. For temporary UK assignments, contributions continue only in the home country, and the exemption period has been </w:t>
      </w:r>
      <w:r>
        <w:rPr>
          <w:rFonts w:ascii="Georgia" w:cs="Georgia" w:eastAsia="Georgia" w:hAnsi="Georgia"/>
          <w:b/>
          <w:bCs/>
          <w:i w:val="false"/>
          <w:iCs w:val="false"/>
          <w:color w:val="222222"/>
          <w:sz w:val="21"/>
          <w:szCs w:val="21"/>
        </w:rPr>
        <w:t xml:space="preserve">increased from three years to five years</w:t>
      </w:r>
      <w:r>
        <w:rPr>
          <w:rFonts w:ascii="Georgia" w:cs="Georgia" w:eastAsia="Georgia" w:hAnsi="Georgia"/>
          <w:b w:val="false"/>
          <w:bCs w:val="false"/>
          <w:i w:val="false"/>
          <w:iCs w:val="false"/>
          <w:color w:val="222222"/>
          <w:sz w:val="21"/>
          <w:szCs w:val="21"/>
        </w:rPr>
        <w:t xml:space="preserve"> (PIB 2274280). More than 75,000 professionals and over 900 companies are expected to benefit; savings were estimated at over £4,000 crore / USD 500 million on the three-year basis and are larger over five years (PIB 2274280; Backgrounder p. 18). An employer relies on the exemption by obtaining a Certificate of Coverage from the home authority (in India, the EPFO).</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For any Indian company deputing staff to the UK, this is a direct payroll saving from day one — but only with the paperwork in place. Review global-mobility policies, assignment letters and tax-equalisation clauses, and set up a Certificate of Coverage process before staff are deployed.</w:t>
            </w:r>
          </w:p>
        </w:tc>
      </w:tr>
    </w:tbl>
    <w:p>
      <w:pPr>
        <w:pStyle w:val="Heading2"/>
        <w:keepNext/>
        <w:spacing w:after="90" w:before="240"/>
      </w:pPr>
      <w:r>
        <w:rPr>
          <w:rFonts w:ascii="Georgia" w:cs="Georgia" w:eastAsia="Georgia" w:hAnsi="Georgia"/>
          <w:b/>
          <w:bCs/>
          <w:i w:val="false"/>
          <w:iCs w:val="false"/>
          <w:color w:val="2E4C7E"/>
          <w:sz w:val="24"/>
          <w:szCs w:val="24"/>
        </w:rPr>
        <w:t xml:space="preserve">2.8  Customs cooperation and trade facilitation</w:t>
      </w:r>
    </w:p>
    <w:p>
      <w:pPr>
        <w:spacing w:after="150" w:before="0" w:line="288"/>
        <w:jc w:val="both"/>
      </w:pPr>
      <w:r>
        <w:rPr>
          <w:rFonts w:ascii="Georgia" w:cs="Georgia" w:eastAsia="Georgia" w:hAnsi="Georgia"/>
          <w:b w:val="false"/>
          <w:bCs w:val="false"/>
          <w:i w:val="false"/>
          <w:iCs w:val="false"/>
          <w:color w:val="222222"/>
          <w:sz w:val="21"/>
          <w:szCs w:val="21"/>
        </w:rPr>
        <w:t xml:space="preserve">The Agreement commits both sides to simplified, modernised customs, greater use of electronic/paperless documentation, cooperation between the two administrations, and expedited treatment for Authorised Economic Operators through mechanisms such as single-window clearance (Backgrounder p. 26), with quicker release of compliant goods (reported as within 48 hours) — reducing administrative cost and improving supply-chain reliability over time.</w:t>
      </w:r>
    </w:p>
    <w:p>
      <w:pPr>
        <w:pStyle w:val="Heading2"/>
        <w:keepNext/>
        <w:spacing w:after="90" w:before="240"/>
      </w:pPr>
      <w:r>
        <w:rPr>
          <w:rFonts w:ascii="Georgia" w:cs="Georgia" w:eastAsia="Georgia" w:hAnsi="Georgia"/>
          <w:b/>
          <w:bCs/>
          <w:i w:val="false"/>
          <w:iCs w:val="false"/>
          <w:color w:val="2E4C7E"/>
          <w:sz w:val="24"/>
          <w:szCs w:val="24"/>
        </w:rPr>
        <w:t xml:space="preserve">2.9  Digital trade, IP, investment, procurement, MSMEs and sustainability</w:t>
      </w:r>
    </w:p>
    <w:p>
      <w:pPr>
        <w:spacing w:after="150" w:before="0" w:line="288"/>
        <w:jc w:val="both"/>
      </w:pPr>
      <w:r>
        <w:rPr>
          <w:rFonts w:ascii="Georgia" w:cs="Georgia" w:eastAsia="Georgia" w:hAnsi="Georgia"/>
          <w:b w:val="false"/>
          <w:bCs w:val="false"/>
          <w:i w:val="false"/>
          <w:iCs w:val="false"/>
          <w:color w:val="222222"/>
          <w:sz w:val="21"/>
          <w:szCs w:val="21"/>
        </w:rPr>
        <w:t xml:space="preserve">The Agreement's digital chapter supports paperless trading, electronic certification and data flows while protecting consumers (Backgrounder p. 21). The IP chapter aims at balanced protection and enforcement, supporting pharma and biotech cooperation. On investment, the CETA opens new avenues, though a separate Bilateral Investment Treaty — providing dedicated investment protection — remains under negotiation and is not yet concluded (Backgrounder p. 13). For the first time bilaterally, India has opened parts of its public procurement to UK firms with reciprocal UK commitments, subject to practical-access caveats raised for MSMEs (PIB 2274280; Backgrounder pp. 14, 26). A dedicated MSME chapter and contact point, and chapters on environment, labour, gender and anti-corruption, round out the Agreement (Backgrounder pp. 21, 24, 26).</w:t>
      </w:r>
    </w:p>
    <w:p>
      <w:pPr>
        <w:pStyle w:val="Heading2"/>
        <w:keepNext/>
        <w:spacing w:after="90" w:before="240"/>
      </w:pPr>
      <w:r>
        <w:rPr>
          <w:rFonts w:ascii="Georgia" w:cs="Georgia" w:eastAsia="Georgia" w:hAnsi="Georgia"/>
          <w:b/>
          <w:bCs/>
          <w:i w:val="false"/>
          <w:iCs w:val="false"/>
          <w:color w:val="2E4C7E"/>
          <w:sz w:val="24"/>
          <w:szCs w:val="24"/>
        </w:rPr>
        <w:t xml:space="preserve">2.10  Governance and the steel understanding</w:t>
      </w:r>
    </w:p>
    <w:p>
      <w:pPr>
        <w:spacing w:after="150" w:before="0" w:line="288"/>
        <w:jc w:val="both"/>
      </w:pPr>
      <w:r>
        <w:rPr>
          <w:rFonts w:ascii="Georgia" w:cs="Georgia" w:eastAsia="Georgia" w:hAnsi="Georgia"/>
          <w:b w:val="false"/>
          <w:bCs w:val="false"/>
          <w:i w:val="false"/>
          <w:iCs w:val="false"/>
          <w:color w:val="222222"/>
          <w:sz w:val="21"/>
          <w:szCs w:val="21"/>
        </w:rPr>
        <w:t xml:space="preserve">The Agreement is administered by a Joint Committee, sub-committees and working groups (covering Rules of Origin, mobility, IP, procurement, gender and anti-corruption); amendments require mutual consent and take effect a set period after each side confirms domestic approvals (confirm against the Agreement text). Separately, a UK steel-safeguard measure effective 1 July 2026 (cutting the duty-free quota and raising the above-quota tariff) was resolved ahead of entry into force: about 85% of India's steel exports fall outside the measures, and affected lines are protected through country-specific quotas, residual quotas and an Authorised Use Scheme (PIB 2274280).</w:t>
      </w:r>
    </w:p>
    <w:p>
      <w:pPr>
        <w:pStyle w:val="Heading2"/>
        <w:keepNext/>
        <w:spacing w:after="90" w:before="240"/>
      </w:pPr>
      <w:r>
        <w:rPr>
          <w:rFonts w:ascii="Georgia" w:cs="Georgia" w:eastAsia="Georgia" w:hAnsi="Georgia"/>
          <w:b/>
          <w:bCs/>
          <w:i w:val="false"/>
          <w:iCs w:val="false"/>
          <w:color w:val="2E4C7E"/>
          <w:sz w:val="24"/>
          <w:szCs w:val="24"/>
        </w:rPr>
        <w:t xml:space="preserve">2.11  Implementation timeline at a glance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7326"/>
      </w:tblGrid>
      <w:tr>
        <w:trPr>
          <w:tblHeader/>
        </w:trPr>
        <w:tc>
          <w:tcPr>
            <w:tcW w:type="dxa" w:w="17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When</w:t>
            </w:r>
          </w:p>
        </w:tc>
        <w:tc>
          <w:tcPr>
            <w:tcW w:type="dxa" w:w="73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Milestone</w:t>
            </w:r>
          </w:p>
        </w:tc>
      </w:tr>
      <w:tr>
        <w:tc>
          <w:tcPr>
            <w:tcW w:type="dxa" w:w="17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May 2021</w:t>
            </w:r>
          </w:p>
        </w:tc>
        <w:tc>
          <w:tcPr>
            <w:tcW w:type="dxa" w:w="73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Enhanced Trade Partnership and India–UK Roadmap 2030 adopted.</w:t>
            </w:r>
          </w:p>
        </w:tc>
      </w:tr>
      <w:tr>
        <w:tc>
          <w:tcPr>
            <w:tcW w:type="dxa" w:w="17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2022</w:t>
            </w:r>
          </w:p>
        </w:tc>
        <w:tc>
          <w:tcPr>
            <w:tcW w:type="dxa" w:w="73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Formal FTA negotiations launched.</w:t>
            </w:r>
          </w:p>
        </w:tc>
      </w:tr>
      <w:tr>
        <w:tc>
          <w:tcPr>
            <w:tcW w:type="dxa" w:w="17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6 May 2025</w:t>
            </w:r>
          </w:p>
        </w:tc>
        <w:tc>
          <w:tcPr>
            <w:tcW w:type="dxa" w:w="73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Negotiations concluded after fourteen rounds.</w:t>
            </w:r>
          </w:p>
        </w:tc>
      </w:tr>
      <w:tr>
        <w:tc>
          <w:tcPr>
            <w:tcW w:type="dxa" w:w="17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24 July 2025</w:t>
            </w:r>
          </w:p>
        </w:tc>
        <w:tc>
          <w:tcPr>
            <w:tcW w:type="dxa" w:w="73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CETA signed in London.</w:t>
            </w:r>
          </w:p>
        </w:tc>
      </w:tr>
      <w:tr>
        <w:tc>
          <w:tcPr>
            <w:tcW w:type="dxa" w:w="17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10 Feb 2026</w:t>
            </w:r>
          </w:p>
        </w:tc>
        <w:tc>
          <w:tcPr>
            <w:tcW w:type="dxa" w:w="73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Double Contribution Convention signed.</w:t>
            </w:r>
          </w:p>
        </w:tc>
      </w:tr>
      <w:tr>
        <w:tc>
          <w:tcPr>
            <w:tcW w:type="dxa" w:w="17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1 July 2026</w:t>
            </w:r>
          </w:p>
        </w:tc>
        <w:tc>
          <w:tcPr>
            <w:tcW w:type="dxa" w:w="73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UK steel-safeguard measure takes effect; addressed via the CETA steel understanding.</w:t>
            </w:r>
          </w:p>
        </w:tc>
      </w:tr>
      <w:tr>
        <w:tc>
          <w:tcPr>
            <w:tcW w:type="dxa" w:w="170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1F3864"/>
                <w:sz w:val="18"/>
                <w:szCs w:val="18"/>
              </w:rPr>
              <w:t xml:space="preserve">15 July 2026</w:t>
            </w:r>
          </w:p>
        </w:tc>
        <w:tc>
          <w:tcPr>
            <w:tcW w:type="dxa" w:w="7326"/>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8"/>
                <w:szCs w:val="18"/>
              </w:rPr>
              <w:t xml:space="preserve">CETA and DCC enter into force — the date this memorandum is issued.</w:t>
            </w:r>
          </w:p>
        </w:tc>
      </w:tr>
      <w:tr>
        <w:tc>
          <w:tcPr>
            <w:tcW w:type="dxa" w:w="17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2026 onward</w:t>
            </w:r>
          </w:p>
        </w:tc>
        <w:tc>
          <w:tcPr>
            <w:tcW w:type="dxa" w:w="73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Tariff phase-downs over 5, 7 and 10 years; mutual recognition targeted within 12 months; Joint Committee and working groups begin.</w:t>
            </w:r>
          </w:p>
        </w:tc>
      </w:tr>
      <w:tr>
        <w:tc>
          <w:tcPr>
            <w:tcW w:type="dxa" w:w="17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Pending</w:t>
            </w:r>
          </w:p>
        </w:tc>
        <w:tc>
          <w:tcPr>
            <w:tcW w:type="dxa" w:w="73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Bilateral Investment Treaty on a separate track; not yet concluded.</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Chapter 3 — What the CETA Changes (Sector by Sector)</w:t>
      </w:r>
    </w:p>
    <w:p>
      <w:pPr>
        <w:spacing w:after="150" w:before="0" w:line="288"/>
        <w:jc w:val="both"/>
      </w:pPr>
      <w:r>
        <w:rPr>
          <w:rFonts w:ascii="Georgia" w:cs="Georgia" w:eastAsia="Georgia" w:hAnsi="Georgia"/>
          <w:b w:val="false"/>
          <w:bCs w:val="false"/>
          <w:i w:val="false"/>
          <w:iCs w:val="false"/>
          <w:color w:val="222222"/>
          <w:sz w:val="21"/>
          <w:szCs w:val="21"/>
        </w:rPr>
        <w:t xml:space="preserve">This chapter identifies what actually changes on and from 15 July 2026, for both directions of trade. Section 3.1 covers the cross-cutting changes that affect every sector; section 3.2 gives the sector-specific delta; section 3.3 summarises the phase-in.</w:t>
      </w:r>
    </w:p>
    <w:p>
      <w:pPr>
        <w:pStyle w:val="Heading2"/>
        <w:keepNext/>
        <w:spacing w:after="90" w:before="240"/>
      </w:pPr>
      <w:r>
        <w:rPr>
          <w:rFonts w:ascii="Georgia" w:cs="Georgia" w:eastAsia="Georgia" w:hAnsi="Georgia"/>
          <w:b/>
          <w:bCs/>
          <w:i w:val="false"/>
          <w:iCs w:val="false"/>
          <w:color w:val="2E4C7E"/>
          <w:sz w:val="24"/>
          <w:szCs w:val="24"/>
        </w:rPr>
        <w:t xml:space="preserve">3.1  The cross-cutting changes</w:t>
      </w:r>
    </w:p>
    <w:p>
      <w:pPr>
        <w:pStyle w:val="Heading3"/>
        <w:keepNext/>
        <w:spacing w:after="60" w:before="170"/>
      </w:pPr>
      <w:r>
        <w:rPr>
          <w:rFonts w:ascii="Georgia" w:cs="Georgia" w:eastAsia="Georgia" w:hAnsi="Georgia"/>
          <w:b/>
          <w:bCs/>
          <w:i w:val="false"/>
          <w:iCs w:val="false"/>
          <w:color w:val="2E4C7E"/>
          <w:sz w:val="21"/>
          <w:szCs w:val="21"/>
        </w:rPr>
        <w:t xml:space="preserve">Tariffs and how the saving is claimed</w:t>
      </w:r>
    </w:p>
    <w:p>
      <w:pPr>
        <w:spacing w:after="150" w:before="0" w:line="288"/>
        <w:jc w:val="both"/>
      </w:pPr>
      <w:r>
        <w:rPr>
          <w:rFonts w:ascii="Georgia" w:cs="Georgia" w:eastAsia="Georgia" w:hAnsi="Georgia"/>
          <w:b w:val="false"/>
          <w:bCs w:val="false"/>
          <w:i w:val="false"/>
          <w:iCs w:val="false"/>
          <w:color w:val="222222"/>
          <w:sz w:val="21"/>
          <w:szCs w:val="21"/>
        </w:rPr>
        <w:t xml:space="preserve">For exports to the UK, duty on qualifying Indian goods falls to zero from day one across almost the entire tariff. For imports from the UK, Indian duty falls immediately on part of the schedule and over 5/7/10 years on the rest, with exclusions preserved. The preferential rate is claimed by declaring origin on the customs entry — in the UK, using the correct CETA preference codes on the Customs Declaration Service; in India, on the Bill of Entry — supported by a CETA-compliant proof of origin.</w:t>
      </w:r>
    </w:p>
    <w:p>
      <w:pPr>
        <w:pStyle w:val="Heading3"/>
        <w:keepNext/>
        <w:spacing w:after="60" w:before="170"/>
      </w:pPr>
      <w:r>
        <w:rPr>
          <w:rFonts w:ascii="Georgia" w:cs="Georgia" w:eastAsia="Georgia" w:hAnsi="Georgia"/>
          <w:b/>
          <w:bCs/>
          <w:i w:val="false"/>
          <w:iCs w:val="false"/>
          <w:color w:val="2E4C7E"/>
          <w:sz w:val="21"/>
          <w:szCs w:val="21"/>
        </w:rPr>
        <w:t xml:space="preserve">The DCTS-to-CETA transition (a concrete change for UK importers of Indian goods)</w:t>
      </w:r>
    </w:p>
    <w:p>
      <w:pPr>
        <w:spacing w:after="150" w:before="0" w:line="288"/>
        <w:jc w:val="both"/>
      </w:pPr>
      <w:r>
        <w:rPr>
          <w:rFonts w:ascii="Georgia" w:cs="Georgia" w:eastAsia="Georgia" w:hAnsi="Georgia"/>
          <w:b w:val="false"/>
          <w:bCs w:val="false"/>
          <w:i w:val="false"/>
          <w:iCs w:val="false"/>
          <w:color w:val="222222"/>
          <w:sz w:val="21"/>
          <w:szCs w:val="21"/>
        </w:rPr>
        <w:t xml:space="preserve">From 15 July 2026, the UK's DCTS preferences for India are replaced by the CETA. GSP/DCTS-style evidence (Form A, REX declarations) is no longer valid; importers must switch to CETA preference codes and obtain a CETA origin declaration or certificate of origin from the Indian supplier. Getting this wrong — claiming preference without valid origin proof — can lead to back-duty demands, interest and penalties (GOV.UK / HMRC; exporter guidance).</w:t>
      </w:r>
    </w:p>
    <w:p>
      <w:pPr>
        <w:pStyle w:val="Heading3"/>
        <w:keepNext/>
        <w:spacing w:after="60" w:before="170"/>
      </w:pPr>
      <w:r>
        <w:rPr>
          <w:rFonts w:ascii="Georgia" w:cs="Georgia" w:eastAsia="Georgia" w:hAnsi="Georgia"/>
          <w:b/>
          <w:bCs/>
          <w:i w:val="false"/>
          <w:iCs w:val="false"/>
          <w:color w:val="2E4C7E"/>
          <w:sz w:val="21"/>
          <w:szCs w:val="21"/>
        </w:rPr>
        <w:t xml:space="preserve">Rules of Origin and self-certification</w:t>
      </w:r>
    </w:p>
    <w:p>
      <w:pPr>
        <w:spacing w:after="150" w:before="0" w:line="288"/>
        <w:jc w:val="both"/>
      </w:pPr>
      <w:r>
        <w:rPr>
          <w:rFonts w:ascii="Georgia" w:cs="Georgia" w:eastAsia="Georgia" w:hAnsi="Georgia"/>
          <w:b w:val="false"/>
          <w:bCs w:val="false"/>
          <w:i w:val="false"/>
          <w:iCs w:val="false"/>
          <w:color w:val="222222"/>
          <w:sz w:val="21"/>
          <w:szCs w:val="21"/>
        </w:rPr>
        <w:t xml:space="preserve">Origin is now self-certified against the product-specific rules in Annex 3A, with importer's-knowledge and small-consignment simplifications (Backgrounder p. 5). This replaces third-party certification but transfers the compliance and record-keeping burden to the trader, backed by a verification mechanism that both administrations may invoke.</w:t>
      </w:r>
    </w:p>
    <w:p>
      <w:pPr>
        <w:pStyle w:val="Heading3"/>
        <w:keepNext/>
        <w:spacing w:after="60" w:before="170"/>
      </w:pPr>
      <w:r>
        <w:rPr>
          <w:rFonts w:ascii="Georgia" w:cs="Georgia" w:eastAsia="Georgia" w:hAnsi="Georgia"/>
          <w:b/>
          <w:bCs/>
          <w:i w:val="false"/>
          <w:iCs w:val="false"/>
          <w:color w:val="2E4C7E"/>
          <w:sz w:val="21"/>
          <w:szCs w:val="21"/>
        </w:rPr>
        <w:t xml:space="preserve">Customs facilitation and digital trade</w:t>
      </w:r>
    </w:p>
    <w:p>
      <w:pPr>
        <w:spacing w:after="150" w:before="0" w:line="288"/>
        <w:jc w:val="both"/>
      </w:pPr>
      <w:r>
        <w:rPr>
          <w:rFonts w:ascii="Georgia" w:cs="Georgia" w:eastAsia="Georgia" w:hAnsi="Georgia"/>
          <w:b w:val="false"/>
          <w:bCs w:val="false"/>
          <w:i w:val="false"/>
          <w:iCs w:val="false"/>
          <w:color w:val="222222"/>
          <w:sz w:val="21"/>
          <w:szCs w:val="21"/>
        </w:rPr>
        <w:t xml:space="preserve">Simplified, paperless procedures, AEO fast-tracking, single-window clearance and faster release of compliant goods apply from entry into force (Backgrounder pp. 21, 26).</w:t>
      </w:r>
    </w:p>
    <w:p>
      <w:pPr>
        <w:pStyle w:val="Heading3"/>
        <w:keepNext/>
        <w:spacing w:after="60" w:before="170"/>
      </w:pPr>
      <w:r>
        <w:rPr>
          <w:rFonts w:ascii="Georgia" w:cs="Georgia" w:eastAsia="Georgia" w:hAnsi="Georgia"/>
          <w:b/>
          <w:bCs/>
          <w:i w:val="false"/>
          <w:iCs w:val="false"/>
          <w:color w:val="2E4C7E"/>
          <w:sz w:val="21"/>
          <w:szCs w:val="21"/>
        </w:rPr>
        <w:t xml:space="preserve">Services, mobility and the DCC</w:t>
      </w:r>
    </w:p>
    <w:p>
      <w:pPr>
        <w:spacing w:after="150" w:before="0" w:line="288"/>
        <w:jc w:val="both"/>
      </w:pPr>
      <w:r>
        <w:rPr>
          <w:rFonts w:ascii="Georgia" w:cs="Georgia" w:eastAsia="Georgia" w:hAnsi="Georgia"/>
          <w:b w:val="false"/>
          <w:bCs w:val="false"/>
          <w:i w:val="false"/>
          <w:iCs w:val="false"/>
          <w:color w:val="222222"/>
          <w:sz w:val="21"/>
          <w:szCs w:val="21"/>
        </w:rPr>
        <w:t xml:space="preserve">Assured mobility routes, the 137-sub-sector UK services opening, targeted mutual recognition, and the five-year DCC social-security exemption all take effect (PIB 2274280; Backgrounder pp. 17–18).</w:t>
      </w:r>
    </w:p>
    <w:p>
      <w:pPr>
        <w:pStyle w:val="Heading3"/>
        <w:keepNext/>
        <w:spacing w:after="60" w:before="170"/>
      </w:pPr>
      <w:r>
        <w:rPr>
          <w:rFonts w:ascii="Georgia" w:cs="Georgia" w:eastAsia="Georgia" w:hAnsi="Georgia"/>
          <w:b/>
          <w:bCs/>
          <w:i w:val="false"/>
          <w:iCs w:val="false"/>
          <w:color w:val="2E4C7E"/>
          <w:sz w:val="21"/>
          <w:szCs w:val="21"/>
        </w:rPr>
        <w:t xml:space="preserve">What has NOT changed</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Domestic taxes and regulators are untouched. Indian IGST still applies to imports (now on a lower duty-inclusive value); BIS, FSSAI, CDSCO, Legal Metrology, WPC/TEC and quarantine approvals are still required; UK product standards (UKCA/CE, UK REACH) and SPS controls still apply; and the FEMA/RBI framework is unchanged. The CETA lowers tariffs and streamlines customs — it does not remove domestic compliance.</w:t>
            </w:r>
          </w:p>
        </w:tc>
      </w:tr>
    </w:tbl>
    <w:p>
      <w:pPr>
        <w:pStyle w:val="Heading2"/>
        <w:keepNext/>
        <w:spacing w:after="90" w:before="240"/>
      </w:pPr>
      <w:r>
        <w:rPr>
          <w:rFonts w:ascii="Georgia" w:cs="Georgia" w:eastAsia="Georgia" w:hAnsi="Georgia"/>
          <w:b/>
          <w:bCs/>
          <w:i w:val="false"/>
          <w:iCs w:val="false"/>
          <w:color w:val="2E4C7E"/>
          <w:sz w:val="24"/>
          <w:szCs w:val="24"/>
        </w:rPr>
        <w:t xml:space="preserve">3.2  Sector-by-sector: what has changed</w:t>
      </w:r>
    </w:p>
    <w:p>
      <w:pPr>
        <w:pStyle w:val="Heading3"/>
        <w:keepNext/>
        <w:spacing w:after="60" w:before="170"/>
      </w:pPr>
      <w:r>
        <w:rPr>
          <w:rFonts w:ascii="Georgia" w:cs="Georgia" w:eastAsia="Georgia" w:hAnsi="Georgia"/>
          <w:b/>
          <w:bCs/>
          <w:i w:val="false"/>
          <w:iCs w:val="false"/>
          <w:color w:val="2E4C7E"/>
          <w:sz w:val="21"/>
          <w:szCs w:val="21"/>
        </w:rPr>
        <w:t xml:space="preserve">Agriculture, processed foods, tea, coffee and spices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UK duties on Indian agri and processed foods (peaks up to ~70%) fall to zero, and streamlined procedures apply; exports are expected to rise materially (Backgrounder pp. 6–7; combined document p. 22). SPS compliance remains, so establishment approval, residue limits and health certificates still govern access.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India protects its farm economy — dairy, cereals, millets, edible oils, oilseeds, apples and several vegetables remain excluded (PIB 2274280). UK agri gains are therefore selective; FSSAI and quarantine continue to apply.</w:t>
      </w:r>
    </w:p>
    <w:p>
      <w:pPr>
        <w:pStyle w:val="Heading3"/>
        <w:keepNext/>
        <w:spacing w:after="60" w:before="170"/>
      </w:pPr>
      <w:r>
        <w:rPr>
          <w:rFonts w:ascii="Georgia" w:cs="Georgia" w:eastAsia="Georgia" w:hAnsi="Georgia"/>
          <w:b/>
          <w:bCs/>
          <w:i w:val="false"/>
          <w:iCs w:val="false"/>
          <w:color w:val="2E4C7E"/>
          <w:sz w:val="21"/>
          <w:szCs w:val="21"/>
        </w:rPr>
        <w:t xml:space="preserve">Marine products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UK tariffs of ~4.2–21.5% on shrimp and fish fall to zero, levelling the field against Vietnam and Ecuador; India targets a materially higher UK market share (WTC Report pp. 13, 23; combined document p. 8). Phytosanitary compliance and establishment approval remain the gating factor.</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Limited change; sensitive treatment continues.</w:t>
      </w:r>
    </w:p>
    <w:p>
      <w:pPr>
        <w:pStyle w:val="Heading3"/>
        <w:keepNext/>
        <w:spacing w:after="60" w:before="170"/>
      </w:pPr>
      <w:r>
        <w:rPr>
          <w:rFonts w:ascii="Georgia" w:cs="Georgia" w:eastAsia="Georgia" w:hAnsi="Georgia"/>
          <w:b/>
          <w:bCs/>
          <w:i w:val="false"/>
          <w:iCs w:val="false"/>
          <w:color w:val="2E4C7E"/>
          <w:sz w:val="21"/>
          <w:szCs w:val="21"/>
        </w:rPr>
        <w:t xml:space="preserve">Textiles, apparel, leather, footwear and carpets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UK duties up to ~12% (textiles/clothing) and ~16% (leather/footwear) fall to zero, restoring parity with Bangladesh and reversing the January-2026 DCTS withdrawal on HS 61–63; India expects to close the gap with China and Bangladesh (WTC Report p. 11; combined document p. 9). Origin qualification (fabric-forward-type rules in Annex 3A) is the key compliance step.</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Indian duties (up to ~12–16%) reduce/phase down, but domestic demand still favours local product; BIS and labelling continue.</w:t>
      </w:r>
    </w:p>
    <w:p>
      <w:pPr>
        <w:pStyle w:val="Heading3"/>
        <w:keepNext/>
        <w:spacing w:after="60" w:before="170"/>
      </w:pPr>
      <w:r>
        <w:rPr>
          <w:rFonts w:ascii="Georgia" w:cs="Georgia" w:eastAsia="Georgia" w:hAnsi="Georgia"/>
          <w:b/>
          <w:bCs/>
          <w:i w:val="false"/>
          <w:iCs w:val="false"/>
          <w:color w:val="2E4C7E"/>
          <w:sz w:val="21"/>
          <w:szCs w:val="21"/>
        </w:rPr>
        <w:t xml:space="preserve">Gems and jewellery</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UK duty on jewellery (~4%) falls to zero, against a ~USD 3 billion UK jewellery import market; India's G&amp;J exports are projected to roughly double within 2–3 years (combined document p. 16).</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Gold, jewellery and lab-grown diamonds remain sensitive/excluded to protect domestic producers (PIB 2274280).</w:t>
      </w:r>
    </w:p>
    <w:p>
      <w:pPr>
        <w:pStyle w:val="Heading3"/>
        <w:keepNext/>
        <w:spacing w:after="60" w:before="170"/>
      </w:pPr>
      <w:r>
        <w:rPr>
          <w:rFonts w:ascii="Georgia" w:cs="Georgia" w:eastAsia="Georgia" w:hAnsi="Georgia"/>
          <w:b/>
          <w:bCs/>
          <w:i w:val="false"/>
          <w:iCs w:val="false"/>
          <w:color w:val="2E4C7E"/>
          <w:sz w:val="21"/>
          <w:szCs w:val="21"/>
        </w:rPr>
        <w:t xml:space="preserve">Pharmaceuticals, biotech and medical devices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Zero duty plus a mutual-recognition framework for medical devices (accepting CDSCO/ICMED-certified devices) improve access to a ~USD 30 billion UK pharma import market and a large device market; MHRA/UK approval still applies (combined document pp. 12–13).</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Duty on UK medicines/devices reduces; CDSCO registration/licensing is unchanged.</w:t>
      </w:r>
    </w:p>
    <w:p>
      <w:pPr>
        <w:pStyle w:val="Heading3"/>
        <w:keepNext/>
        <w:spacing w:after="60" w:before="170"/>
      </w:pPr>
      <w:r>
        <w:rPr>
          <w:rFonts w:ascii="Georgia" w:cs="Georgia" w:eastAsia="Georgia" w:hAnsi="Georgia"/>
          <w:b/>
          <w:bCs/>
          <w:i w:val="false"/>
          <w:iCs w:val="false"/>
          <w:color w:val="2E4C7E"/>
          <w:sz w:val="21"/>
          <w:szCs w:val="21"/>
        </w:rPr>
        <w:t xml:space="preserve">Chemicals, petrochemicals and plastics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UK duty up to ~8% falls to zero (reversing the Jan-2026 DCTS withdrawal on chemicals); chemical exports are projected to rise 30–40% (combined document pp. 13–15). UK REACH registration remains.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Indian duty (up to ~8% on chemicals; ~6% on plastics) reduces/phases down; safety compliance continues.</w:t>
      </w:r>
    </w:p>
    <w:p>
      <w:pPr>
        <w:pStyle w:val="Heading3"/>
        <w:keepNext/>
        <w:spacing w:after="60" w:before="170"/>
      </w:pPr>
      <w:r>
        <w:rPr>
          <w:rFonts w:ascii="Georgia" w:cs="Georgia" w:eastAsia="Georgia" w:hAnsi="Georgia"/>
          <w:b/>
          <w:bCs/>
          <w:i w:val="false"/>
          <w:iCs w:val="false"/>
          <w:color w:val="2E4C7E"/>
          <w:sz w:val="21"/>
          <w:szCs w:val="21"/>
        </w:rPr>
        <w:t xml:space="preserve">Engineering goods, machinery, electronics and electrical</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UK duty up to ~18% on engineering/auto components falls to zero, and recognition of Indian conformity-assessment bodies eases electronics/telecom access; engineering exports could roughly double by 2029–30 (combined document pp. 10–12).</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Indian duty (up to ~14% electrical; ~8% mechanical) reduces/phases down; BIS/CRS and WPC/TEC continue.</w:t>
      </w:r>
    </w:p>
    <w:p>
      <w:pPr>
        <w:pStyle w:val="Heading3"/>
        <w:keepNext/>
        <w:spacing w:after="60" w:before="170"/>
      </w:pPr>
      <w:r>
        <w:rPr>
          <w:rFonts w:ascii="Georgia" w:cs="Georgia" w:eastAsia="Georgia" w:hAnsi="Georgia"/>
          <w:b/>
          <w:bCs/>
          <w:i w:val="false"/>
          <w:iCs w:val="false"/>
          <w:color w:val="2E4C7E"/>
          <w:sz w:val="21"/>
          <w:szCs w:val="21"/>
        </w:rPr>
        <w:t xml:space="preserve">Automobiles, auto components, aerospace, defence and renewables</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Vehicle duty is cut from over 100% towards 10%, but only within annual quotas and phased over years, protecting domestic industry; components move towards duty-free (WTC Report p. 9; combined document p. 20). BIS/AIS type-approval continues.</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Indian EVs, components and renewable-energy equipment gain duty-free/lower-duty UK access, supporting India's role in the UK's net-zero supply chains (WTC Report p. 13; combined document p. 20).</w:t>
      </w:r>
    </w:p>
    <w:p>
      <w:pPr>
        <w:pStyle w:val="Heading3"/>
        <w:keepNext/>
        <w:spacing w:after="60" w:before="170"/>
      </w:pPr>
      <w:r>
        <w:rPr>
          <w:rFonts w:ascii="Georgia" w:cs="Georgia" w:eastAsia="Georgia" w:hAnsi="Georgia"/>
          <w:b/>
          <w:bCs/>
          <w:i w:val="false"/>
          <w:iCs w:val="false"/>
          <w:color w:val="2E4C7E"/>
          <w:sz w:val="21"/>
          <w:szCs w:val="21"/>
        </w:rPr>
        <w:t xml:space="preserve">Steel, aluminium, construction materials and furniture</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Duty on iron/steel articles and other metals falls to zero, reversing the Jan-2026 DCTS withdrawal; the separate UK steel-safeguard risk is managed through country-specific/residual quotas and an Authorised Use Scheme, with ~85% of India's steel exports outside the measures (PIB 2274280). Ceramics gain duty-free UK access (Backgrounder p. 12).</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Indian duty (up to ~10–12%) reduces/phases down; BIS QCOs continue.</w:t>
      </w:r>
    </w:p>
    <w:p>
      <w:pPr>
        <w:pStyle w:val="Heading3"/>
        <w:keepNext/>
        <w:spacing w:after="60" w:before="170"/>
      </w:pPr>
      <w:r>
        <w:rPr>
          <w:rFonts w:ascii="Georgia" w:cs="Georgia" w:eastAsia="Georgia" w:hAnsi="Georgia"/>
          <w:b/>
          <w:bCs/>
          <w:i w:val="false"/>
          <w:iCs w:val="false"/>
          <w:color w:val="2E4C7E"/>
          <w:sz w:val="21"/>
          <w:szCs w:val="21"/>
        </w:rPr>
        <w:t xml:space="preserve">Cosmetics, alcoholic beverages, FMCG, retail and luxury</w:t>
      </w:r>
    </w:p>
    <w:p>
      <w:pPr>
        <w:spacing w:after="120" w:line="288"/>
        <w:jc w:val="both"/>
      </w:pPr>
      <w:r>
        <w:rPr>
          <w:rFonts w:ascii="Georgia" w:cs="Georgia" w:eastAsia="Georgia" w:hAnsi="Georgia"/>
          <w:b/>
          <w:bCs/>
          <w:i w:val="false"/>
          <w:iCs w:val="false"/>
          <w:color w:val="2E4C7E"/>
          <w:sz w:val="21"/>
          <w:szCs w:val="21"/>
        </w:rPr>
        <w:t xml:space="preserve">Imports (UK → India):  </w:t>
      </w:r>
      <w:r>
        <w:rPr>
          <w:rFonts w:ascii="Georgia" w:cs="Georgia" w:eastAsia="Georgia" w:hAnsi="Georgia"/>
          <w:b w:val="false"/>
          <w:bCs w:val="false"/>
          <w:i w:val="false"/>
          <w:iCs w:val="false"/>
          <w:color w:val="222222"/>
          <w:sz w:val="21"/>
          <w:szCs w:val="21"/>
        </w:rPr>
        <w:t xml:space="preserve">Cosmetics duty reduces (CDSCO cosmetic registration remains). Scotch whisky and gin duty falls from 150% to 75% immediately and to 40% over ten years, other premium spirits to 75% by year ten subject to a minimum import price — but high state excise means retail prices may fall only modestly (Backgrounder p. 12; WTC Report p. 12).</w:t>
      </w:r>
    </w:p>
    <w:p>
      <w:pPr>
        <w:spacing w:after="120" w:line="288"/>
        <w:jc w:val="both"/>
      </w:pPr>
      <w:r>
        <w:rPr>
          <w:rFonts w:ascii="Georgia" w:cs="Georgia" w:eastAsia="Georgia" w:hAnsi="Georgia"/>
          <w:b/>
          <w:bCs/>
          <w:i w:val="false"/>
          <w:iCs w:val="false"/>
          <w:color w:val="2E4C7E"/>
          <w:sz w:val="21"/>
          <w:szCs w:val="21"/>
        </w:rPr>
        <w:t xml:space="preserve">Exports (India → UK):  </w:t>
      </w:r>
      <w:r>
        <w:rPr>
          <w:rFonts w:ascii="Georgia" w:cs="Georgia" w:eastAsia="Georgia" w:hAnsi="Georgia"/>
          <w:b w:val="false"/>
          <w:bCs w:val="false"/>
          <w:i w:val="false"/>
          <w:iCs w:val="false"/>
          <w:color w:val="222222"/>
          <w:sz w:val="21"/>
          <w:szCs w:val="21"/>
        </w:rPr>
        <w:t xml:space="preserve">Indian cosmetics, spirits and consumer goods gain duty-free/lower-duty UK access, subject to UK safety/labelling.</w:t>
      </w:r>
    </w:p>
    <w:p>
      <w:pPr>
        <w:pStyle w:val="Heading3"/>
        <w:keepNext/>
        <w:spacing w:after="60" w:before="170"/>
      </w:pPr>
      <w:r>
        <w:rPr>
          <w:rFonts w:ascii="Georgia" w:cs="Georgia" w:eastAsia="Georgia" w:hAnsi="Georgia"/>
          <w:b/>
          <w:bCs/>
          <w:i w:val="false"/>
          <w:iCs w:val="false"/>
          <w:color w:val="2E4C7E"/>
          <w:sz w:val="21"/>
          <w:szCs w:val="21"/>
        </w:rPr>
        <w:t xml:space="preserve">Services — IT/ITeS, financial, professional, telecom, education, logistics, digital</w:t>
      </w:r>
    </w:p>
    <w:p>
      <w:pPr>
        <w:spacing w:after="120" w:line="288"/>
        <w:jc w:val="both"/>
      </w:pPr>
      <w:r>
        <w:rPr>
          <w:rFonts w:ascii="Georgia" w:cs="Georgia" w:eastAsia="Georgia" w:hAnsi="Georgia"/>
          <w:b/>
          <w:bCs/>
          <w:i w:val="false"/>
          <w:iCs w:val="false"/>
          <w:color w:val="2E4C7E"/>
          <w:sz w:val="21"/>
          <w:szCs w:val="21"/>
        </w:rPr>
        <w:t xml:space="preserve">India → UK:  </w:t>
      </w:r>
      <w:r>
        <w:rPr>
          <w:rFonts w:ascii="Georgia" w:cs="Georgia" w:eastAsia="Georgia" w:hAnsi="Georgia"/>
          <w:b w:val="false"/>
          <w:bCs w:val="false"/>
          <w:i w:val="false"/>
          <w:iCs w:val="false"/>
          <w:color w:val="222222"/>
          <w:sz w:val="21"/>
          <w:szCs w:val="21"/>
        </w:rPr>
        <w:t xml:space="preserve">The 137-sub-sector UK opening, assured mobility for the five service-supplier categories, removal of economic-needs tests, targeted mutual recognition (nursing, accountancy, architecture), and the five-year DCC exemption together transform the economics of delivering Indian services in the UK — especially IT/ITeS, professional and financial services and GCC operations (PIB 2274280; Backgrounder pp. 17–19).</w:t>
      </w:r>
    </w:p>
    <w:p>
      <w:pPr>
        <w:spacing w:after="120" w:line="288"/>
        <w:jc w:val="both"/>
      </w:pPr>
      <w:r>
        <w:rPr>
          <w:rFonts w:ascii="Georgia" w:cs="Georgia" w:eastAsia="Georgia" w:hAnsi="Georgia"/>
          <w:b/>
          <w:bCs/>
          <w:i w:val="false"/>
          <w:iCs w:val="false"/>
          <w:color w:val="2E4C7E"/>
          <w:sz w:val="21"/>
          <w:szCs w:val="21"/>
        </w:rPr>
        <w:t xml:space="preserve">UK → India:  </w:t>
      </w:r>
      <w:r>
        <w:rPr>
          <w:rFonts w:ascii="Georgia" w:cs="Georgia" w:eastAsia="Georgia" w:hAnsi="Georgia"/>
          <w:b w:val="false"/>
          <w:bCs w:val="false"/>
          <w:i w:val="false"/>
          <w:iCs w:val="false"/>
          <w:color w:val="222222"/>
          <w:sz w:val="21"/>
          <w:szCs w:val="21"/>
        </w:rPr>
        <w:t xml:space="preserve">UK firms gain clearer, treaty-assured access in a range of sub-sectors (accounting, financial services with FDI caps, telecom, environmental services), and digital-trade rules ease cross-border delivery; sectoral FDI caps and RBI/SEBI/IRDAI regulation continue (Backgrounder p. 17).</w:t>
      </w:r>
    </w:p>
    <w:p>
      <w:pPr>
        <w:pStyle w:val="Heading3"/>
        <w:keepNext/>
        <w:spacing w:after="60" w:before="170"/>
      </w:pPr>
      <w:r>
        <w:rPr>
          <w:rFonts w:ascii="Georgia" w:cs="Georgia" w:eastAsia="Georgia" w:hAnsi="Georgia"/>
          <w:b/>
          <w:bCs/>
          <w:i w:val="false"/>
          <w:iCs w:val="false"/>
          <w:color w:val="2E4C7E"/>
          <w:sz w:val="21"/>
          <w:szCs w:val="21"/>
        </w:rPr>
        <w:t xml:space="preserve">Investment, IP, start-ups and MSMEs</w:t>
      </w:r>
    </w:p>
    <w:p>
      <w:pPr>
        <w:spacing w:after="120" w:line="288"/>
        <w:jc w:val="both"/>
      </w:pPr>
      <w:r>
        <w:rPr>
          <w:rFonts w:ascii="Georgia" w:cs="Georgia" w:eastAsia="Georgia" w:hAnsi="Georgia"/>
          <w:b/>
          <w:bCs/>
          <w:i w:val="false"/>
          <w:iCs w:val="false"/>
          <w:color w:val="2E4C7E"/>
          <w:sz w:val="21"/>
          <w:szCs w:val="21"/>
        </w:rPr>
        <w:t xml:space="preserve">Both directions:  </w:t>
      </w:r>
      <w:r>
        <w:rPr>
          <w:rFonts w:ascii="Georgia" w:cs="Georgia" w:eastAsia="Georgia" w:hAnsi="Georgia"/>
          <w:b w:val="false"/>
          <w:bCs w:val="false"/>
          <w:i w:val="false"/>
          <w:iCs w:val="false"/>
          <w:color w:val="222222"/>
          <w:sz w:val="21"/>
          <w:szCs w:val="21"/>
        </w:rPr>
        <w:t xml:space="preserve">The CETA improves investment access and adds IP cooperation, a dedicated MSME chapter and contact point, and digital/paperless facilitation that disproportionately helps smaller firms; treaty-level investment protection still awaits the separate BIT (Backgrounder pp. 13, 21, 26).</w:t>
      </w:r>
    </w:p>
    <w:p>
      <w:pPr>
        <w:pStyle w:val="Heading2"/>
        <w:keepNext/>
        <w:spacing w:after="90" w:before="240"/>
      </w:pPr>
      <w:r>
        <w:rPr>
          <w:rFonts w:ascii="Georgia" w:cs="Georgia" w:eastAsia="Georgia" w:hAnsi="Georgia"/>
          <w:b/>
          <w:bCs/>
          <w:i w:val="false"/>
          <w:iCs w:val="false"/>
          <w:color w:val="2E4C7E"/>
          <w:sz w:val="24"/>
          <w:szCs w:val="24"/>
        </w:rPr>
        <w:t xml:space="preserve">3.3  Transition and phase-in at a glance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426"/>
      </w:tblGrid>
      <w:tr>
        <w:trPr>
          <w:tblHeader/>
        </w:trPr>
        <w:tc>
          <w:tcPr>
            <w:tcW w:type="dxa" w:w="26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Element</w:t>
            </w:r>
          </w:p>
        </w:tc>
        <w:tc>
          <w:tcPr>
            <w:tcW w:type="dxa" w:w="64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Timing / transition</w:t>
            </w:r>
          </w:p>
        </w:tc>
      </w:tr>
      <w:tr>
        <w:tc>
          <w:tcPr>
            <w:tcW w:type="dxa" w:w="2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UK duties on Indian goods</w:t>
            </w:r>
          </w:p>
        </w:tc>
        <w:tc>
          <w:tcPr>
            <w:tcW w:type="dxa" w:w="6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Zero on ~99% of tariff lines from day one (15 July 2026).</w:t>
            </w:r>
          </w:p>
        </w:tc>
      </w:tr>
      <w:tr>
        <w:tc>
          <w:tcPr>
            <w:tcW w:type="dxa" w:w="26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Indian duties on UK goods</w:t>
            </w:r>
          </w:p>
        </w:tc>
        <w:tc>
          <w:tcPr>
            <w:tcW w:type="dxa" w:w="64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~24.5% of value duty-free immediately; balance phased over 5 / 7 / 10 years; sensitive lines excluded.</w:t>
            </w:r>
          </w:p>
        </w:tc>
      </w:tr>
      <w:tr>
        <w:tc>
          <w:tcPr>
            <w:tcW w:type="dxa" w:w="2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Automobiles into India</w:t>
            </w:r>
          </w:p>
        </w:tc>
        <w:tc>
          <w:tcPr>
            <w:tcW w:type="dxa" w:w="6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Over 100% towards 10%, within annual quotas, phased over years.</w:t>
            </w:r>
          </w:p>
        </w:tc>
      </w:tr>
      <w:tr>
        <w:tc>
          <w:tcPr>
            <w:tcW w:type="dxa" w:w="26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Spirits into India</w:t>
            </w:r>
          </w:p>
        </w:tc>
        <w:tc>
          <w:tcPr>
            <w:tcW w:type="dxa" w:w="64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Whisky/gin 150% to 75% immediately, to 40% over 10 years; other premium spirits to 75% by year 10 (subject to minimum import price).</w:t>
            </w:r>
          </w:p>
        </w:tc>
      </w:tr>
      <w:tr>
        <w:tc>
          <w:tcPr>
            <w:tcW w:type="dxa" w:w="2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Proof of origin</w:t>
            </w:r>
          </w:p>
        </w:tc>
        <w:tc>
          <w:tcPr>
            <w:tcW w:type="dxa" w:w="6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CETA self-certification from day one; Form A / REX no longer valid.</w:t>
            </w:r>
          </w:p>
        </w:tc>
      </w:tr>
      <w:tr>
        <w:tc>
          <w:tcPr>
            <w:tcW w:type="dxa" w:w="2600"/>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DCC exemption</w:t>
            </w:r>
          </w:p>
        </w:tc>
        <w:tc>
          <w:tcPr>
            <w:tcW w:type="dxa" w:w="642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Up to 5 years, from 15 July 2026; Certificate of Coverage required.</w:t>
            </w:r>
          </w:p>
        </w:tc>
      </w:tr>
      <w:tr>
        <w:tc>
          <w:tcPr>
            <w:tcW w:type="dxa" w:w="2600"/>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Mutual recognition (MRAs)</w:t>
            </w:r>
          </w:p>
        </w:tc>
        <w:tc>
          <w:tcPr>
            <w:tcW w:type="dxa" w:w="642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8"/>
                <w:szCs w:val="18"/>
              </w:rPr>
              <w:t xml:space="preserve">Targeted within 12 months of entry into force.</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The Eight Master Comparison Tables</w:t>
      </w:r>
    </w:p>
    <w:p>
      <w:pPr>
        <w:spacing w:after="150" w:before="0" w:line="288"/>
        <w:jc w:val="both"/>
      </w:pPr>
      <w:r>
        <w:rPr>
          <w:rFonts w:ascii="Georgia" w:cs="Georgia" w:eastAsia="Georgia" w:hAnsi="Georgia"/>
          <w:b w:val="false"/>
          <w:bCs w:val="false"/>
          <w:i w:val="false"/>
          <w:iCs w:val="false"/>
          <w:color w:val="222222"/>
          <w:sz w:val="21"/>
          <w:szCs w:val="21"/>
        </w:rPr>
        <w:t xml:space="preserve">The eight tables below compare the pre-FTA and post-FTA position for goods and services, in each direction, using the four columns requested: (1) Goods/Service Category (with indicative HS chapters); (2) Customs Duty / Tariff / Market Access; (3) Compliance Requirements &amp; Conditions; and (4) Source / Cross-Reference. Categories are representative groupings, not exhaustive HS lines; the exact rate and rule for any product must be confirmed against the tariff schedule and Annex 3A for the correct HS code.</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40" w:line="276"/>
              <w:jc w:val="left"/>
            </w:pPr>
            <w:r>
              <w:rPr>
                <w:rFonts w:ascii="Georgia" w:cs="Georgia" w:eastAsia="Georgia" w:hAnsi="Georgia"/>
                <w:b/>
                <w:bCs/>
                <w:i w:val="false"/>
                <w:iCs w:val="false"/>
                <w:color w:val="222222"/>
                <w:sz w:val="19"/>
                <w:szCs w:val="19"/>
              </w:rPr>
              <w:t xml:space="preserve">How the analysis is attached. </w:t>
            </w:r>
            <w:r>
              <w:rPr>
                <w:rFonts w:ascii="Georgia" w:cs="Georgia" w:eastAsia="Georgia" w:hAnsi="Georgia"/>
                <w:b w:val="false"/>
                <w:bCs w:val="false"/>
                <w:i w:val="false"/>
                <w:iCs w:val="false"/>
                <w:color w:val="222222"/>
                <w:sz w:val="19"/>
                <w:szCs w:val="19"/>
              </w:rPr>
              <w:t xml:space="preserve">Tables 1–4 state the pre-FTA baseline; Tables 5–8 state the position under the CETA and identify what has changed. Because ‘what changed’ is only meaningful for the post-FTA position, the Key Commercial Changes, Client Action Points and Compliance Checklist required after each table are provided after each of the four post-FTA tables (by subject area and direction), immediately following Tables 5–8.</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1: India Exports to the UK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Duty / market access (pre-FTA)</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Textiles, apparel &amp; carpets (HS 50–63)</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up to ~12%; limited DCTS relief, withdrawn on HS 61–63 from 1 Jan 2026</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UKCA/CE where relevant; textile fibre-composition &amp; labelling; Form A/REX for any DCTS claim; UK importer files on CDS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WTC p.11; GOV.UK DCTS; combined doc p.9</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Leather &amp; footwear (HS 41–43, 64)</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up to ~16%</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Product-safety/UKCA; REACH for treated leather; SPS for raw hides</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p.9; PIB 2274280</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Gems &amp; jewellery (HS 71)</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up to ~4% on jewellery</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Hallmarking/assay; proof of origin for any preference</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p.16; WTC p.11</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Marine products (HS 03, 1604–05)</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~4.2–21.5%</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SPS: establishment approval, health certificate, IPAFFS pre-notification, BCP checks</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WTC pp.13,23; Backgrounder p.8</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Processed &amp; agri foods (HS 07–22)</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up to ~70% (processed)</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SPS/food-safety; labelling; residue limits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 WTC p.12</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Tea, coffee, spices (HS 09)</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duty on value-added forms</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Food-safety &amp; labelling</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pp.7–8</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Pharmaceuticals (HS 30)</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up to ~8%</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MHRA/UK marketing authorisation</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p.12</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Chemicals &amp; plastics (HS 28–29, 39)</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up to ~8%; DCTS on chemicals withdrawn Jan 2026</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REACH registration</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pp.13–15; GOV.UK</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Engineering &amp; machinery (HS 84–85)</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up to ~18% (incl. auto components)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UKCA; product-specific safety; conformity assessment</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pp.10–11</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Iron, steel &amp; metals (HS 72–76)</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DCTS withdrawn Jan 2026; UK steel-safeguard risk</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Product standards; steel-safeguard quotas</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GOV.UK; PIB 2274280</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Ceramics &amp; construction (HS 69)</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(typically ~5–12%)</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Product-safety/UKCA</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p.12</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Electronics (HS 85, incl. smartphones)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MFN (varies; many lines low/zero)</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UKCA; product safety</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p.11</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2: India Exports to the UK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Market access (pre-FTA)</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IT &amp; ITeS / computer services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Access via UK immigration; no treaty-assured mobility</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work-visa rules; dual UK social-security contributions during assignments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pp.8–9,18</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Other business / professional services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Ad hoc; qualifications not recognised</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Immigration friction; no MRAs</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Financial services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Subject to UK FCA/PRA authorisation</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prudential authorisation; no bilateral commitments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p.16</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Telecommunications / digital</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No bilateral market-access commitments</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Domestic regulation each side</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Education &amp; training</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Policy-based cooperation only</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Immigration rules; no campus establishment framework</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pp.19–20</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Mobility (all categories)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Economic-needs tests / caps possible</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Uncertain entry; per-visa conditions</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p.18</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Chefs, yoga, musicians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No dedicated route</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General visa routes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3: UK Imports into India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Duty (pre-FTA BCD)</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Alcoholic spirits (HS 2208)</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150%</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State excise/licensing; labelling; FSSAI</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p.12; WTC p.12</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Automobiles – CBU (HS 8703)</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over 100%</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BIS/AIS type-approval; homologation</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WTC p.9; 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Processed food (HS 16–22)</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70%</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FSSAI (FICS); Legal Metrology; quarantine</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Vegetable oils (HS 15)</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20%</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FSSAI; quarantine</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Automotive/transport (HS 87)</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18%</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BIS/AIS type-approval</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Leather/footwear (HS 41–43,64)</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16%</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 footwear QCO</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Electrical machinery (HS 85)</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14%</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BIS/CRS; WPC/TEC (wireless)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Textiles/clothing; glass; ceramics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12%</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 labelling</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Base metals; wood/paper (HS 44–48,72–83)</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10%</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 steel QCOs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Mechanical machinery; chemicals (HS 84,28–29)</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8%</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BIS/CRS; chemical safety</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Plastics/rubber; instruments (HS 39–40,90)</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6%</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 where notified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Gems &amp; jewellery; furniture; toys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up to 4%</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 toy QCO; hallmarking</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Medical devices (HS 9018–22)</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BCD ~2–6%</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CDSCO registration (MDR 2017)</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p.13</w:t>
            </w:r>
          </w:p>
        </w:tc>
      </w:tr>
    </w:tbl>
    <w:p>
      <w:pPr>
        <w:pStyle w:val="Heading2"/>
        <w:keepNext/>
        <w:spacing w:after="90" w:before="240"/>
      </w:pPr>
      <w:r>
        <w:rPr>
          <w:rFonts w:ascii="Georgia" w:cs="Georgia" w:eastAsia="Georgia" w:hAnsi="Georgia"/>
          <w:b/>
          <w:bCs/>
          <w:i w:val="false"/>
          <w:iCs w:val="false"/>
          <w:color w:val="2E4C7E"/>
          <w:sz w:val="24"/>
          <w:szCs w:val="24"/>
        </w:rPr>
        <w:t xml:space="preserve">PRE-FTA — Table 4: UK Imports into India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Market access (pre-FTA)</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Compliance requirements &amp; conditions</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Financial services / banking / insurance</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Sectoral FDI caps; case-by-case</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RBI / SEBI / IRDAI licensing; FEMA on payments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Professional / consulting</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Entry limits; qualifications not recognised</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Professional-body regulation; immigration</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Telecommunications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No treaty commitments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Licensing; WPC/TEC for equipment</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Digital / e-commerce</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No bilateral framework</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Domestic data/consumer law</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p.21</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Education</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No campus-establishment route</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Regulatory approvals; UGC/AICTE</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pp.19–20</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Legal / accountancy</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Restricted cross-border practice</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Bar Council / ICAI regulation</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5: India Exports to the UK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Duty / market access (post-FTA)</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Compliance requirements &amp; conditions (what changed)</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Textiles, apparel &amp; carpets (HS 50–63)</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from day one (was up to ~12%)</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Now: CETA self-certified origin (Annex 3A) + CETA preference codes on CDS; Form A/REX no longer valid. UK labelling/UKCA unchanged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 Backgrounder p.5; combined doc p.9; GOV.UK/HMRC</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Leather &amp; footwear (HS 41–43,64)</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(was up to ~16%)</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Origin qualification; UKCA/REACH unchanged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p.9; Annex 3A</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Gems &amp; jewellery (HS 71)</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(was up to ~4%)</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Origin proof; hallmarking unchanged; ~2–3x export growth projected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p.16</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Marine products (HS 03,1604–05)</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(was ~4.2–21.5%)</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SPS unchanged (establishment approval, health cert, IPAFFS, BCP) — now the gating factor</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WTC pp.13,23; combined doc p.8</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Processed &amp; agri foods (HS 07–22)</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(was up to ~70%)</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SPS/labelling unchanged; origin proof</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pp.6–7; PIB 2274280</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Tea, coffee, spices (HS 09)</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Duty-free on value-added forms</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Food-safety unchanged; origin proof</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pp.7–8</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Pharmaceuticals &amp; devices (HS 30,9018–22)</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(was up to ~8%)</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Device mutual-recognition framework (CDSCO/ICMED); MHRA authorisation unchanged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pp.12–13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Chemicals &amp; plastics (HS 28–29,39)</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(was up to ~8%)</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REACH unchanged; origin proof; ~30–40% export growth projected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pp.13–15</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Engineering &amp; machinery (HS 84–85)</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(was up to ~18%)</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Recognition of Indian conformity bodies (electronics/telecom); UKCA unchanged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pp.10–12</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Iron, steel &amp; metals (HS 72–76)</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Zero UK duty; steel-safeguard managed via CSQ/residual quota/AUS</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~85% of steel exports outside the measures; track quota terms</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EVs, auto components, renewables (HS 87,85)</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Duty-free/lower UK duty</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type-approval/UNECE unchanged; supports UK net-zero chains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p.20; WTC p.13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Ceramics &amp; construction (HS 69)</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Duty-free UK access</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Product-safety unchanged; origin proof</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p.12</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6: India Exports to the UK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Market access (post-FTA)</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Conditions / what changed</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IT &amp; ITeS / computer services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Assured access; UK commitments in computer &amp; related services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Five-year DCC social-security exemption; mobility routes; Certificate of Coverage needed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 Backgrounder pp.18–19</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Other business / professional services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opening across 137 sub-sectors</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MRAs targeted within 12 months (nursing, accountancy, architecture)</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 Backgrounder p.17</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Financial services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Enhanced, more predictable UK access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UK FCA/PRA authorisation still required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p.16</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Mobility – BV / ICT / CSS / IP / investors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Assured, time-bound entry; no economic-needs test or numerical cap</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Durations: BV 90 days/6 months; ICT up to 3 years; CSS/IP 12 months/24</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pp.17–18</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Chefs, yoga, classical musicians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Dedicated quota of 1,800 per year</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Contractual-service-supplier arrangement</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Telecommunications / digital</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Commitments + digital-trade rules</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Paperless trade; data-flow provisions</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p.21</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GCCs / start-ups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Greater certainty for UK-facing operations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Reduced compliance friction; DCC benefits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p.19</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7: UK Imports into India — Goods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Goods category (HS)</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Duty / market access (post-FTA)</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Conditions / what changed</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Scotch whisky &amp; gin (HS 2208)</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150% to 75% immediately; to 40% over 10 years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Minimum import price for some spirits; state excise unchanged (limits retail fall)</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p.12; WTC p.12</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Automobiles – CBU (HS 8703)</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Over 100% towards 10%, within annual quotas, phased</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BIS/AIS type-approval unchanged; quota management</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WTC p.9; combined doc p.20</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Auto components (HS 8708)</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Towards duty-free</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BIS/AIS unchanged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p.20</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Cosmetics (HS 33)</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 reduced</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CDSCO cosmetic registration (Rules 2020) unchanged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p.12; WTC p.12</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Medical devices (HS 9018–22)</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 reduced</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CDSCO (MDR 2017) unchanged; mutual-recognition framework</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p.13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Machinery &amp; electricals (HS 84–85)</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 reduced/phased (was up to ~14%)</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BIS/CRS and WPC/TEC unchanged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Chemicals &amp; plastics (HS 28–29,39)</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 reduced/phased (was up to ~8%/6%)</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Safety compliance unchanged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Metals &amp; construction (HS 72–76,69)</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Duty reduced/phased (was up to ~10–12%)</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BIS QCOs unchanged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p.3</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Sensitive agri: dairy, cereals, oils, apples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Excluded — no concession</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Protected; FSSAI/quarantine unchanged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 Backgrounder p.20</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Gold, jewellery, lab-grown diamonds, smartphones, optic fibre</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Excluded / protected</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Strategic exclusions retained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PIB 2274280; Backgrounder p.20</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Strategic (Make in India / PLI) lines</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Gradual cuts over 5 / 7 / 10 years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Longest transitions; check schedule by HS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pp.5,20</w:t>
            </w:r>
          </w:p>
        </w:tc>
      </w:tr>
    </w:tbl>
    <w:p>
      <w:pPr>
        <w:pStyle w:val="Heading2"/>
        <w:keepNext/>
        <w:spacing w:after="90" w:before="240"/>
      </w:pPr>
      <w:r>
        <w:rPr>
          <w:rFonts w:ascii="Georgia" w:cs="Georgia" w:eastAsia="Georgia" w:hAnsi="Georgia"/>
          <w:b/>
          <w:bCs/>
          <w:i w:val="false"/>
          <w:iCs w:val="false"/>
          <w:color w:val="2E4C7E"/>
          <w:sz w:val="24"/>
          <w:szCs w:val="24"/>
        </w:rPr>
        <w:t xml:space="preserve">POST-FTA — Table 8: UK Imports into India — Services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850"/>
        <w:gridCol w:w="3826"/>
        <w:gridCol w:w="1400"/>
      </w:tblGrid>
      <w:tr>
        <w:trPr>
          <w:tblHeader/>
        </w:trPr>
        <w:tc>
          <w:tcPr>
            <w:tcW w:type="dxa" w:w="19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Service category</w:t>
            </w:r>
          </w:p>
        </w:tc>
        <w:tc>
          <w:tcPr>
            <w:tcW w:type="dxa" w:w="18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Market access (post-FTA)</w:t>
            </w:r>
          </w:p>
        </w:tc>
        <w:tc>
          <w:tcPr>
            <w:tcW w:type="dxa" w:w="382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Conditions / what changed</w:t>
            </w:r>
          </w:p>
        </w:tc>
        <w:tc>
          <w:tcPr>
            <w:tcW w:type="dxa" w:w="140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7"/>
                <w:szCs w:val="17"/>
              </w:rPr>
              <w:t xml:space="preserve">Source / cross-reference</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Financial services / banking / insurance</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Treaty-assured access; some FDI caps noted (e.g., ~74%)</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RBI/SEBI/IRDAI licensing and FEMA unchanged</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Telecommunications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Commitments (up to 100% FDI referenced)</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Licensing/WPC-TEC unchanged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Professional / accounting / environmental</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Commitments in ~108 sub-sectors</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Professional-body regulation unchanged; MRAs to follow</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Education</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Framework for UK campuses in India</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Regulatory approvals still apply</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Combined doc pp.19–20</w:t>
            </w:r>
          </w:p>
        </w:tc>
      </w:tr>
      <w:tr>
        <w:tc>
          <w:tcPr>
            <w:tcW w:type="dxa" w:w="19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Digital / e-commerce</w:t>
            </w:r>
          </w:p>
        </w:tc>
        <w:tc>
          <w:tcPr>
            <w:tcW w:type="dxa" w:w="185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Digital-trade rules; paperless trade</w:t>
            </w:r>
          </w:p>
        </w:tc>
        <w:tc>
          <w:tcPr>
            <w:tcW w:type="dxa" w:w="3826"/>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Data/consumer protections; domestic law applies</w:t>
            </w:r>
          </w:p>
        </w:tc>
        <w:tc>
          <w:tcPr>
            <w:tcW w:type="dxa" w:w="1400"/>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p.21</w:t>
            </w:r>
          </w:p>
        </w:tc>
      </w:tr>
      <w:tr>
        <w:tc>
          <w:tcPr>
            <w:tcW w:type="dxa" w:w="19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Auxiliary air-transport / logistics</w:t>
            </w:r>
          </w:p>
        </w:tc>
        <w:tc>
          <w:tcPr>
            <w:tcW w:type="dxa" w:w="185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Commitments referenced</w:t>
            </w:r>
          </w:p>
        </w:tc>
        <w:tc>
          <w:tcPr>
            <w:tcW w:type="dxa" w:w="3826"/>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Sectoral regulation unchanged</w:t>
            </w:r>
          </w:p>
        </w:tc>
        <w:tc>
          <w:tcPr>
            <w:tcW w:type="dxa" w:w="1400"/>
            <w:shd w:fill="EEF2F8" w:color="auto" w:val="clear"/>
            <w:tcMar>
              <w:top w:type="dxa" w:w="55"/>
              <w:left w:type="dxa" w:w="100"/>
              <w:bottom w:type="dxa" w:w="55"/>
              <w:right w:type="dxa" w:w="100"/>
            </w:tcMar>
            <w:vAlign w:val="center"/>
          </w:tcPr>
          <w:p>
            <w:pPr>
              <w:spacing w:after="0" w:line="244"/>
            </w:pPr>
            <w:r>
              <w:rPr>
                <w:rFonts w:ascii="Georgia" w:cs="Georgia" w:eastAsia="Georgia" w:hAnsi="Georgia"/>
                <w:b w:val="false"/>
                <w:bCs w:val="false"/>
                <w:i w:val="false"/>
                <w:iCs w:val="false"/>
                <w:color w:val="222222"/>
                <w:sz w:val="16"/>
                <w:szCs w:val="16"/>
              </w:rPr>
              <w:t xml:space="preserve">Backgrounder p.17</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Analysis — Key Commercial Changes, Client Action Points and Compliance Checklists</w:t>
      </w:r>
    </w:p>
    <w:p>
      <w:pPr>
        <w:pStyle w:val="Heading2"/>
        <w:keepNext/>
        <w:spacing w:after="90" w:before="240"/>
      </w:pPr>
      <w:r>
        <w:rPr>
          <w:rFonts w:ascii="Georgia" w:cs="Georgia" w:eastAsia="Georgia" w:hAnsi="Georgia"/>
          <w:b/>
          <w:bCs/>
          <w:i w:val="false"/>
          <w:iCs w:val="false"/>
          <w:color w:val="2E4C7E"/>
          <w:sz w:val="24"/>
          <w:szCs w:val="24"/>
        </w:rPr>
        <w:t xml:space="preserve">Area A — India Exports to the UK: Goods (Tables 1 &amp; 5)</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What changed: UK duties on almost all Indian goods fall to zero from day one, reversing both the historic MFN disadvantage and the January-2026 withdrawal of DCTS preferences on textiles, chemicals and steel. What did not: UK product standards (UKCA/CE, UK REACH) and SPS controls remain, and origin must now be self-certified under Annex 3A. Who benefits most: labour-intensive exporters (textiles, leather, footwear, gems &amp; jewellery), marine, engineering, chemicals and processed foods, and the states and MSME clusters behind them.</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Classify each product to the correct HS code and read its Annex 3A product-specific rule; document qualification.</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Obtain supplier/manufacturer declarations for inputs; build a bill-of-materials origin file.</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Switch UK customs entries to CETA preference codes; stop using Form A / REX; align with your UK importer/broker.</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Re-price to reflect zero duty; decide how the margin is shared; update contracts and Incoterms.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Maintain SPS/UKCA/REACH compliance; retain records for the verification period.</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Verify HS classification for each product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Rules-of-Origin eligibility against Annex 3A</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Obtain and file a CETA origin declaration / certificate of origin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Update supplier declarations and bill-of-materials records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Apply correct CETA preference codes on UK import entry (CDS)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UKCA/CE and UK REACH position where relevant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SPS approvals (establishment, health certificate, IPAFFS)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export contracts, pricing and Incoterms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 export-realisation compliance (9 months)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Retain documentary records for post-clearance verification</w:t>
      </w:r>
    </w:p>
    <w:p>
      <w:pPr>
        <w:pStyle w:val="Heading2"/>
        <w:keepNext/>
        <w:spacing w:after="90" w:before="240"/>
      </w:pPr>
      <w:r>
        <w:rPr>
          <w:rFonts w:ascii="Georgia" w:cs="Georgia" w:eastAsia="Georgia" w:hAnsi="Georgia"/>
          <w:b/>
          <w:bCs/>
          <w:i w:val="false"/>
          <w:iCs w:val="false"/>
          <w:color w:val="2E4C7E"/>
          <w:sz w:val="24"/>
          <w:szCs w:val="24"/>
        </w:rPr>
        <w:t xml:space="preserve">Area B — India Exports to the UK: Services (Tables 2 &amp; 6)</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What changed: the UK opened 137 sub-sectors, gave assured time-bound mobility for five supplier categories, removed economic-needs tests and numerical caps, targeted mutual recognition within 12 months, and — via the DCC — exempted Indian professionals from UK social security for up to five years. What did not: UK professional and prudential regulation (FCA/PRA, professional bodies) still applies. Who benefits most: IT/ITeS, professional and financial services, GCCs and start-ups.</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Map assignments to the correct mobility category and duration; prepare visa documentation.</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Set up Certificate of Coverage applications (EPFO) and update payroll and tax-equalisation clauses.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Track the MRA timetable for regulated professions (nursing, accountancy, architecture).</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Review service contracts for the new market-access certainty; confirm data-protection compliance.</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Identify applicable mobility category (BV / ICT / CSS / IP / investor)</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Apply for Certificate of Coverage (DCC exemption)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Update global-mobility policy, assignment letters and tax-equalisation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UK authorisation for regulated services (FCA/PRA)</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Monitor MRA recognition for professional qualifications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cross-border service contracts and SLAs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data-flow / privacy compliance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 treatment of service receipts</w:t>
      </w:r>
    </w:p>
    <w:p>
      <w:pPr>
        <w:pStyle w:val="Heading2"/>
        <w:keepNext/>
        <w:spacing w:after="90" w:before="240"/>
      </w:pPr>
      <w:r>
        <w:rPr>
          <w:rFonts w:ascii="Georgia" w:cs="Georgia" w:eastAsia="Georgia" w:hAnsi="Georgia"/>
          <w:b/>
          <w:bCs/>
          <w:i w:val="false"/>
          <w:iCs w:val="false"/>
          <w:color w:val="2E4C7E"/>
          <w:sz w:val="24"/>
          <w:szCs w:val="24"/>
        </w:rPr>
        <w:t xml:space="preserve">Area C — UK Imports into India: Goods (Tables 3 &amp; 7)</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What changed: Indian duties fall — immediately on part of the schedule and over 5/7/10 years on the rest — with headline cuts on spirits (150% to 75%, then 40%) and automobiles (over 100% towards 10%, within quotas). What did not: sensitive agri and strategic lines are excluded; BIS, FSSAI, CDSCO, Legal Metrology, WPC/TEC and quarantine approvals remain; and IGST still applies (now on a lower duty-inclusive value). Who benefits: importers and Indian consumers of UK spirits, cosmetics, medical devices, machinery and chemicals — subject to phase-in and quotas.</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Read the year-by-year Indian tariff rate for each HS line; note phase-in and any quota/minimum import price.</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Obtain CETA proof of origin from UK suppliers; claim preference on the Bill of Entry.</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Recompute landed cost and IGST; review input-tax-credit and pricing.</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Confirm continuing BIS/FSSAI/CDSCO/Legal-Metrology/WPC-TEC obligations before import.</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Verify HS classification and the applicable phase-in year</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Check quota / minimum import price (autos, spirits)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Obtain CETA origin proof from the UK supplier</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Claim preference correctly on the Bill of Entry (ICEGATE)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Recompute BCD + surcharge + IGST landed cost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BIS / CRS / FSSAI / CDSCO / Legal Metrology / WPC-TEC</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import contracts, pricing and Incoterms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 import-payment compliance (AD bank)</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Retain records for post-clearance verification</w:t>
      </w:r>
    </w:p>
    <w:p>
      <w:pPr>
        <w:pStyle w:val="Heading2"/>
        <w:keepNext/>
        <w:spacing w:after="90" w:before="240"/>
      </w:pPr>
      <w:r>
        <w:rPr>
          <w:rFonts w:ascii="Georgia" w:cs="Georgia" w:eastAsia="Georgia" w:hAnsi="Georgia"/>
          <w:b/>
          <w:bCs/>
          <w:i w:val="false"/>
          <w:iCs w:val="false"/>
          <w:color w:val="2E4C7E"/>
          <w:sz w:val="24"/>
          <w:szCs w:val="24"/>
        </w:rPr>
        <w:t xml:space="preserve">Area D — UK Imports into India: Services (Tables 4 &amp; 8)</w:t>
      </w:r>
    </w:p>
    <w:p>
      <w:pPr>
        <w:pStyle w:val="Heading3"/>
        <w:keepNext/>
        <w:spacing w:after="60" w:before="170"/>
      </w:pPr>
      <w:r>
        <w:rPr>
          <w:rFonts w:ascii="Georgia" w:cs="Georgia" w:eastAsia="Georgia" w:hAnsi="Georgia"/>
          <w:b/>
          <w:bCs/>
          <w:i w:val="false"/>
          <w:iCs w:val="false"/>
          <w:color w:val="2E4C7E"/>
          <w:sz w:val="21"/>
          <w:szCs w:val="21"/>
        </w:rPr>
        <w:t xml:space="preserve">Key commercial changes</w:t>
      </w:r>
    </w:p>
    <w:p>
      <w:pPr>
        <w:spacing w:after="150" w:before="0" w:line="288"/>
        <w:jc w:val="both"/>
      </w:pPr>
      <w:r>
        <w:rPr>
          <w:rFonts w:ascii="Georgia" w:cs="Georgia" w:eastAsia="Georgia" w:hAnsi="Georgia"/>
          <w:b w:val="false"/>
          <w:bCs w:val="false"/>
          <w:i w:val="false"/>
          <w:iCs w:val="false"/>
          <w:color w:val="222222"/>
          <w:sz w:val="21"/>
          <w:szCs w:val="21"/>
        </w:rPr>
        <w:t xml:space="preserve">What changed: UK firms gain treaty-assured access across financial, professional, telecom, environmental, education and auxiliary-transport services, supported by digital-trade rules. What did not: sectoral FDI caps and RBI/SEBI/IRDAI licensing continue, and the FEMA framework is unchanged; treaty-level investment protection awaits the separate BIT. Who benefits: UK financial, professional and education providers, and Indian businesses/consumers gaining access to UK expertise.</w:t>
      </w:r>
    </w:p>
    <w:p>
      <w:pPr>
        <w:pStyle w:val="Heading3"/>
        <w:keepNext/>
        <w:spacing w:after="60" w:before="170"/>
      </w:pPr>
      <w:r>
        <w:rPr>
          <w:rFonts w:ascii="Georgia" w:cs="Georgia" w:eastAsia="Georgia" w:hAnsi="Georgia"/>
          <w:b/>
          <w:bCs/>
          <w:i w:val="false"/>
          <w:iCs w:val="false"/>
          <w:color w:val="2E4C7E"/>
          <w:sz w:val="21"/>
          <w:szCs w:val="21"/>
        </w:rPr>
        <w:t xml:space="preserve">Client action points</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Assess the market-entry route (branch, subsidiary, JV) against FDI caps and licensing.</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Structure cross-border payments for FEMA/RBI compliance; plan any FDI/ODI reporting.</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For education/professional services, confirm regulatory approvals and any MRA dependency.</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Review digital-trade/data-protection compliance for cross-border delivery.</w:t>
      </w:r>
    </w:p>
    <w:p>
      <w:pPr>
        <w:pStyle w:val="Heading3"/>
        <w:keepNext/>
        <w:spacing w:after="60" w:before="170"/>
      </w:pPr>
      <w:r>
        <w:rPr>
          <w:rFonts w:ascii="Georgia" w:cs="Georgia" w:eastAsia="Georgia" w:hAnsi="Georgia"/>
          <w:b/>
          <w:bCs/>
          <w:i w:val="false"/>
          <w:iCs w:val="false"/>
          <w:color w:val="2E4C7E"/>
          <w:sz w:val="21"/>
          <w:szCs w:val="21"/>
        </w:rPr>
        <w:t xml:space="preserve">Practical compliance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sectoral FDI cap and entry route (DPIIT policy)</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Obtain RBI / SEBI / IRDAI licences as applicable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Structure and report FDI/ODI and cross-border payments (FEMA)</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regulatory approvals (education / professional bodies)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Assess MRA dependency for qualifications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data / consumer-protection compliance</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commercial contracts and service terms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Monitor the pending Bilateral Investment Treaty</w:t>
      </w:r>
    </w:p>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Final Chapter — Advisory Opportunities for Professional Advisers</w:t>
      </w:r>
    </w:p>
    <w:p>
      <w:pPr>
        <w:spacing w:after="150" w:before="0" w:line="288"/>
        <w:jc w:val="both"/>
      </w:pPr>
      <w:r>
        <w:rPr>
          <w:rFonts w:ascii="Georgia" w:cs="Georgia" w:eastAsia="Georgia" w:hAnsi="Georgia"/>
          <w:b w:val="false"/>
          <w:bCs w:val="false"/>
          <w:i w:val="false"/>
          <w:iCs w:val="false"/>
          <w:color w:val="222222"/>
          <w:sz w:val="21"/>
          <w:szCs w:val="21"/>
        </w:rPr>
        <w:t xml:space="preserve">The CETA rewards preparation. The businesses that capture its benefits first will be those that get classification, origin, contracts, tax and compliance right before they trade. This chapter maps, by professional discipline and then by sector cluster, where advisers add value — identifying the implementation challenge, the advisory service that meets it, and the commercial value of that advice.</w:t>
      </w:r>
    </w:p>
    <w:p>
      <w:pPr>
        <w:pStyle w:val="Heading2"/>
        <w:keepNext/>
        <w:spacing w:after="90" w:before="240"/>
      </w:pPr>
      <w:r>
        <w:rPr>
          <w:rFonts w:ascii="Georgia" w:cs="Georgia" w:eastAsia="Georgia" w:hAnsi="Georgia"/>
          <w:b/>
          <w:bCs/>
          <w:i w:val="false"/>
          <w:iCs w:val="false"/>
          <w:color w:val="2E4C7E"/>
          <w:sz w:val="24"/>
          <w:szCs w:val="24"/>
        </w:rPr>
        <w:t xml:space="preserve">By professional discipline — where each adviser helps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350"/>
        <w:gridCol w:w="6676"/>
      </w:tblGrid>
      <w:tr>
        <w:trPr>
          <w:tblHeader/>
        </w:trPr>
        <w:tc>
          <w:tcPr>
            <w:tcW w:type="dxa" w:w="2350"/>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Adviser</w:t>
            </w:r>
          </w:p>
        </w:tc>
        <w:tc>
          <w:tcPr>
            <w:tcW w:type="dxa" w:w="6676"/>
            <w:shd w:fill="1F3864" w:color="auto" w:val="clear"/>
            <w:tcMar>
              <w:top w:type="dxa" w:w="60"/>
              <w:left w:type="dxa" w:w="100"/>
              <w:bottom w:type="dxa" w:w="60"/>
              <w:right w:type="dxa" w:w="100"/>
            </w:tcMar>
            <w:vAlign w:val="center"/>
          </w:tcPr>
          <w:p>
            <w:pPr>
              <w:spacing w:after="0" w:line="256"/>
            </w:pPr>
            <w:r>
              <w:rPr>
                <w:rFonts w:ascii="Georgia" w:cs="Georgia" w:eastAsia="Georgia" w:hAnsi="Georgia"/>
                <w:b/>
                <w:bCs/>
                <w:i w:val="false"/>
                <w:iCs w:val="false"/>
                <w:color w:val="FFFFFF"/>
                <w:sz w:val="18"/>
                <w:szCs w:val="18"/>
              </w:rPr>
              <w:t xml:space="preserve">Where they add value under the CETA</w:t>
            </w:r>
          </w:p>
        </w:tc>
      </w:tr>
      <w:tr>
        <w:tc>
          <w:tcPr>
            <w:tcW w:type="dxa" w:w="235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International trade lawyers</w:t>
            </w:r>
          </w:p>
        </w:tc>
        <w:tc>
          <w:tcPr>
            <w:tcW w:type="dxa" w:w="667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Interpreting CETA provisions; eligibility and Rules-of-Origin analysis (Annex 3A); origin verification defence; trade-remedy/safeguard advice (incl. UK steel measures); regulatory strategy; drafting and reviewing cross-border distribution, agency and supply agreements.</w:t>
            </w:r>
          </w:p>
        </w:tc>
      </w:tr>
      <w:tr>
        <w:tc>
          <w:tcPr>
            <w:tcW w:type="dxa" w:w="235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Customs lawyers</w:t>
            </w:r>
          </w:p>
        </w:tc>
        <w:tc>
          <w:tcPr>
            <w:tcW w:type="dxa" w:w="667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HS classification disputes; customs valuation; duty optimisation and phase-in planning; advance rulings; refunds and duty drawback; appeals; and post-clearance compliance audits.</w:t>
            </w:r>
          </w:p>
        </w:tc>
      </w:tr>
      <w:tr>
        <w:tc>
          <w:tcPr>
            <w:tcW w:type="dxa" w:w="235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Corporate &amp; commercial lawyers</w:t>
            </w:r>
          </w:p>
        </w:tc>
        <w:tc>
          <w:tcPr>
            <w:tcW w:type="dxa" w:w="667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Market-entry structuring; joint ventures and subsidiaries; commercial contracts; investment documentation; and sectoral regulatory approvals (DPIIT/FDI).</w:t>
            </w:r>
          </w:p>
        </w:tc>
      </w:tr>
      <w:tr>
        <w:tc>
          <w:tcPr>
            <w:tcW w:type="dxa" w:w="235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FEMA / RBI advisers</w:t>
            </w:r>
          </w:p>
        </w:tc>
        <w:tc>
          <w:tcPr>
            <w:tcW w:type="dxa" w:w="667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Cross-border payment structuring; foreign-exchange compliance; ODI/FDI structuring and RBI reporting; and external commercial borrowings where relevant.</w:t>
            </w:r>
          </w:p>
        </w:tc>
      </w:tr>
      <w:tr>
        <w:tc>
          <w:tcPr>
            <w:tcW w:type="dxa" w:w="2350"/>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Chartered accountants</w:t>
            </w:r>
          </w:p>
        </w:tc>
        <w:tc>
          <w:tcPr>
            <w:tcW w:type="dxa" w:w="6676"/>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GST/IGST optimisation; customs-duty planning; tax structuring and transfer pricing; landed-cost analysis; accounting treatment; incentive (PLI) utilisation; and duty-drawback/refund claims.</w:t>
            </w:r>
          </w:p>
        </w:tc>
      </w:tr>
      <w:tr>
        <w:tc>
          <w:tcPr>
            <w:tcW w:type="dxa" w:w="2350"/>
            <w:shd w:fill="EEF2F8" w:color="auto" w:val="clear"/>
            <w:tcMar>
              <w:top w:type="dxa" w:w="55"/>
              <w:left w:type="dxa" w:w="100"/>
              <w:bottom w:type="dxa" w:w="55"/>
              <w:right w:type="dxa" w:w="100"/>
            </w:tcMar>
            <w:vAlign w:val="center"/>
          </w:tcPr>
          <w:p>
            <w:pPr>
              <w:spacing w:after="0" w:line="252"/>
            </w:pPr>
            <w:r>
              <w:rPr>
                <w:rFonts w:ascii="Georgia" w:cs="Georgia" w:eastAsia="Georgia" w:hAnsi="Georgia"/>
                <w:b/>
                <w:bCs/>
                <w:i w:val="false"/>
                <w:iCs w:val="false"/>
                <w:color w:val="222222"/>
                <w:sz w:val="19"/>
                <w:szCs w:val="19"/>
              </w:rPr>
              <w:t xml:space="preserve">Business consultants</w:t>
            </w:r>
          </w:p>
        </w:tc>
        <w:tc>
          <w:tcPr>
            <w:tcW w:type="dxa" w:w="6676"/>
            <w:shd w:fill="EEF2F8" w:color="auto" w:val="clear"/>
            <w:tcMar>
              <w:top w:type="dxa" w:w="55"/>
              <w:left w:type="dxa" w:w="100"/>
              <w:bottom w:type="dxa" w:w="55"/>
              <w:right w:type="dxa" w:w="100"/>
            </w:tcMar>
            <w:vAlign w:val="center"/>
          </w:tcPr>
          <w:p>
            <w:pPr>
              <w:spacing w:after="0" w:line="252"/>
            </w:pPr>
            <w:r>
              <w:rPr>
                <w:rFonts w:ascii="Georgia" w:cs="Georgia" w:eastAsia="Georgia" w:hAnsi="Georgia"/>
                <w:b w:val="false"/>
                <w:bCs w:val="false"/>
                <w:i w:val="false"/>
                <w:iCs w:val="false"/>
                <w:color w:val="222222"/>
                <w:sz w:val="19"/>
                <w:szCs w:val="19"/>
              </w:rPr>
              <w:t xml:space="preserve">Supply-chain restructuring; market entry and vendor onboarding; documentation and origin-record systems; digital-trade implementation; ESG/sustainability compliance; and process redesign.</w:t>
            </w:r>
          </w:p>
        </w:tc>
      </w:tr>
    </w:tbl>
    <w:p>
      <w:pPr>
        <w:pStyle w:val="Heading2"/>
        <w:keepNext/>
        <w:spacing w:after="90" w:before="240"/>
      </w:pPr>
      <w:r>
        <w:rPr>
          <w:rFonts w:ascii="Georgia" w:cs="Georgia" w:eastAsia="Georgia" w:hAnsi="Georgia"/>
          <w:b/>
          <w:bCs/>
          <w:i w:val="false"/>
          <w:iCs w:val="false"/>
          <w:color w:val="2E4C7E"/>
          <w:sz w:val="24"/>
          <w:szCs w:val="24"/>
        </w:rPr>
        <w:t xml:space="preserve">Sector-wise gap analysis — challenge, service, value</w:t>
      </w:r>
    </w:p>
    <w:p>
      <w:pPr>
        <w:pStyle w:val="Heading3"/>
        <w:keepNext/>
        <w:spacing w:after="60" w:before="170"/>
      </w:pPr>
      <w:r>
        <w:rPr>
          <w:rFonts w:ascii="Georgia" w:cs="Georgia" w:eastAsia="Georgia" w:hAnsi="Georgia"/>
          <w:b/>
          <w:bCs/>
          <w:i w:val="false"/>
          <w:iCs w:val="false"/>
          <w:color w:val="2E4C7E"/>
          <w:sz w:val="21"/>
          <w:szCs w:val="21"/>
        </w:rPr>
        <w:t xml:space="preserve">Textiles, leather, footwear and carpets</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Zero UK duty is available only if goods meet the Annex 3A rules (often fabric/processing-based); many exporters lack origin documentation and still use lapsed Form A/REX processes.</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Origin eligibility mapping, supplier-declaration systems, CETA origin self-certification, and UK-side customs alignment; contract and Incoterms redrafting.</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Turns a headline tariff cut of up to ~12–16% into realised margin, and protects against back-duty on incorrect claims.</w:t>
      </w:r>
    </w:p>
    <w:p>
      <w:pPr>
        <w:pStyle w:val="Heading3"/>
        <w:keepNext/>
        <w:spacing w:after="60" w:before="170"/>
      </w:pPr>
      <w:r>
        <w:rPr>
          <w:rFonts w:ascii="Georgia" w:cs="Georgia" w:eastAsia="Georgia" w:hAnsi="Georgia"/>
          <w:b/>
          <w:bCs/>
          <w:i w:val="false"/>
          <w:iCs w:val="false"/>
          <w:color w:val="2E4C7E"/>
          <w:sz w:val="21"/>
          <w:szCs w:val="21"/>
        </w:rPr>
        <w:t xml:space="preserve">Marine, agriculture and processed foods</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Duty falls to zero but UK SPS controls (establishment approval, health certificates, IPAFFS, BCP checks) remain the real barrier.</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SPS/regulatory strategy, establishment-approval support, labelling compliance, and origin certification; CA support on export incentives.</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Unlocks a large UK market (marine ~USD 5.4bn) where compliance, not duty, decides access.</w:t>
      </w:r>
    </w:p>
    <w:p>
      <w:pPr>
        <w:pStyle w:val="Heading3"/>
        <w:keepNext/>
        <w:spacing w:after="60" w:before="170"/>
      </w:pPr>
      <w:r>
        <w:rPr>
          <w:rFonts w:ascii="Georgia" w:cs="Georgia" w:eastAsia="Georgia" w:hAnsi="Georgia"/>
          <w:b/>
          <w:bCs/>
          <w:i w:val="false"/>
          <w:iCs w:val="false"/>
          <w:color w:val="2E4C7E"/>
          <w:sz w:val="21"/>
          <w:szCs w:val="21"/>
        </w:rPr>
        <w:t xml:space="preserve">Gems &amp; jewellery</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Origin and valuation rules, plus hallmarking, must be satisfied to capture duty-free access to a ~USD 3bn UK market.</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Rules-of-origin and valuation advice; customs advance rulings; contract structuring.</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Supports projected doubling of G&amp;J exports while managing valuation risk.</w:t>
      </w:r>
    </w:p>
    <w:p>
      <w:pPr>
        <w:pStyle w:val="Heading3"/>
        <w:keepNext/>
        <w:spacing w:after="60" w:before="170"/>
      </w:pPr>
      <w:r>
        <w:rPr>
          <w:rFonts w:ascii="Georgia" w:cs="Georgia" w:eastAsia="Georgia" w:hAnsi="Georgia"/>
          <w:b/>
          <w:bCs/>
          <w:i w:val="false"/>
          <w:iCs w:val="false"/>
          <w:color w:val="2E4C7E"/>
          <w:sz w:val="21"/>
          <w:szCs w:val="21"/>
        </w:rPr>
        <w:t xml:space="preserve">Pharmaceuticals, biotech and medical devices</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Duty-free access and a device mutual-recognition framework help, but MHRA/UK authorisation and CDSCO rules remain.</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Regulatory pathway mapping (MHRA/CDSCO/ICMED), IP strategy, and contract review for supply and licensing.</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Accelerates entry to a ~USD 30bn UK pharma market and a large device market.</w:t>
      </w:r>
    </w:p>
    <w:p>
      <w:pPr>
        <w:pStyle w:val="Heading3"/>
        <w:keepNext/>
        <w:spacing w:after="60" w:before="170"/>
      </w:pPr>
      <w:r>
        <w:rPr>
          <w:rFonts w:ascii="Georgia" w:cs="Georgia" w:eastAsia="Georgia" w:hAnsi="Georgia"/>
          <w:b/>
          <w:bCs/>
          <w:i w:val="false"/>
          <w:iCs w:val="false"/>
          <w:color w:val="2E4C7E"/>
          <w:sz w:val="21"/>
          <w:szCs w:val="21"/>
        </w:rPr>
        <w:t xml:space="preserve">Chemicals, petrochemicals and plastics</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Zero UK duty reverses the Jan-2026 DCTS withdrawal, but UK REACH registration is a significant cost and process.</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UK REACH strategy, origin certification, and duty planning; CA support on drawback.</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Captures projected 30–40% export growth while managing REACH compliance.</w:t>
      </w:r>
    </w:p>
    <w:p>
      <w:pPr>
        <w:pStyle w:val="Heading3"/>
        <w:keepNext/>
        <w:spacing w:after="60" w:before="170"/>
      </w:pPr>
      <w:r>
        <w:rPr>
          <w:rFonts w:ascii="Georgia" w:cs="Georgia" w:eastAsia="Georgia" w:hAnsi="Georgia"/>
          <w:b/>
          <w:bCs/>
          <w:i w:val="false"/>
          <w:iCs w:val="false"/>
          <w:color w:val="2E4C7E"/>
          <w:sz w:val="21"/>
          <w:szCs w:val="21"/>
        </w:rPr>
        <w:t xml:space="preserve">Engineering, machinery, electronics and electrical</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Zero UK duty and recognition of Indian conformity bodies help, but classification and origin for complex assemblies are difficult.</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Classification and origin advice for multi-input products; conformity-assessment strategy; advance rulings.</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Supports a potential doubling of engineering exports by 2029–30.</w:t>
      </w:r>
    </w:p>
    <w:p>
      <w:pPr>
        <w:pStyle w:val="Heading3"/>
        <w:keepNext/>
        <w:spacing w:after="60" w:before="170"/>
      </w:pPr>
      <w:r>
        <w:rPr>
          <w:rFonts w:ascii="Georgia" w:cs="Georgia" w:eastAsia="Georgia" w:hAnsi="Georgia"/>
          <w:b/>
          <w:bCs/>
          <w:i w:val="false"/>
          <w:iCs w:val="false"/>
          <w:color w:val="2E4C7E"/>
          <w:sz w:val="21"/>
          <w:szCs w:val="21"/>
        </w:rPr>
        <w:t xml:space="preserve">Automobiles, auto components, aerospace and renewables</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Into India, quotas and phase-in on vehicles are complex; both ways, type-approval/conformity remains.</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Quota and phase-in planning; type-approval strategy; supply-chain and JV structuring; FEMA on investment.</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Optimises quota use and integrates India–UK automotive supply chains.</w:t>
      </w:r>
    </w:p>
    <w:p>
      <w:pPr>
        <w:pStyle w:val="Heading3"/>
        <w:keepNext/>
        <w:spacing w:after="60" w:before="170"/>
      </w:pPr>
      <w:r>
        <w:rPr>
          <w:rFonts w:ascii="Georgia" w:cs="Georgia" w:eastAsia="Georgia" w:hAnsi="Georgia"/>
          <w:b/>
          <w:bCs/>
          <w:i w:val="false"/>
          <w:iCs w:val="false"/>
          <w:color w:val="2E4C7E"/>
          <w:sz w:val="21"/>
          <w:szCs w:val="21"/>
        </w:rPr>
        <w:t xml:space="preserve">Alcoholic beverages, cosmetics and FMCG (into India)</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Duty cuts on spirits and cosmetics are partly offset by state excise and CDSCO cosmetic registration; minimum import price applies to some spirits.</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Duty and minimum-import-price planning; CDSCO registration support; distribution-agreement drafting; state-excise strategy.</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Clarifies the true landed cost and realistic retail pricing for UK consumer brands.</w:t>
      </w:r>
    </w:p>
    <w:p>
      <w:pPr>
        <w:pStyle w:val="Heading3"/>
        <w:keepNext/>
        <w:spacing w:after="60" w:before="170"/>
      </w:pPr>
      <w:r>
        <w:rPr>
          <w:rFonts w:ascii="Georgia" w:cs="Georgia" w:eastAsia="Georgia" w:hAnsi="Georgia"/>
          <w:b/>
          <w:bCs/>
          <w:i w:val="false"/>
          <w:iCs w:val="false"/>
          <w:color w:val="2E4C7E"/>
          <w:sz w:val="21"/>
          <w:szCs w:val="21"/>
        </w:rPr>
        <w:t xml:space="preserve">IT/ITeS, professional, financial and digital services</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Assured mobility and the DCC deliver real savings, but Certificate-of-Coverage processes, MRAs and UK/Indian regulation must be managed.</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Mobility and DCC implementation; MRA tracking; regulatory authorisation; contract and data-protection review; FEMA on receipts.</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Converts the five-year social-security exemption and market opening into lower cost and faster deployment.</w:t>
      </w:r>
    </w:p>
    <w:p>
      <w:pPr>
        <w:pStyle w:val="Heading3"/>
        <w:keepNext/>
        <w:spacing w:after="60" w:before="170"/>
      </w:pPr>
      <w:r>
        <w:rPr>
          <w:rFonts w:ascii="Georgia" w:cs="Georgia" w:eastAsia="Georgia" w:hAnsi="Georgia"/>
          <w:b/>
          <w:bCs/>
          <w:i w:val="false"/>
          <w:iCs w:val="false"/>
          <w:color w:val="2E4C7E"/>
          <w:sz w:val="21"/>
          <w:szCs w:val="21"/>
        </w:rPr>
        <w:t xml:space="preserve">Investment, start-ups and MSMEs</w:t>
      </w:r>
    </w:p>
    <w:p>
      <w:pPr>
        <w:spacing w:after="120" w:line="288"/>
        <w:jc w:val="both"/>
      </w:pPr>
      <w:r>
        <w:rPr>
          <w:rFonts w:ascii="Georgia" w:cs="Georgia" w:eastAsia="Georgia" w:hAnsi="Georgia"/>
          <w:b/>
          <w:bCs/>
          <w:i w:val="false"/>
          <w:iCs w:val="false"/>
          <w:color w:val="2E4C7E"/>
          <w:sz w:val="21"/>
          <w:szCs w:val="21"/>
        </w:rPr>
        <w:t xml:space="preserve">Challenge:  </w:t>
      </w:r>
      <w:r>
        <w:rPr>
          <w:rFonts w:ascii="Georgia" w:cs="Georgia" w:eastAsia="Georgia" w:hAnsi="Georgia"/>
          <w:b w:val="false"/>
          <w:bCs w:val="false"/>
          <w:i w:val="false"/>
          <w:iCs w:val="false"/>
          <w:color w:val="222222"/>
          <w:sz w:val="21"/>
          <w:szCs w:val="21"/>
        </w:rPr>
        <w:t xml:space="preserve">The CETA improves access and facilitation, but treaty-level investment protection awaits the BIT, and smaller firms lack compliance capacity.</w:t>
      </w:r>
    </w:p>
    <w:p>
      <w:pPr>
        <w:spacing w:after="120" w:line="288"/>
        <w:jc w:val="both"/>
      </w:pPr>
      <w:r>
        <w:rPr>
          <w:rFonts w:ascii="Georgia" w:cs="Georgia" w:eastAsia="Georgia" w:hAnsi="Georgia"/>
          <w:b/>
          <w:bCs/>
          <w:i w:val="false"/>
          <w:iCs w:val="false"/>
          <w:color w:val="2E4C7E"/>
          <w:sz w:val="21"/>
          <w:szCs w:val="21"/>
        </w:rPr>
        <w:t xml:space="preserve">Advisory service:  </w:t>
      </w:r>
      <w:r>
        <w:rPr>
          <w:rFonts w:ascii="Georgia" w:cs="Georgia" w:eastAsia="Georgia" w:hAnsi="Georgia"/>
          <w:b w:val="false"/>
          <w:bCs w:val="false"/>
          <w:i w:val="false"/>
          <w:iCs w:val="false"/>
          <w:color w:val="222222"/>
          <w:sz w:val="21"/>
          <w:szCs w:val="21"/>
        </w:rPr>
        <w:t xml:space="preserve">Market-entry and JV structuring; FDI/ODI and RBI reporting; MSME-tailored origin/customs systems; monitoring the BIT.</w:t>
      </w:r>
    </w:p>
    <w:p>
      <w:pPr>
        <w:spacing w:after="120" w:line="288"/>
        <w:jc w:val="both"/>
      </w:pPr>
      <w:r>
        <w:rPr>
          <w:rFonts w:ascii="Georgia" w:cs="Georgia" w:eastAsia="Georgia" w:hAnsi="Georgia"/>
          <w:b/>
          <w:bCs/>
          <w:i w:val="false"/>
          <w:iCs w:val="false"/>
          <w:color w:val="2E4C7E"/>
          <w:sz w:val="21"/>
          <w:szCs w:val="21"/>
        </w:rPr>
        <w:t xml:space="preserve">Commercial value:  </w:t>
      </w:r>
      <w:r>
        <w:rPr>
          <w:rFonts w:ascii="Georgia" w:cs="Georgia" w:eastAsia="Georgia" w:hAnsi="Georgia"/>
          <w:b w:val="false"/>
          <w:bCs w:val="false"/>
          <w:i w:val="false"/>
          <w:iCs w:val="false"/>
          <w:color w:val="222222"/>
          <w:sz w:val="21"/>
          <w:szCs w:val="21"/>
        </w:rPr>
        <w:t xml:space="preserve">Lets smaller firms use the Agreement cost-effectively and structure investment prudently pending the BIT.</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Across every sector the pattern repeats: the tariff cut is the headline, but classification, origin, standards, tax and payment compliance decide whether the benefit is actually realised — and that is where professional advice pays for itself.</w:t>
            </w:r>
          </w:p>
        </w:tc>
      </w:tr>
    </w:tbl>
    <w:p>
      <w:pPr>
        <w:pStyle w:val="Heading1"/>
        <w:pageBreakBefore/>
        <w:pBdr>
          <w:bottom w:val="single" w:color="1F3864" w:sz="10" w:space="6"/>
        </w:pBdr>
        <w:spacing w:after="160" w:before="0"/>
      </w:pPr>
      <w:r>
        <w:rPr>
          <w:rFonts w:ascii="Georgia" w:cs="Georgia" w:eastAsia="Georgia" w:hAnsi="Georgia"/>
          <w:b/>
          <w:bCs/>
          <w:i w:val="false"/>
          <w:iCs w:val="false"/>
          <w:color w:val="1F3864"/>
          <w:sz w:val="30"/>
          <w:szCs w:val="30"/>
        </w:rPr>
        <w:t xml:space="preserve">Closing Note and Consolidated Compliance Checklist</w:t>
      </w:r>
    </w:p>
    <w:p>
      <w:pPr>
        <w:spacing w:after="150" w:before="0" w:line="288"/>
        <w:jc w:val="both"/>
      </w:pPr>
      <w:r>
        <w:rPr>
          <w:rFonts w:ascii="Georgia" w:cs="Georgia" w:eastAsia="Georgia" w:hAnsi="Georgia"/>
          <w:b w:val="false"/>
          <w:bCs w:val="false"/>
          <w:i w:val="false"/>
          <w:iCs w:val="false"/>
          <w:color w:val="222222"/>
          <w:sz w:val="21"/>
          <w:szCs w:val="21"/>
        </w:rPr>
        <w:t xml:space="preserve">The India–UK CETA is a genuine opportunity for businesses on both sides — lower duties, faster customs, assured services access and a five-year social-security exemption. But its benefits are conditional and must be actively claimed. The single most important message of this memorandum is that preparation — correct classification, genuine origin qualification, proper documentation, and disciplined tax and FEMA compliance — is what turns the Agreement into realised commercial value.</w:t>
      </w:r>
    </w:p>
    <w:p>
      <w:pPr>
        <w:pStyle w:val="Heading2"/>
        <w:keepNext/>
        <w:spacing w:after="90" w:before="240"/>
      </w:pPr>
      <w:r>
        <w:rPr>
          <w:rFonts w:ascii="Georgia" w:cs="Georgia" w:eastAsia="Georgia" w:hAnsi="Georgia"/>
          <w:b/>
          <w:bCs/>
          <w:i w:val="false"/>
          <w:iCs w:val="false"/>
          <w:color w:val="2E4C7E"/>
          <w:sz w:val="24"/>
          <w:szCs w:val="24"/>
        </w:rPr>
        <w:t xml:space="preserve">Consolidated first-90-days checklist</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Map your India–UK product and service portfolio to HS codes / service categories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Test each product against Annex 3A Rules of Origin and document qualification</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Establish origin self-certification and a verification-ready record system</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Transition from Form A / REX to CETA preference codes and origin proofs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Recompute landed cost, duty (with phase-in/quotas) and IGST; revisit pricing</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Review and, where needed, renegotiate contracts, Incoterms and duty-bearing clauses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continuing standards/approvals (BIS, FSSAI, CDSCO, UKCA, UK REACH, SPS)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Set up Certificate of Coverage and update global-mobility and payroll policies</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Confirm FEMA/RBI compliance for payments, and any FDI/ODI reporting</w:t>
      </w:r>
    </w:p>
    <w:p>
      <w:pPr>
        <w:spacing w:after="46" w:line="268"/>
        <w:ind w:left="360" w:hanging="280"/>
      </w:pPr>
      <w:r>
        <w:rPr>
          <w:rFonts w:ascii="Georgia" w:cs="Georgia" w:eastAsia="Georgia" w:hAnsi="Georgia"/>
          <w:b w:val="false"/>
          <w:bCs w:val="false"/>
          <w:i w:val="false"/>
          <w:iCs w:val="false"/>
          <w:color w:val="222222"/>
          <w:sz w:val="21"/>
          <w:szCs w:val="21"/>
        </w:rPr>
        <w:t xml:space="preserve">☐  </w:t>
      </w:r>
      <w:r>
        <w:rPr>
          <w:rFonts w:ascii="Georgia" w:cs="Georgia" w:eastAsia="Georgia" w:hAnsi="Georgia"/>
          <w:b w:val="false"/>
          <w:bCs w:val="false"/>
          <w:i w:val="false"/>
          <w:iCs w:val="false"/>
          <w:color w:val="222222"/>
          <w:sz w:val="20"/>
          <w:szCs w:val="20"/>
        </w:rPr>
        <w:t xml:space="preserve">Assign ownership and diarise the 5/7/10-year phase-in and the 12-month MRA milestone</w:t>
      </w:r>
    </w:p>
    <w:p>
      <w:pPr>
        <w:pStyle w:val="Heading2"/>
        <w:keepNext/>
        <w:spacing w:after="90" w:before="240"/>
      </w:pPr>
      <w:r>
        <w:rPr>
          <w:rFonts w:ascii="Georgia" w:cs="Georgia" w:eastAsia="Georgia" w:hAnsi="Georgia"/>
          <w:b/>
          <w:bCs/>
          <w:i w:val="false"/>
          <w:iCs w:val="false"/>
          <w:color w:val="2E4C7E"/>
          <w:sz w:val="24"/>
          <w:szCs w:val="24"/>
        </w:rPr>
        <w:t xml:space="preserve">How we can help</w:t>
      </w:r>
    </w:p>
    <w:p>
      <w:pPr>
        <w:spacing w:after="150" w:before="0" w:line="288"/>
        <w:jc w:val="both"/>
      </w:pPr>
      <w:r>
        <w:rPr>
          <w:rFonts w:ascii="Georgia" w:cs="Georgia" w:eastAsia="Georgia" w:hAnsi="Georgia"/>
          <w:b w:val="false"/>
          <w:bCs w:val="false"/>
          <w:i w:val="false"/>
          <w:iCs w:val="false"/>
          <w:color w:val="222222"/>
          <w:sz w:val="21"/>
          <w:szCs w:val="21"/>
        </w:rPr>
        <w:t xml:space="preserve">Our International Trade, Customs &amp; Corporate Advisory Practice supports clients end-to-end: eligibility and Rules-of-Origin opinions; classification, valuation and advance rulings; customs and GST planning and refunds; contract and Incoterms redrafting; market-entry, JV and FDI/ODI structuring; FEMA/RBI compliance; mobility and DCC implementation; and sector-specific regulatory strategy (BIS, FSSAI, CDSCO, UK REACH, SPS and MRAs).</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40" w:line="276"/>
              <w:jc w:val="left"/>
            </w:pPr>
            <w:r>
              <w:rPr>
                <w:rFonts w:ascii="Georgia" w:cs="Georgia" w:eastAsia="Georgia" w:hAnsi="Georgia"/>
                <w:b/>
                <w:bCs/>
                <w:i w:val="false"/>
                <w:iCs w:val="false"/>
                <w:color w:val="222222"/>
                <w:sz w:val="18"/>
                <w:szCs w:val="18"/>
              </w:rPr>
              <w:t xml:space="preserve">Reliance and disclaimer. </w:t>
            </w:r>
            <w:r>
              <w:rPr>
                <w:rFonts w:ascii="Georgia" w:cs="Georgia" w:eastAsia="Georgia" w:hAnsi="Georgia"/>
                <w:b w:val="false"/>
                <w:bCs w:val="false"/>
                <w:i w:val="false"/>
                <w:iCs w:val="false"/>
                <w:color w:val="222222"/>
                <w:sz w:val="18"/>
                <w:szCs w:val="18"/>
              </w:rPr>
              <w:t xml:space="preserve">This memorandum is general information as at 15 July 2026, not legal, tax, customs, regulatory or financial advice, and creates no adviser–client relationship. Tariff rates, phase-ins, quotas and compliance requirements must be confirmed for each product/service against the Agreement text, its tariff schedules and Annex 3A, and the applicable CBIC/DGFT/HMRC and regulatory instruments, for the correct HS code and the relevant date. Obtain tailored advice before acting.</w:t>
            </w:r>
          </w:p>
          <w:p>
            <w:pPr>
              <w:spacing w:after="0" w:line="276"/>
              <w:jc w:val="left"/>
            </w:pPr>
            <w:r>
              <w:rPr>
                <w:rFonts w:ascii="Georgia" w:cs="Georgia" w:eastAsia="Georgia" w:hAnsi="Georgia"/>
                <w:b/>
                <w:bCs/>
                <w:i w:val="false"/>
                <w:iCs w:val="false"/>
                <w:color w:val="222222"/>
                <w:sz w:val="18"/>
                <w:szCs w:val="18"/>
              </w:rPr>
              <w:t xml:space="preserve">Primary sources. </w:t>
            </w:r>
            <w:r>
              <w:rPr>
                <w:rFonts w:ascii="Georgia" w:cs="Georgia" w:eastAsia="Georgia" w:hAnsi="Georgia"/>
                <w:b w:val="false"/>
                <w:bCs w:val="false"/>
                <w:i w:val="false"/>
                <w:iCs w:val="false"/>
                <w:color w:val="222222"/>
                <w:sz w:val="18"/>
                <w:szCs w:val="18"/>
              </w:rPr>
              <w:t xml:space="preserve">PIB Release ID 2274280 (17 June 2026); PIB Backgrounder (29 July 2025); UK DBT India Trade &amp; Investment Factsheet (23 June 2026); MVIRDC WTC Mumbai Report on India–UK FTA (2025); GOV.UK / HMRC (DCTS, CDS, origin); commerce.gov.in (Agreement text, tariff schedules, Annex 3A). Indian regulatory framework: Customs Act 1962; Customs Tariff Act 1975; IGST Act 2017; FEMA 1999 and RBI Master Directions; BIS Act 2016; FSS Act 2006; Drugs &amp; Cosmetics Act 1940 and Medical Devices Rules 2017; Legal Metrology (Packaged Commodities) Rules 2011.</w:t>
            </w:r>
          </w:p>
        </w:tc>
      </w:tr>
    </w:tbl>
    <w:p>
      <w:pPr>
        <w:spacing w:before="200"/>
        <w:jc w:val="center"/>
      </w:pPr>
      <w:r>
        <w:rPr>
          <w:rFonts w:ascii="Georgia" w:cs="Georgia" w:eastAsia="Georgia" w:hAnsi="Georgia"/>
          <w:b w:val="false"/>
          <w:bCs w:val="false"/>
          <w:i/>
          <w:iCs/>
          <w:color w:val="6E6E6E"/>
          <w:sz w:val="18"/>
          <w:szCs w:val="18"/>
        </w:rPr>
        <w:t xml:space="preserve">— End of Memorandum —</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026"/>
      </w:tabs>
      <w:spacing w:before="30"/>
    </w:pPr>
    <w:r>
      <w:rPr>
        <w:rFonts w:ascii="Georgia" w:cs="Georgia" w:eastAsia="Georgia" w:hAnsi="Georgia"/>
        <w:b w:val="false"/>
        <w:bCs w:val="false"/>
        <w:i w:val="false"/>
        <w:iCs w:val="false"/>
        <w:color w:val="A6A6A6"/>
        <w:sz w:val="14"/>
        <w:szCs w:val="14"/>
      </w:rPr>
      <w:t xml:space="preserve">International Trade, Customs &amp; Corporate Advisory Practice</w:t>
    </w:r>
    <w:r>
      <w:rPr>
        <w:rFonts w:ascii="Georgia" w:cs="Georgia" w:eastAsia="Georgia" w:hAnsi="Georgia"/>
        <w:color w:val="A6A6A6"/>
        <w:sz w:val="14"/>
        <w:szCs w:val="14"/>
      </w:rPr>
      <w:t xml:space="preserve">	Page </w:t>
    </w:r>
    <w:r>
      <w:rPr>
        <w:rFonts w:ascii="Georgia" w:cs="Georgia" w:eastAsia="Georgia" w:hAnsi="Georgia"/>
        <w:color w:val="A6A6A6"/>
        <w:sz w:val="14"/>
        <w:szCs w:val="14"/>
      </w:rPr>
      <w:fldChar w:fldCharType="begin"/>
      <w:instrText xml:space="preserve">PAGE</w:instrText>
      <w:fldChar w:fldCharType="separate"/>
      <w:fldChar w:fldCharType="end"/>
    </w:r>
    <w:r>
      <w:rPr>
        <w:rFonts w:ascii="Georgia" w:cs="Georgia" w:eastAsia="Georgia" w:hAnsi="Georgia"/>
        <w:color w:val="A6A6A6"/>
        <w:sz w:val="14"/>
        <w:szCs w:val="14"/>
      </w:rPr>
      <w:t xml:space="preserve"> of </w:t>
    </w:r>
    <w:r>
      <w:rPr>
        <w:rFonts w:ascii="Georgia" w:cs="Georgia" w:eastAsia="Georgia" w:hAnsi="Georgia"/>
        <w:color w:val="A6A6A6"/>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b w:val="false"/>
        <w:bCs w:val="false"/>
        <w:i w:val="false"/>
        <w:iCs w:val="false"/>
        <w:color w:val="BBBBBB"/>
        <w:sz w:val="14"/>
        <w:szCs w:val="14"/>
      </w:rPr>
      <w:t xml:space="preserve">Strictly Private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spacing w:after="40"/>
    </w:pPr>
    <w:r>
      <w:rPr>
        <w:rFonts w:ascii="Georgia" w:cs="Georgia" w:eastAsia="Georgia" w:hAnsi="Georgia"/>
        <w:b w:val="false"/>
        <w:bCs w:val="false"/>
        <w:i w:val="false"/>
        <w:iCs w:val="false"/>
        <w:color w:val="6E6E6E"/>
        <w:sz w:val="15"/>
        <w:szCs w:val="15"/>
      </w:rPr>
      <w:t xml:space="preserve">India–UK CETA  ·  Client Advisory Memorandum</w:t>
    </w:r>
    <w:r>
      <w:rPr>
        <w:rFonts w:ascii="Georgia" w:cs="Georgia" w:eastAsia="Georgia" w:hAnsi="Georgia"/>
        <w:color w:val="6E6E6E"/>
        <w:sz w:val="15"/>
        <w:szCs w:val="15"/>
      </w:rPr>
      <w:t xml:space="preserve">	Strictly Private &amp;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b w:val="false"/>
        <w:bCs w:val="false"/>
        <w:i w:val="false"/>
        <w:iCs w:val="false"/>
        <w:color w:val="222222"/>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pPr>
        <w:spacing w:after="15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40"/>
    </w:pPr>
    <w:rPr>
      <w:rFonts w:ascii="Georgia" w:cs="Georgia" w:eastAsia="Georgia" w:hAnsi="Georgia"/>
      <w:b/>
      <w:bCs/>
      <w:color w:val="1F3864"/>
      <w:sz w:val="30"/>
      <w:szCs w:val="30"/>
    </w:rPr>
  </w:style>
  <w:style w:type="paragraph" w:styleId="Heading2">
    <w:name w:val="Heading 2"/>
    <w:basedOn w:val="Normal"/>
    <w:next w:val="Normal"/>
    <w:qFormat/>
    <w:pPr>
      <w:keepNext/>
      <w:spacing w:after="90" w:before="240"/>
    </w:pPr>
    <w:rPr>
      <w:rFonts w:ascii="Georgia" w:cs="Georgia" w:eastAsia="Georgia" w:hAnsi="Georgia"/>
      <w:b/>
      <w:bCs/>
      <w:color w:val="2E4C7E"/>
      <w:sz w:val="24"/>
      <w:szCs w:val="24"/>
    </w:rPr>
  </w:style>
  <w:style w:type="paragraph" w:styleId="Heading3">
    <w:name w:val="Heading 3"/>
    <w:basedOn w:val="Normal"/>
    <w:next w:val="Normal"/>
    <w:qFormat/>
    <w:pPr>
      <w:keepNext/>
      <w:spacing w:after="60" w:before="170"/>
    </w:pPr>
    <w:rPr>
      <w:rFonts w:ascii="Georgia" w:cs="Georgia" w:eastAsia="Georgia" w:hAnsi="Georgia"/>
      <w:b/>
      <w:bCs/>
      <w:color w:val="2E4C7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India–UK CETA — Client Advisory Memorandum</dc:title>
  <dc:creator>International Trade, Customs &amp; Corporate Advisory Practice</dc:creator>
  <dc:description>Complete advisory: Chapters 1–3, eight master tables, analysis, advisory chapter</dc:description>
  <cp:lastModifiedBy>Un-named</cp:lastModifiedBy>
  <cp:revision>1</cp:revision>
  <dcterms:created xsi:type="dcterms:W3CDTF">2026-07-15T08:58:12.100Z</dcterms:created>
  <dcterms:modified xsi:type="dcterms:W3CDTF">2026-07-15T08:58:12.140Z</dcterms:modified>
</cp:coreProperties>
</file>

<file path=docProps/custom.xml><?xml version="1.0" encoding="utf-8"?>
<Properties xmlns="http://schemas.openxmlformats.org/officeDocument/2006/custom-properties" xmlns:vt="http://schemas.openxmlformats.org/officeDocument/2006/docPropsVTypes"/>
</file>