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b w:val="false"/>
          <w:bCs w:val="false"/>
          <w:i w:val="false"/>
          <w:iCs w:val="false"/>
          <w:color w:val="222222"/>
          <w:sz w:val="21"/>
          <w:szCs w:val="21"/>
        </w:rPr>
        <w:t xml:space="preserve"/>
      </w:r>
    </w:p>
    <w:p>
      <w:r>
        <w:rPr>
          <w:rFonts w:ascii="Georgia" w:cs="Georgia" w:eastAsia="Georgia" w:hAnsi="Georgia"/>
          <w:b w:val="false"/>
          <w:bCs w:val="false"/>
          <w:i w:val="false"/>
          <w:iCs w:val="false"/>
          <w:color w:val="222222"/>
          <w:sz w:val="21"/>
          <w:szCs w:val="21"/>
        </w:rPr>
        <w:t xml:space="preserve"/>
      </w:r>
    </w:p>
    <w:p>
      <w:r>
        <w:rPr>
          <w:rFonts w:ascii="Georgia" w:cs="Georgia" w:eastAsia="Georgia" w:hAnsi="Georgia"/>
          <w:b w:val="false"/>
          <w:bCs w:val="false"/>
          <w:i w:val="false"/>
          <w:iCs w:val="false"/>
          <w:color w:val="222222"/>
          <w:sz w:val="21"/>
          <w:szCs w:val="21"/>
        </w:rPr>
        <w:t xml:space="preserve"/>
      </w:r>
    </w:p>
    <w:p>
      <w:pPr>
        <w:spacing w:after="40"/>
        <w:jc w:val="center"/>
      </w:pPr>
      <w:r>
        <w:rPr>
          <w:rFonts w:ascii="Georgia" w:cs="Georgia" w:eastAsia="Georgia" w:hAnsi="Georgia"/>
          <w:b/>
          <w:bCs/>
          <w:i w:val="false"/>
          <w:iCs w:val="false"/>
          <w:color w:val="B07A12"/>
          <w:sz w:val="18"/>
          <w:szCs w:val="18"/>
        </w:rPr>
        <w:t xml:space="preserve">STRICTLY PRIVATE &amp; CONFIDENTIAL</w:t>
      </w:r>
    </w:p>
    <w:p>
      <w:pPr>
        <w:spacing w:after="260"/>
        <w:jc w:val="center"/>
      </w:pPr>
      <w:r>
        <w:rPr>
          <w:rFonts w:ascii="Georgia" w:cs="Georgia" w:eastAsia="Georgia" w:hAnsi="Georgia"/>
          <w:b/>
          <w:bCs/>
          <w:i w:val="false"/>
          <w:iCs w:val="false"/>
          <w:color w:val="6E6E6E"/>
          <w:sz w:val="20"/>
          <w:szCs w:val="20"/>
        </w:rPr>
        <w:t xml:space="preserve">CLIENT ADVISORY MEMORANDUM</w:t>
      </w:r>
    </w:p>
    <w:p>
      <w:pPr>
        <w:spacing w:after="60" w:line="460"/>
        <w:jc w:val="center"/>
      </w:pPr>
      <w:r>
        <w:rPr>
          <w:rFonts w:ascii="Georgia" w:cs="Georgia" w:eastAsia="Georgia" w:hAnsi="Georgia"/>
          <w:b/>
          <w:bCs/>
          <w:i w:val="false"/>
          <w:iCs w:val="false"/>
          <w:color w:val="1F3864"/>
          <w:sz w:val="40"/>
          <w:szCs w:val="40"/>
        </w:rPr>
        <w:t xml:space="preserve">The India–United Kingdom</w:t>
      </w:r>
    </w:p>
    <w:p>
      <w:pPr>
        <w:spacing w:after="60" w:line="460"/>
        <w:jc w:val="center"/>
      </w:pPr>
      <w:r>
        <w:rPr>
          <w:rFonts w:ascii="Georgia" w:cs="Georgia" w:eastAsia="Georgia" w:hAnsi="Georgia"/>
          <w:b/>
          <w:bCs/>
          <w:i w:val="false"/>
          <w:iCs w:val="false"/>
          <w:color w:val="1F3864"/>
          <w:sz w:val="40"/>
          <w:szCs w:val="40"/>
        </w:rPr>
        <w:t xml:space="preserve">Comprehensive Economic</w:t>
      </w:r>
    </w:p>
    <w:p>
      <w:pPr>
        <w:spacing w:after="220" w:line="460"/>
        <w:jc w:val="center"/>
      </w:pPr>
      <w:r>
        <w:rPr>
          <w:rFonts w:ascii="Georgia" w:cs="Georgia" w:eastAsia="Georgia" w:hAnsi="Georgia"/>
          <w:b/>
          <w:bCs/>
          <w:i w:val="false"/>
          <w:iCs w:val="false"/>
          <w:color w:val="1F3864"/>
          <w:sz w:val="40"/>
          <w:szCs w:val="40"/>
        </w:rPr>
        <w:t xml:space="preserve">&amp; Trade Agreement (CETA)</w:t>
      </w:r>
    </w:p>
    <w:p>
      <w:pPr>
        <w:spacing w:after="60"/>
        <w:jc w:val="center"/>
      </w:pPr>
      <w:r>
        <w:rPr>
          <w:rFonts w:ascii="Georgia" w:cs="Georgia" w:eastAsia="Georgia" w:hAnsi="Georgia"/>
          <w:b w:val="false"/>
          <w:bCs w:val="false"/>
          <w:i/>
          <w:iCs/>
          <w:color w:val="2E4C7E"/>
          <w:sz w:val="24"/>
          <w:szCs w:val="24"/>
        </w:rPr>
        <w:t xml:space="preserve">A Practical Guide for Businesses Trading Between India and the United Kingdom</w:t>
      </w:r>
    </w:p>
    <w:p>
      <w:pPr>
        <w:spacing w:after="320"/>
        <w:jc w:val="center"/>
      </w:pPr>
      <w:r>
        <w:rPr>
          <w:rFonts w:ascii="Georgia" w:cs="Georgia" w:eastAsia="Georgia" w:hAnsi="Georgia"/>
          <w:b w:val="false"/>
          <w:bCs w:val="false"/>
          <w:i w:val="false"/>
          <w:iCs w:val="false"/>
          <w:color w:val="6E6E6E"/>
          <w:sz w:val="21"/>
          <w:szCs w:val="21"/>
        </w:rPr>
        <w:t xml:space="preserve">What has changed, what has not, and what you should do now</w:t>
      </w:r>
    </w:p>
    <w:p>
      <w:pPr>
        <w:pBdr>
          <w:bottom w:val="single" w:color="B07A12" w:sz="8" w:space="4"/>
        </w:pBdr>
        <w:spacing w:after="200"/>
      </w:pPr>
      <w:r>
        <w:rPr>
          <w:rFonts w:ascii="Georgia" w:cs="Georgia" w:eastAsia="Georgia" w:hAnsi="Georgia"/>
          <w:b w:val="false"/>
          <w:bCs w:val="false"/>
          <w:i w:val="false"/>
          <w:iCs w:val="false"/>
          <w:color w:val="222222"/>
          <w:sz w:val="21"/>
          <w:szCs w:val="21"/>
        </w:rPr>
        <w:t xml:space="preserve"/>
      </w:r>
    </w:p>
    <w:p>
      <w:pPr>
        <w:spacing w:after="30"/>
        <w:jc w:val="center"/>
      </w:pPr>
      <w:r>
        <w:rPr>
          <w:rFonts w:ascii="Georgia" w:cs="Georgia" w:eastAsia="Georgia" w:hAnsi="Georgia"/>
          <w:b/>
          <w:bCs/>
          <w:i w:val="false"/>
          <w:iCs w:val="false"/>
          <w:color w:val="1F3864"/>
          <w:sz w:val="22"/>
          <w:szCs w:val="22"/>
        </w:rPr>
        <w:t xml:space="preserve">Entry into force: 15 July 2026</w:t>
      </w:r>
    </w:p>
    <w:p>
      <w:pPr>
        <w:spacing w:after="220"/>
        <w:jc w:val="center"/>
      </w:pPr>
      <w:r>
        <w:rPr>
          <w:rFonts w:ascii="Georgia" w:cs="Georgia" w:eastAsia="Georgia" w:hAnsi="Georgia"/>
          <w:b w:val="false"/>
          <w:bCs w:val="false"/>
          <w:i/>
          <w:iCs/>
          <w:color w:val="6E6E6E"/>
          <w:sz w:val="18"/>
          <w:szCs w:val="18"/>
        </w:rPr>
        <w:t xml:space="preserve">This memorandum is issued as at 15 July 2026, the date the Agreement becomes operative.</w:t>
      </w:r>
    </w:p>
    <w:p>
      <w:r>
        <w:rPr>
          <w:rFonts w:ascii="Georgia" w:cs="Georgia" w:eastAsia="Georgia" w:hAnsi="Georgia"/>
          <w:b w:val="false"/>
          <w:bCs w:val="false"/>
          <w:i w:val="false"/>
          <w:iCs w:val="false"/>
          <w:color w:val="222222"/>
          <w:sz w:val="21"/>
          <w:szCs w:val="21"/>
        </w:rPr>
        <w:t xml:space="preserve"/>
      </w:r>
    </w:p>
    <w:p>
      <w:pPr>
        <w:spacing w:after="10"/>
        <w:jc w:val="center"/>
      </w:pPr>
      <w:r>
        <w:rPr>
          <w:rFonts w:ascii="Georgia" w:cs="Georgia" w:eastAsia="Georgia" w:hAnsi="Georgia"/>
          <w:b w:val="false"/>
          <w:bCs w:val="false"/>
          <w:i w:val="false"/>
          <w:iCs w:val="false"/>
          <w:color w:val="6E6E6E"/>
          <w:sz w:val="18"/>
          <w:szCs w:val="18"/>
        </w:rPr>
        <w:t xml:space="preserve">Prepared by the</w:t>
      </w:r>
    </w:p>
    <w:p>
      <w:pPr>
        <w:spacing w:after="10"/>
        <w:jc w:val="center"/>
      </w:pPr>
      <w:r>
        <w:rPr>
          <w:rFonts w:ascii="Georgia" w:cs="Georgia" w:eastAsia="Georgia" w:hAnsi="Georgia"/>
          <w:b/>
          <w:bCs/>
          <w:i w:val="false"/>
          <w:iCs w:val="false"/>
          <w:color w:val="1F3864"/>
          <w:sz w:val="20"/>
          <w:szCs w:val="20"/>
        </w:rPr>
        <w:t xml:space="preserve">International Trade, Customs &amp; Corporate Advisory Practice</w:t>
      </w:r>
    </w:p>
    <w:p>
      <w:pPr>
        <w:spacing w:after="0"/>
        <w:jc w:val="center"/>
      </w:pPr>
      <w:r>
        <w:rPr>
          <w:rFonts w:ascii="Georgia" w:cs="Georgia" w:eastAsia="Georgia" w:hAnsi="Georgia"/>
          <w:b w:val="false"/>
          <w:bCs w:val="false"/>
          <w:i w:val="false"/>
          <w:iCs w:val="false"/>
          <w:color w:val="6E6E6E"/>
          <w:sz w:val="16"/>
          <w:szCs w:val="16"/>
        </w:rPr>
        <w:t xml:space="preserve">Cross-border Trade  ·  Customs &amp; Indirect Tax  ·  FEMA / RBI  ·  Corporate &amp; Commercial</w:t>
      </w:r>
    </w:p>
    <w:p>
      <w:r>
        <w:br w:type="page"/>
      </w:r>
    </w:p>
    <w:p>
      <w:pPr>
        <w:pStyle w:val="Heading1"/>
        <w:pBdr>
          <w:bottom w:val="single" w:color="1F3864" w:sz="10" w:space="6"/>
        </w:pBdr>
        <w:spacing w:after="160" w:before="340"/>
      </w:pPr>
      <w:r>
        <w:rPr>
          <w:rFonts w:ascii="Georgia" w:cs="Georgia" w:eastAsia="Georgia" w:hAnsi="Georgia"/>
          <w:b/>
          <w:bCs/>
          <w:i w:val="false"/>
          <w:iCs w:val="false"/>
          <w:color w:val="1F3864"/>
          <w:sz w:val="30"/>
          <w:szCs w:val="30"/>
        </w:rPr>
        <w:t xml:space="preserve">Contents</w:t>
      </w:r>
    </w:p>
    <w:p>
      <w:pPr>
        <w:spacing w:after="24" w:before="0"/>
        <w:ind w:left="300"/>
      </w:pPr>
      <w:r>
        <w:rPr>
          <w:rFonts w:ascii="Georgia" w:cs="Georgia" w:eastAsia="Georgia" w:hAnsi="Georgia"/>
          <w:b w:val="false"/>
          <w:bCs w:val="false"/>
          <w:i w:val="false"/>
          <w:iCs w:val="false"/>
          <w:color w:val="222222"/>
          <w:sz w:val="19"/>
          <w:szCs w:val="19"/>
        </w:rPr>
        <w:t xml:space="preserve">How to Read This Memorandum</w:t>
      </w:r>
    </w:p>
    <w:p>
      <w:pPr>
        <w:spacing w:after="24" w:before="0"/>
        <w:ind w:left="300"/>
      </w:pPr>
      <w:r>
        <w:rPr>
          <w:rFonts w:ascii="Georgia" w:cs="Georgia" w:eastAsia="Georgia" w:hAnsi="Georgia"/>
          <w:b w:val="false"/>
          <w:bCs w:val="false"/>
          <w:i w:val="false"/>
          <w:iCs w:val="false"/>
          <w:color w:val="222222"/>
          <w:sz w:val="19"/>
          <w:szCs w:val="19"/>
        </w:rPr>
        <w:t xml:space="preserve">Important Notice — Scope, Sources and Reliance</w:t>
      </w:r>
    </w:p>
    <w:p>
      <w:pPr>
        <w:spacing w:after="24" w:before="0"/>
        <w:ind w:left="300"/>
      </w:pPr>
      <w:r>
        <w:rPr>
          <w:rFonts w:ascii="Georgia" w:cs="Georgia" w:eastAsia="Georgia" w:hAnsi="Georgia"/>
          <w:b w:val="false"/>
          <w:bCs w:val="false"/>
          <w:i w:val="false"/>
          <w:iCs w:val="false"/>
          <w:color w:val="222222"/>
          <w:sz w:val="19"/>
          <w:szCs w:val="19"/>
        </w:rPr>
        <w:t xml:space="preserve">Executive Summary</w:t>
      </w:r>
    </w:p>
    <w:p>
      <w:pPr>
        <w:spacing w:after="40" w:before="100"/>
        <w:ind w:left="0"/>
      </w:pPr>
      <w:r>
        <w:rPr>
          <w:rFonts w:ascii="Georgia" w:cs="Georgia" w:eastAsia="Georgia" w:hAnsi="Georgia"/>
          <w:b/>
          <w:bCs/>
          <w:i w:val="false"/>
          <w:iCs w:val="false"/>
          <w:color w:val="1F3864"/>
          <w:sz w:val="21"/>
          <w:szCs w:val="21"/>
        </w:rPr>
        <w:t xml:space="preserve">Chapter 1 — The Pre-FTA Position (Before the India–UK CETA)</w:t>
      </w:r>
    </w:p>
    <w:p>
      <w:pPr>
        <w:spacing w:after="24" w:before="0"/>
        <w:ind w:left="300"/>
      </w:pPr>
      <w:r>
        <w:rPr>
          <w:rFonts w:ascii="Georgia" w:cs="Georgia" w:eastAsia="Georgia" w:hAnsi="Georgia"/>
          <w:b w:val="false"/>
          <w:bCs w:val="false"/>
          <w:i w:val="false"/>
          <w:iCs w:val="false"/>
          <w:color w:val="222222"/>
          <w:sz w:val="19"/>
          <w:szCs w:val="19"/>
        </w:rPr>
        <w:t xml:space="preserve">1.1  The common framework applying to all sectors</w:t>
      </w:r>
    </w:p>
    <w:p>
      <w:pPr>
        <w:spacing w:after="24" w:before="0"/>
        <w:ind w:left="300"/>
      </w:pPr>
      <w:r>
        <w:rPr>
          <w:rFonts w:ascii="Georgia" w:cs="Georgia" w:eastAsia="Georgia" w:hAnsi="Georgia"/>
          <w:b w:val="false"/>
          <w:bCs w:val="false"/>
          <w:i w:val="false"/>
          <w:iCs w:val="false"/>
          <w:color w:val="222222"/>
          <w:sz w:val="19"/>
          <w:szCs w:val="19"/>
        </w:rPr>
        <w:t xml:space="preserve">1.2  Sector baseline tables (exports and imports)</w:t>
      </w:r>
    </w:p>
    <w:p>
      <w:pPr>
        <w:spacing w:after="24" w:before="0"/>
        <w:ind w:left="300"/>
      </w:pPr>
      <w:r>
        <w:rPr>
          <w:rFonts w:ascii="Georgia" w:cs="Georgia" w:eastAsia="Georgia" w:hAnsi="Georgia"/>
          <w:b w:val="false"/>
          <w:bCs w:val="false"/>
          <w:i w:val="false"/>
          <w:iCs w:val="false"/>
          <w:color w:val="222222"/>
          <w:sz w:val="19"/>
          <w:szCs w:val="19"/>
        </w:rPr>
        <w:t xml:space="preserve">1.3  Consolidated pre-FTA pain points</w:t>
      </w:r>
    </w:p>
    <w:p>
      <w:pPr>
        <w:spacing w:after="40" w:before="100"/>
        <w:ind w:left="0"/>
      </w:pPr>
      <w:r>
        <w:rPr>
          <w:rFonts w:ascii="Georgia" w:cs="Georgia" w:eastAsia="Georgia" w:hAnsi="Georgia"/>
          <w:b/>
          <w:bCs/>
          <w:i w:val="false"/>
          <w:iCs w:val="false"/>
          <w:color w:val="1F3864"/>
          <w:sz w:val="21"/>
          <w:szCs w:val="21"/>
        </w:rPr>
        <w:t xml:space="preserve">Chapter 2 — The India–UK CETA: An Overview</w:t>
      </w:r>
    </w:p>
    <w:p>
      <w:pPr>
        <w:spacing w:after="40" w:before="100"/>
        <w:ind w:left="0"/>
      </w:pPr>
      <w:r>
        <w:rPr>
          <w:rFonts w:ascii="Georgia" w:cs="Georgia" w:eastAsia="Georgia" w:hAnsi="Georgia"/>
          <w:b/>
          <w:bCs/>
          <w:i w:val="false"/>
          <w:iCs w:val="false"/>
          <w:color w:val="1F3864"/>
          <w:sz w:val="21"/>
          <w:szCs w:val="21"/>
        </w:rPr>
        <w:t xml:space="preserve">Chapter 3 — What the CETA Changes (Sector by Sector)</w:t>
      </w:r>
    </w:p>
    <w:p>
      <w:pPr>
        <w:spacing w:after="24" w:before="0"/>
        <w:ind w:left="300"/>
      </w:pPr>
      <w:r>
        <w:rPr>
          <w:rFonts w:ascii="Georgia" w:cs="Georgia" w:eastAsia="Georgia" w:hAnsi="Georgia"/>
          <w:b w:val="false"/>
          <w:bCs w:val="false"/>
          <w:i w:val="false"/>
          <w:iCs w:val="false"/>
          <w:color w:val="222222"/>
          <w:sz w:val="19"/>
          <w:szCs w:val="19"/>
        </w:rPr>
        <w:t xml:space="preserve">3.1  The cross-cutting changes (with process flowcharts)</w:t>
      </w:r>
    </w:p>
    <w:p>
      <w:pPr>
        <w:spacing w:after="24" w:before="0"/>
        <w:ind w:left="300"/>
      </w:pPr>
      <w:r>
        <w:rPr>
          <w:rFonts w:ascii="Georgia" w:cs="Georgia" w:eastAsia="Georgia" w:hAnsi="Georgia"/>
          <w:b w:val="false"/>
          <w:bCs w:val="false"/>
          <w:i w:val="false"/>
          <w:iCs w:val="false"/>
          <w:color w:val="222222"/>
          <w:sz w:val="19"/>
          <w:szCs w:val="19"/>
        </w:rPr>
        <w:t xml:space="preserve">3.2  Sector change tables (before and after)</w:t>
      </w:r>
    </w:p>
    <w:p>
      <w:pPr>
        <w:spacing w:after="24" w:before="0"/>
        <w:ind w:left="300"/>
      </w:pPr>
      <w:r>
        <w:rPr>
          <w:rFonts w:ascii="Georgia" w:cs="Georgia" w:eastAsia="Georgia" w:hAnsi="Georgia"/>
          <w:b w:val="false"/>
          <w:bCs w:val="false"/>
          <w:i w:val="false"/>
          <w:iCs w:val="false"/>
          <w:color w:val="222222"/>
          <w:sz w:val="19"/>
          <w:szCs w:val="19"/>
        </w:rPr>
        <w:t xml:space="preserve">3.3  Transition and phase-in at a glance</w:t>
      </w:r>
    </w:p>
    <w:p>
      <w:pPr>
        <w:spacing w:after="40" w:before="100"/>
        <w:ind w:left="0"/>
      </w:pPr>
      <w:r>
        <w:rPr>
          <w:rFonts w:ascii="Georgia" w:cs="Georgia" w:eastAsia="Georgia" w:hAnsi="Georgia"/>
          <w:b/>
          <w:bCs/>
          <w:i w:val="false"/>
          <w:iCs w:val="false"/>
          <w:color w:val="1F3864"/>
          <w:sz w:val="21"/>
          <w:szCs w:val="21"/>
        </w:rPr>
        <w:t xml:space="preserve">The Eight Master Comparison Tables</w:t>
      </w:r>
    </w:p>
    <w:p>
      <w:pPr>
        <w:spacing w:after="24" w:before="0"/>
        <w:ind w:left="300"/>
      </w:pPr>
      <w:r>
        <w:rPr>
          <w:rFonts w:ascii="Georgia" w:cs="Georgia" w:eastAsia="Georgia" w:hAnsi="Georgia"/>
          <w:b w:val="false"/>
          <w:bCs w:val="false"/>
          <w:i w:val="false"/>
          <w:iCs w:val="false"/>
          <w:color w:val="222222"/>
          <w:sz w:val="19"/>
          <w:szCs w:val="19"/>
        </w:rPr>
        <w:t xml:space="preserve">Analysis: Key Commercial Changes, Client Action Points, Compliance Checklists</w:t>
      </w:r>
    </w:p>
    <w:p>
      <w:pPr>
        <w:spacing w:after="40" w:before="100"/>
        <w:ind w:left="0"/>
      </w:pPr>
      <w:r>
        <w:rPr>
          <w:rFonts w:ascii="Georgia" w:cs="Georgia" w:eastAsia="Georgia" w:hAnsi="Georgia"/>
          <w:b/>
          <w:bCs/>
          <w:i w:val="false"/>
          <w:iCs w:val="false"/>
          <w:color w:val="1F3864"/>
          <w:sz w:val="21"/>
          <w:szCs w:val="21"/>
        </w:rPr>
        <w:t xml:space="preserve">Final Chapter — Advisory Opportunities for Professional Advisers</w:t>
      </w:r>
    </w:p>
    <w:p>
      <w:pPr>
        <w:spacing w:after="40" w:before="100"/>
        <w:ind w:left="0"/>
      </w:pPr>
      <w:r>
        <w:rPr>
          <w:rFonts w:ascii="Georgia" w:cs="Georgia" w:eastAsia="Georgia" w:hAnsi="Georgia"/>
          <w:b/>
          <w:bCs/>
          <w:i w:val="false"/>
          <w:iCs w:val="false"/>
          <w:color w:val="1F3864"/>
          <w:sz w:val="21"/>
          <w:szCs w:val="21"/>
        </w:rPr>
        <w:t xml:space="preserve">Closing Note and Consolidated Compliance Checklist</w:t>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40" w:line="276"/>
              <w:jc w:val="left"/>
            </w:pPr>
            <w:r>
              <w:rPr>
                <w:rFonts w:ascii="Georgia" w:cs="Georgia" w:eastAsia="Georgia" w:hAnsi="Georgia"/>
                <w:b/>
                <w:bCs/>
                <w:i w:val="false"/>
                <w:iCs w:val="false"/>
                <w:color w:val="222222"/>
                <w:sz w:val="19"/>
                <w:szCs w:val="19"/>
              </w:rPr>
              <w:t xml:space="preserve">A note on format. </w:t>
            </w:r>
            <w:r>
              <w:rPr>
                <w:rFonts w:ascii="Georgia" w:cs="Georgia" w:eastAsia="Georgia" w:hAnsi="Georgia"/>
                <w:b w:val="false"/>
                <w:bCs w:val="false"/>
                <w:i w:val="false"/>
                <w:iCs w:val="false"/>
                <w:color w:val="222222"/>
                <w:sz w:val="19"/>
                <w:szCs w:val="19"/>
              </w:rPr>
              <w:t xml:space="preserve">This memorandum is deliberately table-led: duty figures, before-and-after positions and sector-specific requirements are consolidated into comparison tables so that the data — and, above all, the changes — can be read at a glance. Prose is used only to frame and explain the tables.</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How to Read This Memorandum</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explains, in plain business English, what the India–UK CETA means for companies that import goods and services from the United Kingdom into India, and for companies that export goods and services from India to the United Kingdom. It is written for business owners, finance teams, supply-chain managers and in-house counsel — not for trade lawyers.</w:t>
      </w:r>
    </w:p>
    <w:p>
      <w:pPr>
        <w:pStyle w:val="Heading2"/>
        <w:keepNext/>
        <w:spacing w:after="90" w:before="240"/>
      </w:pPr>
      <w:r>
        <w:rPr>
          <w:rFonts w:ascii="Georgia" w:cs="Georgia" w:eastAsia="Georgia" w:hAnsi="Georgia"/>
          <w:b/>
          <w:bCs/>
          <w:i w:val="false"/>
          <w:iCs w:val="false"/>
          <w:color w:val="2E4C7E"/>
          <w:sz w:val="24"/>
          <w:szCs w:val="24"/>
        </w:rPr>
        <w:t xml:space="preserve">The three questions this memorandum answers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What was the position </w:t>
      </w:r>
      <w:r>
        <w:rPr>
          <w:rFonts w:ascii="Georgia" w:cs="Georgia" w:eastAsia="Georgia" w:hAnsi="Georgia"/>
          <w:b w:val="false"/>
          <w:bCs w:val="false"/>
          <w:i w:val="false"/>
          <w:iCs w:val="false"/>
          <w:color w:val="222222"/>
          <w:sz w:val="21"/>
          <w:szCs w:val="21"/>
        </w:rPr>
        <w:t xml:space="preserve">before</w:t>
      </w:r>
      <w:r>
        <w:rPr>
          <w:rFonts w:ascii="Georgia" w:cs="Georgia" w:eastAsia="Georgia" w:hAnsi="Georgia"/>
          <w:b w:val="false"/>
          <w:bCs w:val="false"/>
          <w:i w:val="false"/>
          <w:iCs w:val="false"/>
          <w:color w:val="222222"/>
          <w:sz w:val="21"/>
          <w:szCs w:val="21"/>
        </w:rPr>
        <w:t xml:space="preserve"> the CETA (Chapter 1);</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What has </w:t>
      </w:r>
      <w:r>
        <w:rPr>
          <w:rFonts w:ascii="Georgia" w:cs="Georgia" w:eastAsia="Georgia" w:hAnsi="Georgia"/>
          <w:b/>
          <w:bCs/>
          <w:i w:val="false"/>
          <w:iCs w:val="false"/>
          <w:color w:val="222222"/>
          <w:sz w:val="21"/>
          <w:szCs w:val="21"/>
        </w:rPr>
        <w:t xml:space="preserve">changed</w:t>
      </w:r>
      <w:r>
        <w:rPr>
          <w:rFonts w:ascii="Georgia" w:cs="Georgia" w:eastAsia="Georgia" w:hAnsi="Georgia"/>
          <w:b w:val="false"/>
          <w:bCs w:val="false"/>
          <w:i w:val="false"/>
          <w:iCs w:val="false"/>
          <w:color w:val="222222"/>
          <w:sz w:val="21"/>
          <w:szCs w:val="21"/>
        </w:rPr>
        <w:t xml:space="preserve"> on and from 15 July 2026 (Chapters 2 and 3); and</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What has </w:t>
      </w:r>
      <w:r>
        <w:rPr>
          <w:rFonts w:ascii="Georgia" w:cs="Georgia" w:eastAsia="Georgia" w:hAnsi="Georgia"/>
          <w:b/>
          <w:bCs/>
          <w:i w:val="false"/>
          <w:iCs w:val="false"/>
          <w:color w:val="222222"/>
          <w:sz w:val="21"/>
          <w:szCs w:val="21"/>
        </w:rPr>
        <w:t xml:space="preserve">not</w:t>
      </w:r>
      <w:r>
        <w:rPr>
          <w:rFonts w:ascii="Georgia" w:cs="Georgia" w:eastAsia="Georgia" w:hAnsi="Georgia"/>
          <w:b w:val="false"/>
          <w:bCs w:val="false"/>
          <w:i w:val="false"/>
          <w:iCs w:val="false"/>
          <w:color w:val="222222"/>
          <w:sz w:val="21"/>
          <w:szCs w:val="21"/>
        </w:rPr>
        <w:t xml:space="preserve"> changed — domestic taxes, approvals and regulatory requirements that continue to apply.</w:t>
      </w:r>
    </w:p>
    <w:p>
      <w:pPr>
        <w:pStyle w:val="Heading2"/>
        <w:keepNext/>
        <w:spacing w:after="90" w:before="240"/>
      </w:pPr>
      <w:r>
        <w:rPr>
          <w:rFonts w:ascii="Georgia" w:cs="Georgia" w:eastAsia="Georgia" w:hAnsi="Georgia"/>
          <w:b/>
          <w:bCs/>
          <w:i w:val="false"/>
          <w:iCs w:val="false"/>
          <w:color w:val="2E4C7E"/>
          <w:sz w:val="24"/>
          <w:szCs w:val="24"/>
        </w:rPr>
        <w:t xml:space="preserve">How to use the tables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Chapter 1 tables</w:t>
      </w:r>
      <w:r>
        <w:rPr>
          <w:rFonts w:ascii="Georgia" w:cs="Georgia" w:eastAsia="Georgia" w:hAnsi="Georgia"/>
          <w:b w:val="false"/>
          <w:bCs w:val="false"/>
          <w:i w:val="false"/>
          <w:iCs w:val="false"/>
          <w:color w:val="222222"/>
          <w:sz w:val="21"/>
          <w:szCs w:val="21"/>
        </w:rPr>
        <w:t xml:space="preserve"> give the pre-FTA baseline for each sector — the old duty and the standing compliance requirements.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Chapter 3 tables</w:t>
      </w:r>
      <w:r>
        <w:rPr>
          <w:rFonts w:ascii="Georgia" w:cs="Georgia" w:eastAsia="Georgia" w:hAnsi="Georgia"/>
          <w:b w:val="false"/>
          <w:bCs w:val="false"/>
          <w:i w:val="false"/>
          <w:iCs w:val="false"/>
          <w:color w:val="222222"/>
          <w:sz w:val="21"/>
          <w:szCs w:val="21"/>
        </w:rPr>
        <w:t xml:space="preserve"> show the change in adjacent columns (pre-FTA duty → post-FTA duty) plus the new obligation — read these to see what is different.</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The eight Master Tables</w:t>
      </w:r>
      <w:r>
        <w:rPr>
          <w:rFonts w:ascii="Georgia" w:cs="Georgia" w:eastAsia="Georgia" w:hAnsi="Georgia"/>
          <w:b w:val="false"/>
          <w:bCs w:val="false"/>
          <w:i w:val="false"/>
          <w:iCs w:val="false"/>
          <w:color w:val="222222"/>
          <w:sz w:val="21"/>
          <w:szCs w:val="21"/>
        </w:rPr>
        <w:t xml:space="preserve"> are the formal four-column reference (Category | Duty / Market Access | Compliance | Source), with the analysis, action points and checklists after them.</w:t>
      </w:r>
    </w:p>
    <w:p>
      <w:pPr>
        <w:pStyle w:val="Heading2"/>
        <w:keepNext/>
        <w:spacing w:after="90" w:before="240"/>
      </w:pPr>
      <w:r>
        <w:rPr>
          <w:rFonts w:ascii="Georgia" w:cs="Georgia" w:eastAsia="Georgia" w:hAnsi="Georgia"/>
          <w:b/>
          <w:bCs/>
          <w:i w:val="false"/>
          <w:iCs w:val="false"/>
          <w:color w:val="2E4C7E"/>
          <w:sz w:val="24"/>
          <w:szCs w:val="24"/>
        </w:rPr>
        <w:t xml:space="preserve">The call-out boxes used throughout</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The single most important point in a section — read these if you read nothing else.</w:t>
            </w:r>
          </w:p>
        </w:tc>
      </w:tr>
    </w:tbl>
    <w:p>
      <w:pPr>
        <w:spacing w:after="60"/>
      </w:pPr>
      <w:r>
        <w:rPr>
          <w:rFonts w:ascii="Georgia" w:cs="Georgia" w:eastAsia="Georgia" w:hAnsi="Georgia"/>
          <w:b w:val="false"/>
          <w:bCs w:val="false"/>
          <w:i w:val="false"/>
          <w:iCs w:val="false"/>
          <w:color w:val="222222"/>
          <w:sz w:val="21"/>
          <w:szCs w:val="21"/>
        </w:rPr>
        <w:t xml:space="preserve"/>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What a change means in day-to-day commercial terms — pricing, sourcing, cash flow or paperwork.</w:t>
            </w:r>
          </w:p>
        </w:tc>
      </w:tr>
    </w:tbl>
    <w:p>
      <w:pPr>
        <w:spacing w:after="60"/>
      </w:pPr>
      <w:r>
        <w:rPr>
          <w:rFonts w:ascii="Georgia" w:cs="Georgia" w:eastAsia="Georgia" w:hAnsi="Georgia"/>
          <w:b w:val="false"/>
          <w:bCs w:val="false"/>
          <w:i w:val="false"/>
          <w:iCs w:val="false"/>
          <w:color w:val="222222"/>
          <w:sz w:val="21"/>
          <w:szCs w:val="21"/>
        </w:rPr>
        <w:t xml:space="preserve"/>
      </w:r>
    </w:p>
    <w:tbl>
      <w:tblPr>
        <w:tblW w:type="dxa" w:w="9026"/>
        <w:tblBorders>
          <w:top w:val="single" w:color="EAF3EC" w:sz="2"/>
          <w:left w:val="single" w:color="3C7D52" w:sz="30"/>
          <w:bottom w:val="single" w:color="EAF3EC" w:sz="2"/>
          <w:right w:val="single" w:color="EAF3EC" w:sz="2"/>
          <w:insideH w:val="none"/>
          <w:insideV w:val="none"/>
        </w:tblBorders>
      </w:tblPr>
      <w:tblGrid>
        <w:gridCol w:w="9026"/>
      </w:tblGrid>
      <w:tr>
        <w:tc>
          <w:tcPr>
            <w:tcW w:type="dxa" w:w="9026"/>
            <w:shd w:fill="EAF3EC" w:color="auto" w:val="clear"/>
            <w:tcMar>
              <w:top w:type="dxa" w:w="130"/>
              <w:left w:type="dxa" w:w="220"/>
              <w:bottom w:type="dxa" w:w="130"/>
              <w:right w:type="dxa" w:w="200"/>
            </w:tcMar>
          </w:tcPr>
          <w:p>
            <w:pPr>
              <w:spacing w:after="60"/>
            </w:pPr>
            <w:r>
              <w:rPr>
                <w:rFonts w:ascii="Georgia" w:cs="Georgia" w:eastAsia="Georgia" w:hAnsi="Georgia"/>
                <w:b/>
                <w:bCs/>
                <w:i w:val="false"/>
                <w:iCs w:val="false"/>
                <w:color w:val="3C7D52"/>
                <w:sz w:val="17"/>
                <w:szCs w:val="17"/>
              </w:rPr>
              <w:t xml:space="preserve">CLIENT TIP</w:t>
            </w:r>
          </w:p>
          <w:p>
            <w:pPr>
              <w:spacing w:after="40" w:line="276"/>
              <w:jc w:val="left"/>
            </w:pPr>
            <w:r>
              <w:rPr>
                <w:rFonts w:ascii="Georgia" w:cs="Georgia" w:eastAsia="Georgia" w:hAnsi="Georgia"/>
                <w:b w:val="false"/>
                <w:bCs w:val="false"/>
                <w:i w:val="false"/>
                <w:iCs w:val="false"/>
                <w:color w:val="222222"/>
                <w:sz w:val="20"/>
                <w:szCs w:val="20"/>
              </w:rPr>
              <w:t xml:space="preserve">A practical suggestion on how to capture a benefit or avoid a pitfall.</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Important Notice — Scope, Sources and Reliance</w:t>
      </w:r>
    </w:p>
    <w:p>
      <w:pPr>
        <w:pStyle w:val="Heading3"/>
        <w:keepNext/>
        <w:spacing w:after="60" w:before="170"/>
      </w:pPr>
      <w:r>
        <w:rPr>
          <w:rFonts w:ascii="Georgia" w:cs="Georgia" w:eastAsia="Georgia" w:hAnsi="Georgia"/>
          <w:b/>
          <w:bCs/>
          <w:i w:val="false"/>
          <w:iCs w:val="false"/>
          <w:color w:val="2E4C7E"/>
          <w:sz w:val="21"/>
          <w:szCs w:val="21"/>
        </w:rPr>
        <w:t xml:space="preserve">Nature of this document</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is a general information document. It is not legal, tax, customs, regulatory or financial advice, and it does not create any adviser–client relationship. The classification of a product, the origin of its inputs, the structure of a transaction and the applicable regulatory regime can each change the outcome materially. Obtain advice tailored to your specific facts before acting.</w:t>
      </w:r>
    </w:p>
    <w:p>
      <w:pPr>
        <w:pStyle w:val="Heading3"/>
        <w:keepNext/>
        <w:spacing w:after="60" w:before="170"/>
      </w:pPr>
      <w:r>
        <w:rPr>
          <w:rFonts w:ascii="Georgia" w:cs="Georgia" w:eastAsia="Georgia" w:hAnsi="Georgia"/>
          <w:b/>
          <w:bCs/>
          <w:i w:val="false"/>
          <w:iCs w:val="false"/>
          <w:color w:val="2E4C7E"/>
          <w:sz w:val="21"/>
          <w:szCs w:val="21"/>
        </w:rPr>
        <w:t xml:space="preserve">Timing</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is issued as at 15 July 2026 — the date the CETA and the Double Contribution Convention enter into force. Implementing instruments on the Indian side (CBIC customs notifications, DGFT procedures) and on the UK side are still being issued and refined; positions may be supplemented as those instruments are published.</w:t>
      </w:r>
    </w:p>
    <w:p>
      <w:pPr>
        <w:pStyle w:val="Heading3"/>
        <w:keepNext/>
        <w:spacing w:after="60" w:before="170"/>
      </w:pPr>
      <w:r>
        <w:rPr>
          <w:rFonts w:ascii="Georgia" w:cs="Georgia" w:eastAsia="Georgia" w:hAnsi="Georgia"/>
          <w:b/>
          <w:bCs/>
          <w:i w:val="false"/>
          <w:iCs w:val="false"/>
          <w:color w:val="2E4C7E"/>
          <w:sz w:val="21"/>
          <w:szCs w:val="21"/>
        </w:rPr>
        <w:t xml:space="preserve">Sources and cross-references</w:t>
      </w:r>
    </w:p>
    <w:p>
      <w:pPr>
        <w:spacing w:after="150" w:before="0" w:line="288"/>
        <w:jc w:val="both"/>
      </w:pPr>
      <w:r>
        <w:rPr>
          <w:rFonts w:ascii="Georgia" w:cs="Georgia" w:eastAsia="Georgia" w:hAnsi="Georgia"/>
          <w:b w:val="false"/>
          <w:bCs w:val="false"/>
          <w:i w:val="false"/>
          <w:iCs w:val="false"/>
          <w:color w:val="222222"/>
          <w:sz w:val="21"/>
          <w:szCs w:val="21"/>
        </w:rPr>
        <w:t xml:space="preserve">Figures are drawn from official and authoritative sources: the Press Information Bureau (PIB) (entry-into-force release, Release ID 2274280, 17 June 2026; CETA backgrounder, 29 July 2025); the Ministry of Commerce &amp; Industry (commerce.gov.in); GOV.UK / HMRC and the UK Department for Business and Trade (DBT) India factsheet (23 June 2026); and the MVIRDC World Trade Center (WTC) Mumbai Report on the India–UK FTA (2025). The Agreement text, tariff schedules and product-specific rules of origin (Annex 3A) published by the Department of Commerce and GOV.UK are controlling. Where a precise Article or agreement page could not be verified from the materials available, we cite the relevant Chapter, Annex, schedule, notification or publication and flag it for confirmation against the Agreement text rather than state a reference we cannot verify.</w:t>
      </w:r>
    </w:p>
    <w:p>
      <w:pPr>
        <w:pStyle w:val="Heading3"/>
        <w:keepNext/>
        <w:spacing w:after="60" w:before="170"/>
      </w:pPr>
      <w:r>
        <w:rPr>
          <w:rFonts w:ascii="Georgia" w:cs="Georgia" w:eastAsia="Georgia" w:hAnsi="Georgia"/>
          <w:b/>
          <w:bCs/>
          <w:i w:val="false"/>
          <w:iCs w:val="false"/>
          <w:color w:val="2E4C7E"/>
          <w:sz w:val="21"/>
          <w:szCs w:val="21"/>
        </w:rPr>
        <w:t xml:space="preserve">A note on the numbers</w:t>
      </w:r>
    </w:p>
    <w:p>
      <w:pPr>
        <w:spacing w:after="150" w:before="0" w:line="288"/>
        <w:jc w:val="both"/>
      </w:pPr>
      <w:r>
        <w:rPr>
          <w:rFonts w:ascii="Georgia" w:cs="Georgia" w:eastAsia="Georgia" w:hAnsi="Georgia"/>
          <w:b w:val="false"/>
          <w:bCs w:val="false"/>
          <w:i w:val="false"/>
          <w:iCs w:val="false"/>
          <w:color w:val="222222"/>
          <w:sz w:val="21"/>
          <w:szCs w:val="21"/>
        </w:rPr>
        <w:t xml:space="preserve">Statistics are reported on different bases (India in US dollars, the UK in pounds sterling; calendar- vs financial-year; goods-only vs goods-and-services). Tariff rates in the tables are indicative peak or headline rates from the cited sources; the exact line-by-line rate for any product must be confirmed against the tariff schedule for the correct HS code.</w:t>
      </w:r>
    </w:p>
    <w:p>
      <w:pPr>
        <w:pStyle w:val="Heading3"/>
        <w:keepNext/>
        <w:spacing w:after="60" w:before="170"/>
      </w:pPr>
      <w:r>
        <w:rPr>
          <w:rFonts w:ascii="Georgia" w:cs="Georgia" w:eastAsia="Georgia" w:hAnsi="Georgia"/>
          <w:b/>
          <w:bCs/>
          <w:i w:val="false"/>
          <w:iCs w:val="false"/>
          <w:color w:val="2E4C7E"/>
          <w:sz w:val="21"/>
          <w:szCs w:val="21"/>
        </w:rPr>
        <w:t xml:space="preserve">Confidentiality</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is confidential and provided for the internal use of the recipient business and its advisers. It should not be circulated externally or relied upon by any third party without consent.</w:t>
      </w:r>
    </w:p>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Executive Summary</w:t>
      </w:r>
    </w:p>
    <w:p>
      <w:pPr>
        <w:spacing w:after="150" w:before="0" w:line="288"/>
        <w:jc w:val="both"/>
      </w:pPr>
      <w:r>
        <w:rPr>
          <w:rFonts w:ascii="Georgia" w:cs="Georgia" w:eastAsia="Georgia" w:hAnsi="Georgia"/>
          <w:b w:val="false"/>
          <w:bCs w:val="false"/>
          <w:i w:val="false"/>
          <w:iCs w:val="false"/>
          <w:color w:val="222222"/>
          <w:sz w:val="21"/>
          <w:szCs w:val="21"/>
        </w:rPr>
        <w:t xml:space="preserve">On 15 July 2026 the India–United Kingdom Comprehensive Economic and Trade Agreement (CETA) and its companion Agreement on Social Security (the Double Contribution Convention, or DCC) </w:t>
      </w:r>
      <w:r>
        <w:rPr>
          <w:rFonts w:ascii="Georgia" w:cs="Georgia" w:eastAsia="Georgia" w:hAnsi="Georgia"/>
          <w:b/>
          <w:bCs/>
          <w:i w:val="false"/>
          <w:iCs w:val="false"/>
          <w:color w:val="222222"/>
          <w:sz w:val="21"/>
          <w:szCs w:val="21"/>
        </w:rPr>
        <w:t xml:space="preserve">enter into force</w:t>
      </w:r>
      <w:r>
        <w:rPr>
          <w:rFonts w:ascii="Georgia" w:cs="Georgia" w:eastAsia="Georgia" w:hAnsi="Georgia"/>
          <w:b w:val="false"/>
          <w:bCs w:val="false"/>
          <w:i w:val="false"/>
          <w:iCs w:val="false"/>
          <w:color w:val="222222"/>
          <w:sz w:val="21"/>
          <w:szCs w:val="21"/>
        </w:rPr>
        <w:t xml:space="preserve">. It is India's most comprehensive free trade agreement with a G7 economy and the UK's most significant bilateral trade agreement since it left the European Union — 30 chapters covering goods, services, investment, digital trade, intellectual property, government procurement, mobility and sustainability (PIB, Release ID 2274280).</w:t>
      </w:r>
    </w:p>
    <w:p>
      <w:pPr>
        <w:spacing w:after="150" w:before="0" w:line="288"/>
        <w:jc w:val="both"/>
      </w:pPr>
      <w:r>
        <w:rPr>
          <w:rFonts w:ascii="Georgia" w:cs="Georgia" w:eastAsia="Georgia" w:hAnsi="Georgia"/>
          <w:b w:val="false"/>
          <w:bCs w:val="false"/>
          <w:i w:val="false"/>
          <w:iCs w:val="false"/>
          <w:color w:val="222222"/>
          <w:sz w:val="21"/>
          <w:szCs w:val="21"/>
        </w:rPr>
        <w:t xml:space="preserve">The cost of trading goods across the corridor falls sharply, and the process is meant to get faster. But the tariff savings are conditional: they apply only to goods that qualify as Indian- or UK-origin under the Rules of Origin, properly declared and documented. Capturing the benefit is a compliance exercise, not an automatic entitlement.</w:t>
      </w:r>
    </w:p>
    <w:p>
      <w:pPr>
        <w:keepNext/>
        <w:spacing w:after="60" w:before="60"/>
      </w:pPr>
      <w:r>
        <w:rPr>
          <w:rFonts w:ascii="Georgia" w:cs="Georgia" w:eastAsia="Georgia" w:hAnsi="Georgia"/>
          <w:b/>
          <w:bCs/>
          <w:i w:val="false"/>
          <w:iCs w:val="false"/>
          <w:color w:val="1F3864"/>
          <w:sz w:val="19"/>
          <w:szCs w:val="19"/>
        </w:rPr>
        <w:t xml:space="preserve">Table ES-1  ·  The Agreement at a glance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350"/>
        <w:gridCol w:w="6676"/>
      </w:tblGrid>
      <w:tr>
        <w:trPr>
          <w:tblHeader/>
        </w:trPr>
        <w:tc>
          <w:tcPr>
            <w:tcW w:type="dxa" w:w="23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Feature</w:t>
            </w:r>
          </w:p>
        </w:tc>
        <w:tc>
          <w:tcPr>
            <w:tcW w:type="dxa" w:w="667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What it means for your business</w:t>
            </w:r>
          </w:p>
        </w:tc>
      </w:tr>
      <w:tr>
        <w:tc>
          <w:tcPr>
            <w:tcW w:type="dxa" w:w="23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8"/>
                <w:szCs w:val="18"/>
              </w:rPr>
              <w:t xml:space="preserve">Tariffs — exports to the UK</w:t>
            </w:r>
          </w:p>
        </w:tc>
        <w:tc>
          <w:tcPr>
            <w:tcW w:type="dxa" w:w="66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8"/>
                <w:szCs w:val="18"/>
              </w:rPr>
              <w:t xml:space="preserve">UK removes duties on ~99% of Indian tariff lines from day one (~100% of export value). High-duty sectors — processed food (up to 70%), marine (up to 21.5%), engineering/auto components (up to 18%), leather/footwear (up to 16%), textiles/clothing (up to 12%), chemicals/pharma (up to 8%) — move to zero.</w:t>
            </w:r>
          </w:p>
        </w:tc>
      </w:tr>
      <w:tr>
        <w:tc>
          <w:tcPr>
            <w:tcW w:type="dxa" w:w="23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8"/>
                <w:szCs w:val="18"/>
              </w:rPr>
              <w:t xml:space="preserve">Tariffs — imports from the UK</w:t>
            </w:r>
          </w:p>
        </w:tc>
        <w:tc>
          <w:tcPr>
            <w:tcW w:type="dxa" w:w="66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8"/>
                <w:szCs w:val="18"/>
              </w:rPr>
              <w:t xml:space="preserve">India opens ~89.5% of tariff lines (~91% of UK exports); ~24.5% of value duty-free immediately, the rest phased over 5/7/10 years. Sensitive farm and strategic lines excluded.</w:t>
            </w:r>
          </w:p>
        </w:tc>
      </w:tr>
      <w:tr>
        <w:tc>
          <w:tcPr>
            <w:tcW w:type="dxa" w:w="23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8"/>
                <w:szCs w:val="18"/>
              </w:rPr>
              <w:t xml:space="preserve">The key condition</w:t>
            </w:r>
          </w:p>
        </w:tc>
        <w:tc>
          <w:tcPr>
            <w:tcW w:type="dxa" w:w="66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8"/>
                <w:szCs w:val="18"/>
              </w:rPr>
              <w:t xml:space="preserve">Duty savings apply only to goods qualifying under Rules of Origin (Annex 3A). Origin is largely self-certified — a simplification that shifts the record-keeping burden onto the trader.</w:t>
            </w:r>
          </w:p>
        </w:tc>
      </w:tr>
      <w:tr>
        <w:tc>
          <w:tcPr>
            <w:tcW w:type="dxa" w:w="23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8"/>
                <w:szCs w:val="18"/>
              </w:rPr>
              <w:t xml:space="preserve">Services &amp; mobility</w:t>
            </w:r>
          </w:p>
        </w:tc>
        <w:tc>
          <w:tcPr>
            <w:tcW w:type="dxa" w:w="66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8"/>
                <w:szCs w:val="18"/>
              </w:rPr>
              <w:t xml:space="preserve">UK opens 137 sub-sectors; assured entry for business visitors, intra-corporate transferees, contractual suppliers, independent professionals and investors; dedicated annual quota of 1,800 for chefs, yoga instructors and musicians.</w:t>
            </w:r>
          </w:p>
        </w:tc>
      </w:tr>
      <w:tr>
        <w:tc>
          <w:tcPr>
            <w:tcW w:type="dxa" w:w="23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8"/>
                <w:szCs w:val="18"/>
              </w:rPr>
              <w:t xml:space="preserve">Social security (DCC)</w:t>
            </w:r>
          </w:p>
        </w:tc>
        <w:tc>
          <w:tcPr>
            <w:tcW w:type="dxa" w:w="66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8"/>
                <w:szCs w:val="18"/>
              </w:rPr>
              <w:t xml:space="preserve">Indian professionals on temporary UK assignments — and employers — exempt from UK social security for up to five years (up from three). A Certificate of Coverage is required.</w:t>
            </w:r>
          </w:p>
        </w:tc>
      </w:tr>
      <w:tr>
        <w:tc>
          <w:tcPr>
            <w:tcW w:type="dxa" w:w="23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8"/>
                <w:szCs w:val="18"/>
              </w:rPr>
              <w:t xml:space="preserve">Faster customs</w:t>
            </w:r>
          </w:p>
        </w:tc>
        <w:tc>
          <w:tcPr>
            <w:tcW w:type="dxa" w:w="66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8"/>
                <w:szCs w:val="18"/>
              </w:rPr>
              <w:t xml:space="preserve">Simplified, digital, paperless customs; AEO fast-tracking; quicker release of compliant goods.</w:t>
            </w:r>
          </w:p>
        </w:tc>
      </w:tr>
      <w:tr>
        <w:tc>
          <w:tcPr>
            <w:tcW w:type="dxa" w:w="23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8"/>
                <w:szCs w:val="18"/>
              </w:rPr>
              <w:t xml:space="preserve">What has NOT changed</w:t>
            </w:r>
          </w:p>
        </w:tc>
        <w:tc>
          <w:tcPr>
            <w:tcW w:type="dxa" w:w="66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8"/>
                <w:szCs w:val="18"/>
              </w:rPr>
              <w:t xml:space="preserve">Indian GST (IGST) on imports; product approvals (BIS, FSSAI, CDSCO); the FEMA / RBI framework; UK product standards (UKCA/CE, UK REACH) and SPS controls. CETA lowers tariffs and eases process — it does not switch off domestic compliance.</w:t>
            </w:r>
          </w:p>
        </w:tc>
      </w:tr>
    </w:tbl>
    <w:p>
      <w:pPr>
        <w:spacing w:after="120" w:before="40"/>
      </w:pPr>
      <w:r>
        <w:rPr>
          <w:rFonts w:ascii="Georgia" w:cs="Georgia" w:eastAsia="Georgia" w:hAnsi="Georgia"/>
          <w:b w:val="false"/>
          <w:bCs w:val="false"/>
          <w:i/>
          <w:iCs/>
          <w:color w:val="6E6E6E"/>
          <w:sz w:val="16"/>
          <w:szCs w:val="16"/>
        </w:rPr>
        <w:t xml:space="preserve">Sources: PIB Release ID 2274280 (17 June 2026); PIB Backgrounder (29 July 2025); UK DBT India Factsheet (23 June 2026).</w:t>
      </w:r>
    </w:p>
    <w:p>
      <w:pPr>
        <w:pStyle w:val="Heading2"/>
        <w:keepNext/>
        <w:spacing w:after="90" w:before="240"/>
      </w:pPr>
      <w:r>
        <w:rPr>
          <w:rFonts w:ascii="Georgia" w:cs="Georgia" w:eastAsia="Georgia" w:hAnsi="Georgia"/>
          <w:b/>
          <w:bCs/>
          <w:i w:val="false"/>
          <w:iCs w:val="false"/>
          <w:color w:val="2E4C7E"/>
          <w:sz w:val="24"/>
          <w:szCs w:val="24"/>
        </w:rPr>
        <w:t xml:space="preserve">What you should be doing now</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Confirm the HS classification</w:t>
      </w:r>
      <w:r>
        <w:rPr>
          <w:rFonts w:ascii="Georgia" w:cs="Georgia" w:eastAsia="Georgia" w:hAnsi="Georgia"/>
          <w:b w:val="false"/>
          <w:bCs w:val="false"/>
          <w:i w:val="false"/>
          <w:iCs w:val="false"/>
          <w:color w:val="222222"/>
          <w:sz w:val="21"/>
          <w:szCs w:val="21"/>
        </w:rPr>
        <w:t xml:space="preserve"> of each product — the tariff outcome and the origin rule both turn on it;</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Test Rules-of-Origin eligibility</w:t>
      </w:r>
      <w:r>
        <w:rPr>
          <w:rFonts w:ascii="Georgia" w:cs="Georgia" w:eastAsia="Georgia" w:hAnsi="Georgia"/>
          <w:b w:val="false"/>
          <w:bCs w:val="false"/>
          <w:i w:val="false"/>
          <w:iCs w:val="false"/>
          <w:color w:val="222222"/>
          <w:sz w:val="21"/>
          <w:szCs w:val="21"/>
        </w:rPr>
        <w:t xml:space="preserve"> against Annex 3A and gather supplier declarations;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Put origin self-certification and record-keeping in place</w:t>
      </w:r>
      <w:r>
        <w:rPr>
          <w:rFonts w:ascii="Georgia" w:cs="Georgia" w:eastAsia="Georgia" w:hAnsi="Georgia"/>
          <w:b w:val="false"/>
          <w:bCs w:val="false"/>
          <w:i w:val="false"/>
          <w:iCs w:val="false"/>
          <w:color w:val="222222"/>
          <w:sz w:val="21"/>
          <w:szCs w:val="21"/>
        </w:rPr>
        <w:t xml:space="preserve"> (able to survive a later verification);</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Re-price and revisit contracts</w:t>
      </w:r>
      <w:r>
        <w:rPr>
          <w:rFonts w:ascii="Georgia" w:cs="Georgia" w:eastAsia="Georgia" w:hAnsi="Georgia"/>
          <w:b w:val="false"/>
          <w:bCs w:val="false"/>
          <w:i w:val="false"/>
          <w:iCs w:val="false"/>
          <w:color w:val="222222"/>
          <w:sz w:val="21"/>
          <w:szCs w:val="21"/>
        </w:rPr>
        <w:t xml:space="preserve">, Incoterms and duty-bearing clauses;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Plan the customs and GST position</w:t>
      </w:r>
      <w:r>
        <w:rPr>
          <w:rFonts w:ascii="Georgia" w:cs="Georgia" w:eastAsia="Georgia" w:hAnsi="Georgia"/>
          <w:b w:val="false"/>
          <w:bCs w:val="false"/>
          <w:i w:val="false"/>
          <w:iCs w:val="false"/>
          <w:color w:val="222222"/>
          <w:sz w:val="21"/>
          <w:szCs w:val="21"/>
        </w:rPr>
        <w:t xml:space="preserve"> — landed cost, valuation and input-tax-credit;</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Set up the DCC process</w:t>
      </w:r>
      <w:r>
        <w:rPr>
          <w:rFonts w:ascii="Georgia" w:cs="Georgia" w:eastAsia="Georgia" w:hAnsi="Georgia"/>
          <w:b w:val="false"/>
          <w:bCs w:val="false"/>
          <w:i w:val="false"/>
          <w:iCs w:val="false"/>
          <w:color w:val="222222"/>
          <w:sz w:val="21"/>
          <w:szCs w:val="21"/>
        </w:rPr>
        <w:t xml:space="preserve"> for staff on UK assignments (Certificate of Coverage; payroll).</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The CETA does not reduce your duty automatically. It gives you the </w:t>
            </w:r>
            <w:r>
              <w:rPr>
                <w:rFonts w:ascii="Georgia" w:cs="Georgia" w:eastAsia="Georgia" w:hAnsi="Georgia"/>
                <w:b/>
                <w:bCs/>
                <w:i w:val="false"/>
                <w:iCs w:val="false"/>
                <w:color w:val="222222"/>
                <w:sz w:val="20"/>
                <w:szCs w:val="20"/>
              </w:rPr>
              <w:t xml:space="preserve">right</w:t>
            </w:r>
            <w:r>
              <w:rPr>
                <w:rFonts w:ascii="Georgia" w:cs="Georgia" w:eastAsia="Georgia" w:hAnsi="Georgia"/>
                <w:b w:val="false"/>
                <w:bCs w:val="false"/>
                <w:i w:val="false"/>
                <w:iCs w:val="false"/>
                <w:color w:val="222222"/>
                <w:sz w:val="20"/>
                <w:szCs w:val="20"/>
              </w:rPr>
              <w:t xml:space="preserve"> to a lower duty </w:t>
            </w:r>
            <w:r>
              <w:rPr>
                <w:rFonts w:ascii="Georgia" w:cs="Georgia" w:eastAsia="Georgia" w:hAnsi="Georgia"/>
                <w:b w:val="false"/>
                <w:bCs w:val="false"/>
                <w:i/>
                <w:iCs/>
                <w:color w:val="222222"/>
                <w:sz w:val="20"/>
                <w:szCs w:val="20"/>
              </w:rPr>
              <w:t xml:space="preserve">if</w:t>
            </w:r>
            <w:r>
              <w:rPr>
                <w:rFonts w:ascii="Georgia" w:cs="Georgia" w:eastAsia="Georgia" w:hAnsi="Georgia"/>
                <w:b w:val="false"/>
                <w:bCs w:val="false"/>
                <w:i w:val="false"/>
                <w:iCs w:val="false"/>
                <w:color w:val="222222"/>
                <w:sz w:val="20"/>
                <w:szCs w:val="20"/>
              </w:rPr>
              <w:t xml:space="preserve"> your goods qualify under the Rules of Origin and you follow the customs and documentary steps.</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Chapter 1 — The Pre-FTA Position (Before the India–UK CETA)</w:t>
      </w:r>
    </w:p>
    <w:p>
      <w:pPr>
        <w:spacing w:after="150" w:before="0" w:line="288"/>
        <w:jc w:val="both"/>
      </w:pPr>
      <w:r>
        <w:rPr>
          <w:rFonts w:ascii="Georgia" w:cs="Georgia" w:eastAsia="Georgia" w:hAnsi="Georgia"/>
          <w:b w:val="false"/>
          <w:bCs w:val="false"/>
          <w:i w:val="false"/>
          <w:iCs w:val="false"/>
          <w:color w:val="222222"/>
          <w:sz w:val="21"/>
          <w:szCs w:val="21"/>
        </w:rPr>
        <w:t xml:space="preserve">This chapter sets out the position that applied up to 14 July 2026 — the baseline against which every change is measured. Section 1.1 explains the common framework and tabulates the regulatory regimes; section 1.2 consolidates the sector baseline into two tables (one per direction); section 1.3 summarises the pain points the CETA is designed to solve.</w:t>
      </w:r>
    </w:p>
    <w:p>
      <w:pPr>
        <w:pStyle w:val="Heading2"/>
        <w:keepNext/>
        <w:spacing w:after="90" w:before="240"/>
      </w:pPr>
      <w:r>
        <w:rPr>
          <w:rFonts w:ascii="Georgia" w:cs="Georgia" w:eastAsia="Georgia" w:hAnsi="Georgia"/>
          <w:b/>
          <w:bCs/>
          <w:i w:val="false"/>
          <w:iCs w:val="false"/>
          <w:color w:val="2E4C7E"/>
          <w:sz w:val="24"/>
          <w:szCs w:val="24"/>
        </w:rPr>
        <w:t xml:space="preserve">1.1  The common framework applying to all sectors</w:t>
      </w:r>
    </w:p>
    <w:p>
      <w:pPr>
        <w:pStyle w:val="Heading3"/>
        <w:keepNext/>
        <w:spacing w:after="60" w:before="170"/>
      </w:pPr>
      <w:r>
        <w:rPr>
          <w:rFonts w:ascii="Georgia" w:cs="Georgia" w:eastAsia="Georgia" w:hAnsi="Georgia"/>
          <w:b/>
          <w:bCs/>
          <w:i w:val="false"/>
          <w:iCs w:val="false"/>
          <w:color w:val="2E4C7E"/>
          <w:sz w:val="21"/>
          <w:szCs w:val="21"/>
        </w:rPr>
        <w:t xml:space="preserve">1.1.1  The starting point: no preferential access</w:t>
      </w:r>
    </w:p>
    <w:p>
      <w:pPr>
        <w:spacing w:after="150" w:before="0" w:line="288"/>
        <w:jc w:val="both"/>
      </w:pPr>
      <w:r>
        <w:rPr>
          <w:rFonts w:ascii="Georgia" w:cs="Georgia" w:eastAsia="Georgia" w:hAnsi="Georgia"/>
          <w:b w:val="false"/>
          <w:bCs w:val="false"/>
          <w:i w:val="false"/>
          <w:iCs w:val="false"/>
          <w:color w:val="222222"/>
          <w:sz w:val="21"/>
          <w:szCs w:val="21"/>
        </w:rPr>
        <w:t xml:space="preserve">Until 15 July 2026 there was no free trade agreement between India and the UK. Goods moved in both directions at ordinary, non-preferential (MFN) duty, subject to each country's tariff and its full suite of non-tariff requirements. The only preferential element was a limited, one-way UK scheme for developing countries (below), which did not cover the bulk of India's competitive exports and was being withdrawn on India's key lines from January 2026.</w:t>
      </w:r>
    </w:p>
    <w:p>
      <w:pPr>
        <w:pStyle w:val="Heading3"/>
        <w:keepNext/>
        <w:spacing w:after="60" w:before="170"/>
      </w:pPr>
      <w:r>
        <w:rPr>
          <w:rFonts w:ascii="Georgia" w:cs="Georgia" w:eastAsia="Georgia" w:hAnsi="Georgia"/>
          <w:b/>
          <w:bCs/>
          <w:i w:val="false"/>
          <w:iCs w:val="false"/>
          <w:color w:val="2E4C7E"/>
          <w:sz w:val="21"/>
          <w:szCs w:val="21"/>
        </w:rPr>
        <w:t xml:space="preserve">1.1.2  Exports from India to the UK — the pre-CETA duty regime</w:t>
      </w:r>
    </w:p>
    <w:p>
      <w:pPr>
        <w:spacing w:after="150" w:before="0" w:line="288"/>
        <w:jc w:val="both"/>
      </w:pPr>
      <w:r>
        <w:rPr>
          <w:rFonts w:ascii="Georgia" w:cs="Georgia" w:eastAsia="Georgia" w:hAnsi="Georgia"/>
          <w:b w:val="false"/>
          <w:bCs w:val="false"/>
          <w:i w:val="false"/>
          <w:iCs w:val="false"/>
          <w:color w:val="222222"/>
          <w:sz w:val="21"/>
          <w:szCs w:val="21"/>
        </w:rPr>
        <w:t xml:space="preserve">Indian goods entered the UK under the UK Global Tariff (UKGT), with limited unilateral relief under the UK Developing Countries Trading Scheme (DCTS, in force 19 June 2023). India sat in the least generous ‘Standard Preferences’ tier, and from 1 January 2026 the UK ‘graduated’ (suspended) DCTS preferences on India's most important categories — textiles and garments (HS 61–63), chemicals, and articles of iron, steel and precious metals — for three years, pushing them back to full UKGT (GOV.UK; UK Trade Policy Observatory; KPMG UK). To claim any preference, exporters used GSP-style Form A or REX declarations.</w:t>
      </w:r>
    </w:p>
    <w:p>
      <w:pPr>
        <w:keepNext/>
        <w:spacing w:after="60" w:before="60"/>
      </w:pPr>
      <w:r>
        <w:rPr>
          <w:rFonts w:ascii="Georgia" w:cs="Georgia" w:eastAsia="Georgia" w:hAnsi="Georgia"/>
          <w:b/>
          <w:bCs/>
          <w:i w:val="false"/>
          <w:iCs w:val="false"/>
          <w:color w:val="1F3864"/>
          <w:sz w:val="19"/>
          <w:szCs w:val="19"/>
        </w:rPr>
        <w:t xml:space="preserve">Table 1.1  ·  Indicative peak UK duties Indian goods faced (pre-CETA)</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4600"/>
        <w:gridCol w:w="4426"/>
      </w:tblGrid>
      <w:tr>
        <w:trPr>
          <w:tblHeader/>
        </w:trPr>
        <w:tc>
          <w:tcPr>
            <w:tcW w:type="dxa" w:w="46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Indian export category</w:t>
            </w:r>
          </w:p>
        </w:tc>
        <w:tc>
          <w:tcPr>
            <w:tcW w:type="dxa" w:w="44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Indicative peak UK duty (MFN / UKGT)</w:t>
            </w:r>
          </w:p>
        </w:tc>
      </w:tr>
      <w:tr>
        <w:tc>
          <w:tcPr>
            <w:tcW w:type="dxa" w:w="4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Processed &amp; prepared foods</w:t>
            </w:r>
          </w:p>
        </w:tc>
        <w:tc>
          <w:tcPr>
            <w:tcW w:type="dxa" w:w="4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~70%</w:t>
            </w:r>
          </w:p>
        </w:tc>
      </w:tr>
      <w:tr>
        <w:tc>
          <w:tcPr>
            <w:tcW w:type="dxa" w:w="46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Marine products (fish, shrimp)</w:t>
            </w:r>
          </w:p>
        </w:tc>
        <w:tc>
          <w:tcPr>
            <w:tcW w:type="dxa" w:w="44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~4.2% to 21.5%</w:t>
            </w:r>
          </w:p>
        </w:tc>
      </w:tr>
      <w:tr>
        <w:tc>
          <w:tcPr>
            <w:tcW w:type="dxa" w:w="4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Engineering goods &amp; auto components</w:t>
            </w:r>
          </w:p>
        </w:tc>
        <w:tc>
          <w:tcPr>
            <w:tcW w:type="dxa" w:w="4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~18%</w:t>
            </w:r>
          </w:p>
        </w:tc>
      </w:tr>
      <w:tr>
        <w:tc>
          <w:tcPr>
            <w:tcW w:type="dxa" w:w="46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Leather &amp; footwear</w:t>
            </w:r>
          </w:p>
        </w:tc>
        <w:tc>
          <w:tcPr>
            <w:tcW w:type="dxa" w:w="44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~16%</w:t>
            </w:r>
          </w:p>
        </w:tc>
      </w:tr>
      <w:tr>
        <w:tc>
          <w:tcPr>
            <w:tcW w:type="dxa" w:w="4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Textiles, apparel &amp; clothing</w:t>
            </w:r>
          </w:p>
        </w:tc>
        <w:tc>
          <w:tcPr>
            <w:tcW w:type="dxa" w:w="4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~12%</w:t>
            </w:r>
          </w:p>
        </w:tc>
      </w:tr>
      <w:tr>
        <w:tc>
          <w:tcPr>
            <w:tcW w:type="dxa" w:w="46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Chemicals &amp; pharmaceuticals</w:t>
            </w:r>
          </w:p>
        </w:tc>
        <w:tc>
          <w:tcPr>
            <w:tcW w:type="dxa" w:w="44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~8%</w:t>
            </w:r>
          </w:p>
        </w:tc>
      </w:tr>
      <w:tr>
        <w:tc>
          <w:tcPr>
            <w:tcW w:type="dxa" w:w="4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Ceramics, base metals, articles of iron/steel</w:t>
            </w:r>
          </w:p>
        </w:tc>
        <w:tc>
          <w:tcPr>
            <w:tcW w:type="dxa" w:w="4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Typically ~2% to 12%</w:t>
            </w:r>
          </w:p>
        </w:tc>
      </w:tr>
    </w:tbl>
    <w:p>
      <w:pPr>
        <w:spacing w:after="120" w:before="40"/>
      </w:pPr>
      <w:r>
        <w:rPr>
          <w:rFonts w:ascii="Georgia" w:cs="Georgia" w:eastAsia="Georgia" w:hAnsi="Georgia"/>
          <w:b w:val="false"/>
          <w:bCs w:val="false"/>
          <w:i/>
          <w:iCs/>
          <w:color w:val="6E6E6E"/>
          <w:sz w:val="16"/>
          <w:szCs w:val="16"/>
        </w:rPr>
        <w:t xml:space="preserve">Sources: PIB Release ID 2274280; PIB Backgrounder (29 July 2025) pp. 3, 11–13; WTC Mumbai Report (2025) pp. 11–13. DCTS relief was partial and, on textiles/chemicals/steel/precious metals, withdrawn from 1 Jan 2026 (GOV.UK).</w:t>
      </w:r>
    </w:p>
    <w:p>
      <w:pPr>
        <w:pStyle w:val="Heading3"/>
        <w:keepNext/>
        <w:spacing w:after="60" w:before="170"/>
      </w:pPr>
      <w:r>
        <w:rPr>
          <w:rFonts w:ascii="Georgia" w:cs="Georgia" w:eastAsia="Georgia" w:hAnsi="Georgia"/>
          <w:b/>
          <w:bCs/>
          <w:i w:val="false"/>
          <w:iCs w:val="false"/>
          <w:color w:val="2E4C7E"/>
          <w:sz w:val="21"/>
          <w:szCs w:val="21"/>
        </w:rPr>
        <w:t xml:space="preserve">1.1.3  Imports from the UK into India — the pre-CETA duty regime</w:t>
      </w:r>
    </w:p>
    <w:p>
      <w:pPr>
        <w:spacing w:after="150" w:before="0" w:line="288"/>
        <w:jc w:val="both"/>
      </w:pPr>
      <w:r>
        <w:rPr>
          <w:rFonts w:ascii="Georgia" w:cs="Georgia" w:eastAsia="Georgia" w:hAnsi="Georgia"/>
          <w:b w:val="false"/>
          <w:bCs w:val="false"/>
          <w:i w:val="false"/>
          <w:iCs w:val="false"/>
          <w:color w:val="222222"/>
          <w:sz w:val="21"/>
          <w:szCs w:val="21"/>
        </w:rPr>
        <w:t xml:space="preserve">UK goods attracted India's MFN Basic Customs Duty (BCD) under the Customs Tariff Act, 1975, plus a Social Welfare Surcharge (10% of BCD), plus Integrated GST (IGST) on the landed value, and — on certain goods — an Agriculture Infrastructure and Development Cess. No preferential rate was available. An Importer-Exporter Code (IEC) from DGFT was mandatory; imports cleared by Bill of Entry on ICEGATE under faceless assessment, with valuation under section 14 of the Customs Act, 1962 and the Customs Valuation Rules, 2007.</w:t>
      </w:r>
    </w:p>
    <w:p>
      <w:pPr>
        <w:keepNext/>
        <w:spacing w:after="60" w:before="60"/>
      </w:pPr>
      <w:r>
        <w:rPr>
          <w:rFonts w:ascii="Georgia" w:cs="Georgia" w:eastAsia="Georgia" w:hAnsi="Georgia"/>
          <w:b/>
          <w:bCs/>
          <w:i w:val="false"/>
          <w:iCs w:val="false"/>
          <w:color w:val="1F3864"/>
          <w:sz w:val="19"/>
          <w:szCs w:val="19"/>
        </w:rPr>
        <w:t xml:space="preserve">Table 1.2  ·  Indicative peak Indian import duties on UK goods, by category (pre-CETA)</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5200"/>
        <w:gridCol w:w="3826"/>
      </w:tblGrid>
      <w:tr>
        <w:trPr>
          <w:tblHeader/>
        </w:trPr>
        <w:tc>
          <w:tcPr>
            <w:tcW w:type="dxa" w:w="52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UK export category</w:t>
            </w:r>
          </w:p>
        </w:tc>
        <w:tc>
          <w:tcPr>
            <w:tcW w:type="dxa" w:w="38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Pre-CETA peak Indian BCD</w:t>
            </w:r>
          </w:p>
        </w:tc>
      </w:tr>
      <w:tr>
        <w:tc>
          <w:tcPr>
            <w:tcW w:type="dxa" w:w="52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Alcoholic spirits (whisky, gin)</w:t>
            </w:r>
          </w:p>
        </w:tc>
        <w:tc>
          <w:tcPr>
            <w:tcW w:type="dxa" w:w="38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150%</w:t>
            </w:r>
          </w:p>
        </w:tc>
      </w:tr>
      <w:tr>
        <w:tc>
          <w:tcPr>
            <w:tcW w:type="dxa" w:w="52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Automobiles (built-up)</w:t>
            </w:r>
          </w:p>
        </w:tc>
        <w:tc>
          <w:tcPr>
            <w:tcW w:type="dxa" w:w="38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Over 100% (up to ~110%)</w:t>
            </w:r>
          </w:p>
        </w:tc>
      </w:tr>
      <w:tr>
        <w:tc>
          <w:tcPr>
            <w:tcW w:type="dxa" w:w="52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Processed food</w:t>
            </w:r>
          </w:p>
        </w:tc>
        <w:tc>
          <w:tcPr>
            <w:tcW w:type="dxa" w:w="38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70%</w:t>
            </w:r>
          </w:p>
        </w:tc>
      </w:tr>
      <w:tr>
        <w:tc>
          <w:tcPr>
            <w:tcW w:type="dxa" w:w="52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Vegetable oils</w:t>
            </w:r>
          </w:p>
        </w:tc>
        <w:tc>
          <w:tcPr>
            <w:tcW w:type="dxa" w:w="38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20%</w:t>
            </w:r>
          </w:p>
        </w:tc>
      </w:tr>
      <w:tr>
        <w:tc>
          <w:tcPr>
            <w:tcW w:type="dxa" w:w="52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Transport / automotive</w:t>
            </w:r>
          </w:p>
        </w:tc>
        <w:tc>
          <w:tcPr>
            <w:tcW w:type="dxa" w:w="38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18%</w:t>
            </w:r>
          </w:p>
        </w:tc>
      </w:tr>
      <w:tr>
        <w:tc>
          <w:tcPr>
            <w:tcW w:type="dxa" w:w="52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Leather / footwear</w:t>
            </w:r>
          </w:p>
        </w:tc>
        <w:tc>
          <w:tcPr>
            <w:tcW w:type="dxa" w:w="38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16%</w:t>
            </w:r>
          </w:p>
        </w:tc>
      </w:tr>
      <w:tr>
        <w:tc>
          <w:tcPr>
            <w:tcW w:type="dxa" w:w="52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Electrical machinery</w:t>
            </w:r>
          </w:p>
        </w:tc>
        <w:tc>
          <w:tcPr>
            <w:tcW w:type="dxa" w:w="38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14%</w:t>
            </w:r>
          </w:p>
        </w:tc>
      </w:tr>
      <w:tr>
        <w:tc>
          <w:tcPr>
            <w:tcW w:type="dxa" w:w="52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Textiles / clothing; glass; ceramics</w:t>
            </w:r>
          </w:p>
        </w:tc>
        <w:tc>
          <w:tcPr>
            <w:tcW w:type="dxa" w:w="38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12%</w:t>
            </w:r>
          </w:p>
        </w:tc>
      </w:tr>
      <w:tr>
        <w:tc>
          <w:tcPr>
            <w:tcW w:type="dxa" w:w="52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Wood / paper; base metals</w:t>
            </w:r>
          </w:p>
        </w:tc>
        <w:tc>
          <w:tcPr>
            <w:tcW w:type="dxa" w:w="38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10%</w:t>
            </w:r>
          </w:p>
        </w:tc>
      </w:tr>
      <w:tr>
        <w:tc>
          <w:tcPr>
            <w:tcW w:type="dxa" w:w="52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Mechanical machinery; minerals; chemicals</w:t>
            </w:r>
          </w:p>
        </w:tc>
        <w:tc>
          <w:tcPr>
            <w:tcW w:type="dxa" w:w="38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8%</w:t>
            </w:r>
          </w:p>
        </w:tc>
      </w:tr>
      <w:tr>
        <w:tc>
          <w:tcPr>
            <w:tcW w:type="dxa" w:w="52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Plastic / rubber; instruments</w:t>
            </w:r>
          </w:p>
        </w:tc>
        <w:tc>
          <w:tcPr>
            <w:tcW w:type="dxa" w:w="38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6%</w:t>
            </w:r>
          </w:p>
        </w:tc>
      </w:tr>
      <w:tr>
        <w:tc>
          <w:tcPr>
            <w:tcW w:type="dxa" w:w="52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Gems &amp; jewellery; furniture; sports goods</w:t>
            </w:r>
          </w:p>
        </w:tc>
        <w:tc>
          <w:tcPr>
            <w:tcW w:type="dxa" w:w="38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4%</w:t>
            </w:r>
          </w:p>
        </w:tc>
      </w:tr>
      <w:tr>
        <w:tc>
          <w:tcPr>
            <w:tcW w:type="dxa" w:w="52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Arms &amp; ammunition</w:t>
            </w:r>
          </w:p>
        </w:tc>
        <w:tc>
          <w:tcPr>
            <w:tcW w:type="dxa" w:w="38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2%</w:t>
            </w:r>
          </w:p>
        </w:tc>
      </w:tr>
    </w:tbl>
    <w:p>
      <w:pPr>
        <w:spacing w:after="120" w:before="40"/>
      </w:pPr>
      <w:r>
        <w:rPr>
          <w:rFonts w:ascii="Georgia" w:cs="Georgia" w:eastAsia="Georgia" w:hAnsi="Georgia"/>
          <w:b w:val="false"/>
          <w:bCs w:val="false"/>
          <w:i/>
          <w:iCs/>
          <w:color w:val="6E6E6E"/>
          <w:sz w:val="16"/>
          <w:szCs w:val="16"/>
        </w:rPr>
        <w:t xml:space="preserve">Source: PIB Backgrounder (29 July 2025) p. 3 (duty table; applies to ~97.1% of tariff lines); spirits and automobile peaks per p. 12 and WTC Report pp. 9, 12. Add 10% Social Welfare Surcharge on BCD and IGST on the landed value.</w:t>
      </w:r>
    </w:p>
    <w:p>
      <w:pPr>
        <w:pStyle w:val="Heading3"/>
        <w:keepNext/>
        <w:spacing w:after="60" w:before="170"/>
      </w:pPr>
      <w:r>
        <w:rPr>
          <w:rFonts w:ascii="Georgia" w:cs="Georgia" w:eastAsia="Georgia" w:hAnsi="Georgia"/>
          <w:b/>
          <w:bCs/>
          <w:i w:val="false"/>
          <w:iCs w:val="false"/>
          <w:color w:val="2E4C7E"/>
          <w:sz w:val="21"/>
          <w:szCs w:val="21"/>
        </w:rPr>
        <w:t xml:space="preserve">1.1.4  India's non-tariff regimes (applied to UK imports — and unchanged by the CETA)</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050"/>
        <w:gridCol w:w="4576"/>
        <w:gridCol w:w="2400"/>
      </w:tblGrid>
      <w:tr>
        <w:trPr>
          <w:tblHeader/>
        </w:trPr>
        <w:tc>
          <w:tcPr>
            <w:tcW w:type="dxa" w:w="20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Regime / regulator</w:t>
            </w:r>
          </w:p>
        </w:tc>
        <w:tc>
          <w:tcPr>
            <w:tcW w:type="dxa" w:w="457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What it governs</w:t>
            </w:r>
          </w:p>
        </w:tc>
        <w:tc>
          <w:tcPr>
            <w:tcW w:type="dxa" w:w="2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Governing instrument</w:t>
            </w:r>
          </w:p>
        </w:tc>
      </w:tr>
      <w:tr>
        <w:tc>
          <w:tcPr>
            <w:tcW w:type="dxa" w:w="20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BIS</w:t>
            </w:r>
          </w:p>
        </w:tc>
        <w:tc>
          <w:tcPr>
            <w:tcW w:type="dxa" w:w="45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Mandatory product certification (ISI mark) / CRS registration for notified goods under Quality Control Orders</w:t>
            </w:r>
          </w:p>
        </w:tc>
        <w:tc>
          <w:tcPr>
            <w:tcW w:type="dxa" w:w="24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Bureau of Indian Standards Act, 2016</w:t>
            </w:r>
          </w:p>
        </w:tc>
      </w:tr>
      <w:tr>
        <w:tc>
          <w:tcPr>
            <w:tcW w:type="dxa" w:w="20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FSSAI</w:t>
            </w:r>
          </w:p>
        </w:tc>
        <w:tc>
          <w:tcPr>
            <w:tcW w:type="dxa" w:w="45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Food import clearance and licensing (via FICS)</w:t>
            </w:r>
          </w:p>
        </w:tc>
        <w:tc>
          <w:tcPr>
            <w:tcW w:type="dxa" w:w="24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Food Safety and Standards Act, 2006</w:t>
            </w:r>
          </w:p>
        </w:tc>
      </w:tr>
      <w:tr>
        <w:tc>
          <w:tcPr>
            <w:tcW w:type="dxa" w:w="20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CDSCO</w:t>
            </w:r>
          </w:p>
        </w:tc>
        <w:tc>
          <w:tcPr>
            <w:tcW w:type="dxa" w:w="45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Import registration/licences for drugs, medical devices and cosmetics</w:t>
            </w:r>
          </w:p>
        </w:tc>
        <w:tc>
          <w:tcPr>
            <w:tcW w:type="dxa" w:w="24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Drugs &amp; Cosmetics Act 1940; Medical Devices Rules 2017; Cosmetics Rules 2020</w:t>
            </w:r>
          </w:p>
        </w:tc>
      </w:tr>
      <w:tr>
        <w:tc>
          <w:tcPr>
            <w:tcW w:type="dxa" w:w="20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Legal Metrology</w:t>
            </w:r>
          </w:p>
        </w:tc>
        <w:tc>
          <w:tcPr>
            <w:tcW w:type="dxa" w:w="45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Declarations on pre-packaged goods</w:t>
            </w:r>
          </w:p>
        </w:tc>
        <w:tc>
          <w:tcPr>
            <w:tcW w:type="dxa" w:w="24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Legal Metrology (Packaged Commodities) Rules, 2011</w:t>
            </w:r>
          </w:p>
        </w:tc>
      </w:tr>
      <w:tr>
        <w:tc>
          <w:tcPr>
            <w:tcW w:type="dxa" w:w="20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WPC / TEC</w:t>
            </w:r>
          </w:p>
        </w:tc>
        <w:tc>
          <w:tcPr>
            <w:tcW w:type="dxa" w:w="45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Wireless equipment approval; telecom testing (MTCTE)</w:t>
            </w:r>
          </w:p>
        </w:tc>
        <w:tc>
          <w:tcPr>
            <w:tcW w:type="dxa" w:w="24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Dept of Telecom (WPC); TEC</w:t>
            </w:r>
          </w:p>
        </w:tc>
      </w:tr>
      <w:tr>
        <w:tc>
          <w:tcPr>
            <w:tcW w:type="dxa" w:w="20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Quarantine</w:t>
            </w:r>
          </w:p>
        </w:tc>
        <w:tc>
          <w:tcPr>
            <w:tcW w:type="dxa" w:w="45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SPS import permits and inspection for plants and animal products</w:t>
            </w:r>
          </w:p>
        </w:tc>
        <w:tc>
          <w:tcPr>
            <w:tcW w:type="dxa" w:w="24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Plant Quarantine Order 2003; Live-stock Importation Act 1898</w:t>
            </w:r>
          </w:p>
        </w:tc>
      </w:tr>
      <w:tr>
        <w:tc>
          <w:tcPr>
            <w:tcW w:type="dxa" w:w="20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Customs / valuation</w:t>
            </w:r>
          </w:p>
        </w:tc>
        <w:tc>
          <w:tcPr>
            <w:tcW w:type="dxa" w:w="45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Duty, assessment and valuation</w:t>
            </w:r>
          </w:p>
        </w:tc>
        <w:tc>
          <w:tcPr>
            <w:tcW w:type="dxa" w:w="24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Customs Act 1962; Customs Tariff Act 1975; Valuation Rules 2007</w:t>
            </w:r>
          </w:p>
        </w:tc>
      </w:tr>
      <w:tr>
        <w:tc>
          <w:tcPr>
            <w:tcW w:type="dxa" w:w="20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DGFT</w:t>
            </w:r>
          </w:p>
        </w:tc>
        <w:tc>
          <w:tcPr>
            <w:tcW w:type="dxa" w:w="45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Importer-Exporter Code; import/export policy</w:t>
            </w:r>
          </w:p>
        </w:tc>
        <w:tc>
          <w:tcPr>
            <w:tcW w:type="dxa" w:w="24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Foreign Trade Policy</w:t>
            </w:r>
          </w:p>
        </w:tc>
      </w:tr>
      <w:tr>
        <w:tc>
          <w:tcPr>
            <w:tcW w:type="dxa" w:w="20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FEMA / RBI</w:t>
            </w:r>
          </w:p>
        </w:tc>
        <w:tc>
          <w:tcPr>
            <w:tcW w:type="dxa" w:w="45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Cross-border payments and reporting</w:t>
            </w:r>
          </w:p>
        </w:tc>
        <w:tc>
          <w:tcPr>
            <w:tcW w:type="dxa" w:w="24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FEMA 1999; RBI Master Directions</w:t>
            </w:r>
          </w:p>
        </w:tc>
      </w:tr>
    </w:tbl>
    <w:p>
      <w:pPr>
        <w:pStyle w:val="Heading3"/>
        <w:keepNext/>
        <w:spacing w:after="60" w:before="170"/>
      </w:pPr>
      <w:r>
        <w:rPr>
          <w:rFonts w:ascii="Georgia" w:cs="Georgia" w:eastAsia="Georgia" w:hAnsi="Georgia"/>
          <w:b/>
          <w:bCs/>
          <w:i w:val="false"/>
          <w:iCs w:val="false"/>
          <w:color w:val="2E4C7E"/>
          <w:sz w:val="21"/>
          <w:szCs w:val="21"/>
        </w:rPr>
        <w:t xml:space="preserve">1.1.5  The UK's non-tariff regimes (applied to Indian exports — and unchanged by the CETA)</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626"/>
      </w:tblGrid>
      <w:tr>
        <w:trPr>
          <w:tblHeader/>
        </w:trPr>
        <w:tc>
          <w:tcPr>
            <w:tcW w:type="dxa" w:w="2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Area</w:t>
            </w:r>
          </w:p>
        </w:tc>
        <w:tc>
          <w:tcPr>
            <w:tcW w:type="dxa" w:w="66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Requirement</w:t>
            </w:r>
          </w:p>
        </w:tc>
      </w:tr>
      <w:tr>
        <w:tc>
          <w:tcPr>
            <w:tcW w:type="dxa" w:w="24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Product conformity</w:t>
            </w:r>
          </w:p>
        </w:tc>
        <w:tc>
          <w:tcPr>
            <w:tcW w:type="dxa" w:w="66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UKCA marking (CE recognised as extended); product-specific safety rules</w:t>
            </w:r>
          </w:p>
        </w:tc>
      </w:tr>
      <w:tr>
        <w:tc>
          <w:tcPr>
            <w:tcW w:type="dxa" w:w="24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Chemicals</w:t>
            </w:r>
          </w:p>
        </w:tc>
        <w:tc>
          <w:tcPr>
            <w:tcW w:type="dxa" w:w="66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UK REACH registration</w:t>
            </w:r>
          </w:p>
        </w:tc>
      </w:tr>
      <w:tr>
        <w:tc>
          <w:tcPr>
            <w:tcW w:type="dxa" w:w="24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SPS controls</w:t>
            </w:r>
          </w:p>
        </w:tc>
        <w:tc>
          <w:tcPr>
            <w:tcW w:type="dxa" w:w="66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Health certificates; IPAFFS pre-notification; Border Control Post checks (Border Target Operating Model)</w:t>
            </w:r>
          </w:p>
        </w:tc>
      </w:tr>
      <w:tr>
        <w:tc>
          <w:tcPr>
            <w:tcW w:type="dxa" w:w="24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Food</w:t>
            </w:r>
          </w:p>
        </w:tc>
        <w:tc>
          <w:tcPr>
            <w:tcW w:type="dxa" w:w="66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Labelling and compositional rules</w:t>
            </w:r>
          </w:p>
        </w:tc>
      </w:tr>
      <w:tr>
        <w:tc>
          <w:tcPr>
            <w:tcW w:type="dxa" w:w="24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Customs</w:t>
            </w:r>
          </w:p>
        </w:tc>
        <w:tc>
          <w:tcPr>
            <w:tcW w:type="dxa" w:w="66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Declarations via the Customs Declaration Service (CDS)</w:t>
            </w:r>
          </w:p>
        </w:tc>
      </w:tr>
      <w:tr>
        <w:tc>
          <w:tcPr>
            <w:tcW w:type="dxa" w:w="24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Preference proof (pre-CETA)</w:t>
            </w:r>
          </w:p>
        </w:tc>
        <w:tc>
          <w:tcPr>
            <w:tcW w:type="dxa" w:w="66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GSP/DCTS Form A or REX declaration (Standard Preferences; graduated on key India lines from 1 Jan 2026)</w:t>
            </w:r>
          </w:p>
        </w:tc>
      </w:tr>
    </w:tbl>
    <w:p>
      <w:pPr>
        <w:pStyle w:val="Heading3"/>
        <w:keepNext/>
        <w:spacing w:after="60" w:before="170"/>
      </w:pPr>
      <w:r>
        <w:rPr>
          <w:rFonts w:ascii="Georgia" w:cs="Georgia" w:eastAsia="Georgia" w:hAnsi="Georgia"/>
          <w:b/>
          <w:bCs/>
          <w:i w:val="false"/>
          <w:iCs w:val="false"/>
          <w:color w:val="2E4C7E"/>
          <w:sz w:val="21"/>
          <w:szCs w:val="21"/>
        </w:rPr>
        <w:t xml:space="preserve">1.1.6  FEMA and RBI — cross-border payments (both directions)</w:t>
      </w:r>
    </w:p>
    <w:p>
      <w:pPr>
        <w:spacing w:after="150" w:before="0" w:line="288"/>
        <w:jc w:val="both"/>
      </w:pPr>
      <w:r>
        <w:rPr>
          <w:rFonts w:ascii="Georgia" w:cs="Georgia" w:eastAsia="Georgia" w:hAnsi="Georgia"/>
          <w:b w:val="false"/>
          <w:bCs w:val="false"/>
          <w:i w:val="false"/>
          <w:iCs w:val="false"/>
          <w:color w:val="222222"/>
          <w:sz w:val="21"/>
          <w:szCs w:val="21"/>
        </w:rPr>
        <w:t xml:space="preserve">Payment for trade was, and remains, governed by FEMA 1999 and RBI directions: import payments through Authorised Dealer banks (RBI Master Direction on Import of Goods and Services); export proceeds generally realised within nine months (Master Direction on Export of Goods and Services); current-account transactions under the FEM (Current Account Transactions) Rules, 2000. The CETA does not change this framework.</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Before the CETA, India–UK trade ran on full MFN duties plus a thick layer of domestic compliance in both markets, with only limited (and, from January 2026, withdrawn) UK preferences for India. The Agreement mainly attacks the duty and the customs process — the regimes in Tables 1.1.4 and 1.1.5 survive unchanged.</w:t>
            </w:r>
          </w:p>
        </w:tc>
      </w:tr>
    </w:tbl>
    <w:p>
      <w:pPr>
        <w:pStyle w:val="Heading2"/>
        <w:keepNext/>
        <w:spacing w:after="90" w:before="240"/>
      </w:pPr>
      <w:r>
        <w:rPr>
          <w:rFonts w:ascii="Georgia" w:cs="Georgia" w:eastAsia="Georgia" w:hAnsi="Georgia"/>
          <w:b/>
          <w:bCs/>
          <w:i w:val="false"/>
          <w:iCs w:val="false"/>
          <w:color w:val="2E4C7E"/>
          <w:sz w:val="24"/>
          <w:szCs w:val="24"/>
        </w:rPr>
        <w:t xml:space="preserve">1.2  Sector baseline tables</w:t>
      </w:r>
    </w:p>
    <w:p>
      <w:pPr>
        <w:spacing w:after="150" w:before="0" w:line="288"/>
        <w:jc w:val="both"/>
      </w:pPr>
      <w:r>
        <w:rPr>
          <w:rFonts w:ascii="Georgia" w:cs="Georgia" w:eastAsia="Georgia" w:hAnsi="Georgia"/>
          <w:b w:val="false"/>
          <w:bCs w:val="false"/>
          <w:i w:val="false"/>
          <w:iCs w:val="false"/>
          <w:color w:val="222222"/>
          <w:sz w:val="21"/>
          <w:szCs w:val="21"/>
        </w:rPr>
        <w:t xml:space="preserve">The two tables below consolidate the pre-FTA position for each sector — the old duty, the standing non-tariff requirements, and the main practical challenge — for each direction of trade. The common duty stack, registrations and FEMA position (section 1.1) apply throughout.</w:t>
      </w:r>
    </w:p>
    <w:p>
      <w:pPr>
        <w:keepNext/>
        <w:spacing w:after="60" w:before="60"/>
      </w:pPr>
      <w:r>
        <w:rPr>
          <w:rFonts w:ascii="Georgia" w:cs="Georgia" w:eastAsia="Georgia" w:hAnsi="Georgia"/>
          <w:b/>
          <w:bCs/>
          <w:i w:val="false"/>
          <w:iCs w:val="false"/>
          <w:color w:val="1F3864"/>
          <w:sz w:val="19"/>
          <w:szCs w:val="19"/>
        </w:rPr>
        <w:t xml:space="preserve">Table 1.3  ·  Pre-FTA baseline — India's exports to the UK, by sector</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1450"/>
        <w:gridCol w:w="4076"/>
        <w:gridCol w:w="1400"/>
      </w:tblGrid>
      <w:tr>
        <w:trPr>
          <w:tblHeader/>
        </w:trPr>
        <w:tc>
          <w:tcPr>
            <w:tcW w:type="dxa" w:w="21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Sector (HS)</w:t>
            </w:r>
          </w:p>
        </w:tc>
        <w:tc>
          <w:tcPr>
            <w:tcW w:type="dxa" w:w="14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Pre-FTA UK duty</w:t>
            </w:r>
          </w:p>
        </w:tc>
        <w:tc>
          <w:tcPr>
            <w:tcW w:type="dxa" w:w="407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Non-tariff requirements &amp; main practical challenge</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Textiles, apparel &amp; carpets (50–63)</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~12% (DCTS on 61–63 withdrawn 1 Jan 2026)</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UKCA where relevant; fibre-composition &amp; labelling. Challenge: duty-free Bangladesh/Vietnam undercut India; Form A/REX needed for any preference.</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p.11; combined p.9; GOV.UK</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Leather &amp; footwear (41–43, 64)</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~16%</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product safety/UKCA; UK REACH for treated leather. Challenge: strong Vietnam competition.</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p.9</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Gems &amp; jewellery (71)</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~4% (jewellery)</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Assay/hallmarking on entry. Challenge: duty vs a ~USD 3bn UK jewellery market; exports ~USD 941m.</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p.16; WTC p.11</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Marine products (03, 1604–05)</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~4.2–21.5%</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SPS: approved establishments, health certificates, IPAFFS, BCP checks. Challenge: rejections + zero-duty rivals (Vietnam, Ecuador); UK share ~2.25%.</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pp.13,23; Bg p.8</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Processed &amp; agri foods (07–22)</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~70% (processed)</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SPS residue limits, health certificates, labelling. Challenge: SPS often a bigger barrier than duty.</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 WTC p.12</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Tea, coffee &amp; spices (09)</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 on value-added forms</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Food-safety &amp; labelling. Challenge: EU re-processors (Germany, Netherlands) on instant/value-added.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pp.7–8</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Pharmaceuticals (30)</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~8%</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MHRA marketing authorisation + GMP inspection. Challenge: approval, not demand; exports &lt;USD 1bn vs ~USD 30bn UK market.</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p.12</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Medical devices (9018–22)</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UKCA + UK-approved bodies. Challenge: conformity assessment; exports ~USD 37m vs ~USD 32bn UK market.</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p.13</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Chemicals &amp; petrochemicals (28–29)</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~8% (DCTS withdrawn 1 Jan 2026)</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REACH registration. Challenge: REACH cost and data burden.</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pp.13–14; GOV.UK</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Plastics &amp; rubber (39–40)</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Product compliance. Challenge: EU competition; India ~13th-largest supplier (~USD 0.5bn).</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p.15</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Engineering &amp; machinery (84–85)</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~18% (incl. auto components)</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UKCA + product-specific safety/conformity. Challenge: widest opportunity gap (exports ~USD 4.3bn vs ~USD 193bn UK imports).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pp.10–11</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Electronics (85, incl. smartphones)</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(varies; many lines low)</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UKCA conformity. Challenge: standards/testing.</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p.11</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Iron, steel &amp; metals (72–76)</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(DCTS withdrawn; safeguard risk)</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Product standards; UK steel-safeguard quotas. Challenge: volume risk from safeguard tariff.</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GOV.UK; PIB 2274280</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Ceramics &amp; construction (69)</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~5–12%</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Product safety. Challenge: duty on a doubling export base (~USD 119m, Morbi).</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Automobiles/EV &amp; components (87)</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Cars ~10%; components up to ~18%</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type-approval/UNECE conformity. Challenge: conformity and duty.</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p.9; combined p.20</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Renewable-energy equipment (84–85)</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Conformity requirements. Opportunity: UK net-zero procurement; India a net exporter of turbines/modules.</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p.13</w:t>
            </w:r>
          </w:p>
        </w:tc>
      </w:tr>
    </w:tbl>
    <w:p>
      <w:pPr>
        <w:keepNext/>
        <w:spacing w:after="60" w:before="60"/>
      </w:pPr>
      <w:r>
        <w:rPr>
          <w:rFonts w:ascii="Georgia" w:cs="Georgia" w:eastAsia="Georgia" w:hAnsi="Georgia"/>
          <w:b/>
          <w:bCs/>
          <w:i w:val="false"/>
          <w:iCs w:val="false"/>
          <w:color w:val="1F3864"/>
          <w:sz w:val="19"/>
          <w:szCs w:val="19"/>
        </w:rPr>
        <w:t xml:space="preserve">Table 1.4  ·  Pre-FTA baseline — UK imports into India, by sector</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1450"/>
        <w:gridCol w:w="4076"/>
        <w:gridCol w:w="1400"/>
      </w:tblGrid>
      <w:tr>
        <w:trPr>
          <w:tblHeader/>
        </w:trPr>
        <w:tc>
          <w:tcPr>
            <w:tcW w:type="dxa" w:w="21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Sector (HS)</w:t>
            </w:r>
          </w:p>
        </w:tc>
        <w:tc>
          <w:tcPr>
            <w:tcW w:type="dxa" w:w="14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Pre-FTA Indian BCD</w:t>
            </w:r>
          </w:p>
        </w:tc>
        <w:tc>
          <w:tcPr>
            <w:tcW w:type="dxa" w:w="407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Licences / standards &amp; main practical challenge</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Alcoholic spirits (2208)</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150%</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State excise + FSSAI + labelling. Challenge: 150% duty plus high state excise confined imports to a premium niche.</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 WTC p.12</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Automobiles – built-up (8703)</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Over 100%</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BIS/AIS type-approval, homologation, cess. Challenge: luxury niche only.</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p.9; Bg p.3</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Processed food (16–22)</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70%</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FSSAI (FICS), Legal Metrology, quarantine. Challenge: prohibitive duty + clearance delays.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Vegetable oils (15)</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20%</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FSSAI, quarantine. Challenge: sensitive sector.</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Automotive / transport (87)</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18%</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BIS/AIS type-approval.</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Leather / footwear (41–43, 64)</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16%</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footwear QCO.</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Electrical machinery (85)</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14%</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BIS/CRS registration; WPC/TEC for wireless.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Textiles / clothing; glass; ceramics</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12%</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labelling.</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Base metals; wood / paper (44–48, 72–83)</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10%</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steel QCOs.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Mechanical machinery; chemicals (84, 28–29)</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8%</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BIS/CRS; chemical safety compliance.</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Plastics / rubber; instruments (39–40, 90)</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6%</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where notified.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Gems &amp; jewellery; furniture; toys</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4%</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toy QCO; hallmarking.</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Cosmetics (33)</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 registration</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CDSCO cosmetic registration (Rules 2020). Challenge: registration process and delay.</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Medical devices (9018–22)</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~2–6%</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CDSCO registration (MDR 2017).</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p.13</w:t>
            </w:r>
          </w:p>
        </w:tc>
      </w:tr>
      <w:tr>
        <w:tc>
          <w:tcPr>
            <w:tcW w:type="dxa" w:w="210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Pharmaceuticals (30)</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~8–10%</w:t>
            </w:r>
          </w:p>
        </w:tc>
        <w:tc>
          <w:tcPr>
            <w:tcW w:type="dxa" w:w="407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CDSCO import licence; price control (DPCO).</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p.12</w:t>
            </w:r>
          </w:p>
        </w:tc>
      </w:tr>
      <w:tr>
        <w:tc>
          <w:tcPr>
            <w:tcW w:type="dxa" w:w="210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Arms &amp; ammunition</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2%</w:t>
            </w:r>
          </w:p>
        </w:tc>
        <w:tc>
          <w:tcPr>
            <w:tcW w:type="dxa" w:w="407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Import licensing.</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bl>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Read Tables 1.3 and 1.4 together with the Chapter 3 change tables (3.1 and 3.2): the duty column is what the CETA moves; the requirements column is largely what stays. Your compliance workload after the CETA is mostly the second column, minus the duty and the old Form A/REX process.</w:t>
            </w:r>
          </w:p>
        </w:tc>
      </w:tr>
    </w:tbl>
    <w:p>
      <w:pPr>
        <w:pStyle w:val="Heading2"/>
        <w:keepNext/>
        <w:spacing w:after="90" w:before="240"/>
      </w:pPr>
      <w:r>
        <w:rPr>
          <w:rFonts w:ascii="Georgia" w:cs="Georgia" w:eastAsia="Georgia" w:hAnsi="Georgia"/>
          <w:b/>
          <w:bCs/>
          <w:i w:val="false"/>
          <w:iCs w:val="false"/>
          <w:color w:val="2E4C7E"/>
          <w:sz w:val="24"/>
          <w:szCs w:val="24"/>
        </w:rPr>
        <w:t xml:space="preserve">1.3  Consolidated pre-FTA pain points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626"/>
      </w:tblGrid>
      <w:tr>
        <w:trPr>
          <w:tblHeader/>
        </w:trPr>
        <w:tc>
          <w:tcPr>
            <w:tcW w:type="dxa" w:w="2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Pain point</w:t>
            </w:r>
          </w:p>
        </w:tc>
        <w:tc>
          <w:tcPr>
            <w:tcW w:type="dxa" w:w="66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Pre-FTA reality</w:t>
            </w:r>
          </w:p>
        </w:tc>
      </w:tr>
      <w:tr>
        <w:tc>
          <w:tcPr>
            <w:tcW w:type="dxa" w:w="240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Duty disadvantage</w:t>
            </w:r>
          </w:p>
        </w:tc>
        <w:tc>
          <w:tcPr>
            <w:tcW w:type="dxa" w:w="66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Indian labour-intensive exports paid meaningful UK duty while duty-free rivals undercut them; UK goods faced very high Indian duties on autos, spirits and processed food.</w:t>
            </w:r>
          </w:p>
        </w:tc>
      </w:tr>
      <w:tr>
        <w:tc>
          <w:tcPr>
            <w:tcW w:type="dxa" w:w="240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Non-tariff &amp; standards burden</w:t>
            </w:r>
          </w:p>
        </w:tc>
        <w:tc>
          <w:tcPr>
            <w:tcW w:type="dxa" w:w="66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BIS, FSSAI, CDSCO, Legal Metrology and quarantine in India; UKCA/CE, UK REACH and SPS in the UK — each adding cost, testing and delay.</w:t>
            </w:r>
          </w:p>
        </w:tc>
      </w:tr>
      <w:tr>
        <w:tc>
          <w:tcPr>
            <w:tcW w:type="dxa" w:w="240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Origin &amp; customs friction</w:t>
            </w:r>
          </w:p>
        </w:tc>
        <w:tc>
          <w:tcPr>
            <w:tcW w:type="dxa" w:w="66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GSP/DCTS Form A / REX evidence, manual documentation, and — from January 2026 — withdrawal of UK preferences on India's key lines.</w:t>
            </w:r>
          </w:p>
        </w:tc>
      </w:tr>
      <w:tr>
        <w:tc>
          <w:tcPr>
            <w:tcW w:type="dxa" w:w="240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Mobility &amp; payment friction</w:t>
            </w:r>
          </w:p>
        </w:tc>
        <w:tc>
          <w:tcPr>
            <w:tcW w:type="dxa" w:w="66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Dual social-security costs and immigration uncertainty for service professionals; FEMA/RBI discipline on every cross-border payment.</w:t>
            </w:r>
          </w:p>
        </w:tc>
      </w:tr>
    </w:tbl>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Chapter 3 shows the CETA addressing the first and third of these directly (duty and origin/customs), easing the fourth for services (the DCC and assured mobility), and only partially touching the second — domestic standards and approvals largely remain.</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Chapter 2 — The India–UK CETA: An Overview</w:t>
      </w:r>
    </w:p>
    <w:p>
      <w:pPr>
        <w:spacing w:after="150" w:before="0" w:line="288"/>
        <w:jc w:val="both"/>
      </w:pPr>
      <w:r>
        <w:rPr>
          <w:rFonts w:ascii="Georgia" w:cs="Georgia" w:eastAsia="Georgia" w:hAnsi="Georgia"/>
          <w:b w:val="false"/>
          <w:bCs w:val="false"/>
          <w:i/>
          <w:iCs/>
          <w:color w:val="6E6E6E"/>
          <w:sz w:val="21"/>
          <w:szCs w:val="21"/>
        </w:rPr>
        <w:t xml:space="preserve">A plain-English overview of the Agreement — what it is, why it was negotiated, what it covers, and how it takes effect.</w:t>
      </w:r>
    </w:p>
    <w:p>
      <w:pPr>
        <w:pStyle w:val="Heading2"/>
        <w:keepNext/>
        <w:spacing w:after="90" w:before="240"/>
      </w:pPr>
      <w:r>
        <w:rPr>
          <w:rFonts w:ascii="Georgia" w:cs="Georgia" w:eastAsia="Georgia" w:hAnsi="Georgia"/>
          <w:b/>
          <w:bCs/>
          <w:i w:val="false"/>
          <w:iCs w:val="false"/>
          <w:color w:val="2E4C7E"/>
          <w:sz w:val="24"/>
          <w:szCs w:val="24"/>
        </w:rPr>
        <w:t xml:space="preserve">2.1  Why this Agreement, and why now</w:t>
      </w:r>
    </w:p>
    <w:p>
      <w:pPr>
        <w:spacing w:after="150" w:before="0" w:line="288"/>
        <w:jc w:val="both"/>
      </w:pPr>
      <w:r>
        <w:rPr>
          <w:rFonts w:ascii="Georgia" w:cs="Georgia" w:eastAsia="Georgia" w:hAnsi="Georgia"/>
          <w:b w:val="false"/>
          <w:bCs w:val="false"/>
          <w:i w:val="false"/>
          <w:iCs w:val="false"/>
          <w:color w:val="222222"/>
          <w:sz w:val="21"/>
          <w:szCs w:val="21"/>
        </w:rPr>
        <w:t xml:space="preserve">Groundwork was laid in May 2021 (Enhanced Trade Partnership; India–UK Roadmap 2030, targeting roughly doubled trade by 2030). Negotiations launched in 2022, ran through fourteen rounds, concluded on 6 May 2025, and the Agreement was signed in London on 24 July 2025 (PIB, Release ID 2274280). Bilateral trade already stands at roughly USD 56–60 billion a year (about £48 billion on the UK's 2025 figures) (PIB Backgrounder; UK DBT Factsheet p. 1). This is India's sixth FTA implemented in recent years, after Mauritius, the UAE, Australia, EFTA and Oman.</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For most businesses the practical significance is timing: the tariff cuts and rules are live from 15 July 2026. Consignments cleared on or after that date can, if properly documented, attract the preferential duty.</w:t>
            </w:r>
          </w:p>
        </w:tc>
      </w:tr>
    </w:tbl>
    <w:p>
      <w:pPr>
        <w:pStyle w:val="Heading2"/>
        <w:keepNext/>
        <w:spacing w:after="90" w:before="240"/>
      </w:pPr>
      <w:r>
        <w:rPr>
          <w:rFonts w:ascii="Georgia" w:cs="Georgia" w:eastAsia="Georgia" w:hAnsi="Georgia"/>
          <w:b/>
          <w:bCs/>
          <w:i w:val="false"/>
          <w:iCs w:val="false"/>
          <w:color w:val="2E4C7E"/>
          <w:sz w:val="24"/>
          <w:szCs w:val="24"/>
        </w:rPr>
        <w:t xml:space="preserve">2.2  Legal status: signed versus in force</w:t>
      </w:r>
    </w:p>
    <w:p>
      <w:pPr>
        <w:spacing w:after="150" w:before="0" w:line="288"/>
        <w:jc w:val="both"/>
      </w:pPr>
      <w:r>
        <w:rPr>
          <w:rFonts w:ascii="Georgia" w:cs="Georgia" w:eastAsia="Georgia" w:hAnsi="Georgia"/>
          <w:b w:val="false"/>
          <w:bCs w:val="false"/>
          <w:i w:val="false"/>
          <w:iCs w:val="false"/>
          <w:color w:val="222222"/>
          <w:sz w:val="21"/>
          <w:szCs w:val="21"/>
        </w:rPr>
        <w:t xml:space="preserve">Negotiations concluding (May 2025) meant the text was agreed; signature (July 2025) was the commitment; ratification was each country's internal approval; entry into force (15 July 2026) is when the tariff cuts and rules become operative (PIB, Release ID 2274280). The preferential rate is optional — where MFN is lower or equal a trader may use it, and either country may cut duties faster than agreed.</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“Signed” and “in force” are not the same thing. The Agreement was signed in July 2025, but its benefits and obligations only take effect from 15 July 2026 — the date from which your customs planning should run.</w:t>
            </w:r>
          </w:p>
        </w:tc>
      </w:tr>
    </w:tbl>
    <w:p>
      <w:pPr>
        <w:pStyle w:val="Heading2"/>
        <w:keepNext/>
        <w:spacing w:after="90" w:before="240"/>
      </w:pPr>
      <w:r>
        <w:rPr>
          <w:rFonts w:ascii="Georgia" w:cs="Georgia" w:eastAsia="Georgia" w:hAnsi="Georgia"/>
          <w:b/>
          <w:bCs/>
          <w:i w:val="false"/>
          <w:iCs w:val="false"/>
          <w:color w:val="2E4C7E"/>
          <w:sz w:val="24"/>
          <w:szCs w:val="24"/>
        </w:rPr>
        <w:t xml:space="preserve">2.3  What the Agreement covers</w:t>
      </w:r>
    </w:p>
    <w:p>
      <w:pPr>
        <w:keepNext/>
        <w:spacing w:after="60" w:before="60"/>
      </w:pPr>
      <w:r>
        <w:rPr>
          <w:rFonts w:ascii="Georgia" w:cs="Georgia" w:eastAsia="Georgia" w:hAnsi="Georgia"/>
          <w:b/>
          <w:bCs/>
          <w:i w:val="false"/>
          <w:iCs w:val="false"/>
          <w:color w:val="1F3864"/>
          <w:sz w:val="19"/>
          <w:szCs w:val="19"/>
        </w:rPr>
        <w:t xml:space="preserve">Table 2.1  ·  The 30-chapter architecture, grouped by theme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6526"/>
      </w:tblGrid>
      <w:tr>
        <w:trPr>
          <w:tblHeader/>
        </w:trPr>
        <w:tc>
          <w:tcPr>
            <w:tcW w:type="dxa" w:w="25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Theme</w:t>
            </w:r>
          </w:p>
        </w:tc>
        <w:tc>
          <w:tcPr>
            <w:tcW w:type="dxa" w:w="65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What it broadly covers (plain English)</w:t>
            </w:r>
          </w:p>
        </w:tc>
      </w:tr>
      <w:tr>
        <w:tc>
          <w:tcPr>
            <w:tcW w:type="dxa" w:w="250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Trade in goods</w:t>
            </w:r>
          </w:p>
        </w:tc>
        <w:tc>
          <w:tcPr>
            <w:tcW w:type="dxa" w:w="65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Tariff elimination and phase-downs; Rules of Origin and product-specific rules (Annex 3A); customs procedures and facilitation; SPS measures; technical standards (TBT); trade-remedy safeguards.</w:t>
            </w:r>
          </w:p>
        </w:tc>
      </w:tr>
      <w:tr>
        <w:tc>
          <w:tcPr>
            <w:tcW w:type="dxa" w:w="250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Services &amp; investment</w:t>
            </w:r>
          </w:p>
        </w:tc>
        <w:tc>
          <w:tcPr>
            <w:tcW w:type="dxa" w:w="65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Cross-border services; financial services; telecommunications; mobility of professionals; investment protections and non-discrimination.</w:t>
            </w:r>
          </w:p>
        </w:tc>
      </w:tr>
      <w:tr>
        <w:tc>
          <w:tcPr>
            <w:tcW w:type="dxa" w:w="250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Digital &amp; innovation</w:t>
            </w:r>
          </w:p>
        </w:tc>
        <w:tc>
          <w:tcPr>
            <w:tcW w:type="dxa" w:w="65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Digital trade and data flows; electronic/paperless documentation; intellectual property; innovation cooperation.</w:t>
            </w:r>
          </w:p>
        </w:tc>
      </w:tr>
      <w:tr>
        <w:tc>
          <w:tcPr>
            <w:tcW w:type="dxa" w:w="250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Business environment</w:t>
            </w:r>
          </w:p>
        </w:tc>
        <w:tc>
          <w:tcPr>
            <w:tcW w:type="dxa" w:w="65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Government procurement (bilateral for the first time); competition; SMEs; good regulatory practice and transparency; anti-corruption.</w:t>
            </w:r>
          </w:p>
        </w:tc>
      </w:tr>
      <w:tr>
        <w:tc>
          <w:tcPr>
            <w:tcW w:type="dxa" w:w="250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Sustainability &amp; people</w:t>
            </w:r>
          </w:p>
        </w:tc>
        <w:tc>
          <w:tcPr>
            <w:tcW w:type="dxa" w:w="65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Environment and climate cooperation; labour standards; gender; inclusive development.</w:t>
            </w:r>
          </w:p>
        </w:tc>
      </w:tr>
      <w:tr>
        <w:tc>
          <w:tcPr>
            <w:tcW w:type="dxa" w:w="250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Governance</w:t>
            </w:r>
          </w:p>
        </w:tc>
        <w:tc>
          <w:tcPr>
            <w:tcW w:type="dxa" w:w="65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Joint Committee, sub-committees and working groups; dispute settlement; general exceptions.</w:t>
            </w:r>
          </w:p>
        </w:tc>
      </w:tr>
    </w:tbl>
    <w:p>
      <w:pPr>
        <w:spacing w:after="120" w:before="40"/>
      </w:pPr>
      <w:r>
        <w:rPr>
          <w:rFonts w:ascii="Georgia" w:cs="Georgia" w:eastAsia="Georgia" w:hAnsi="Georgia"/>
          <w:b w:val="false"/>
          <w:bCs w:val="false"/>
          <w:i/>
          <w:iCs/>
          <w:color w:val="6E6E6E"/>
          <w:sz w:val="16"/>
          <w:szCs w:val="16"/>
        </w:rPr>
        <w:t xml:space="preserve">Indicative grouping; see the Agreement text at commerce.gov.in for the definitive chapter list. 30 chapters per PIB Release ID 2274280.</w:t>
      </w:r>
    </w:p>
    <w:p>
      <w:pPr>
        <w:pStyle w:val="Heading2"/>
        <w:keepNext/>
        <w:spacing w:after="90" w:before="240"/>
      </w:pPr>
      <w:r>
        <w:rPr>
          <w:rFonts w:ascii="Georgia" w:cs="Georgia" w:eastAsia="Georgia" w:hAnsi="Georgia"/>
          <w:b/>
          <w:bCs/>
          <w:i w:val="false"/>
          <w:iCs w:val="false"/>
          <w:color w:val="2E4C7E"/>
          <w:sz w:val="24"/>
          <w:szCs w:val="24"/>
        </w:rPr>
        <w:t xml:space="preserve">2.4  Goods: tariff elimination in plain terms</w:t>
      </w:r>
    </w:p>
    <w:p>
      <w:pPr>
        <w:spacing w:after="150" w:before="0" w:line="288"/>
        <w:jc w:val="both"/>
      </w:pPr>
      <w:r>
        <w:rPr>
          <w:rFonts w:ascii="Georgia" w:cs="Georgia" w:eastAsia="Georgia" w:hAnsi="Georgia"/>
          <w:b w:val="false"/>
          <w:bCs w:val="false"/>
          <w:i w:val="false"/>
          <w:iCs w:val="false"/>
          <w:color w:val="222222"/>
          <w:sz w:val="21"/>
          <w:szCs w:val="21"/>
        </w:rPr>
        <w:t xml:space="preserve">Exports to the UK: duty on qualifying Indian goods falls to zero on ~99% of tariff lines from day one (PIB 2274280). Imports from the UK: India opens ~89.5% of lines (~91% of UK exports); ~24.5% of value duty-free immediately, the rest over 5/7/10 years, with sensitive lines excluded (Backgrounder pp. 4–5, 20). Automobiles move from over 100% towards 10% within quotas; Scotch whisky and gin fall 150% to 75% immediately, to 40% over ten years (Backgrounder p. 12; WTC pp. 9, 12). The precise figures by sector are tabulated in Chapter 3 (Tables 3.1 and 3.2).</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Because India's cuts are phased and quota-bound, importers of UK goods should not assume an immediate zero duty — read the year-by-year rate off the tariff schedule and check quotas/minimum import price for autos and spirits.</w:t>
            </w:r>
          </w:p>
        </w:tc>
      </w:tr>
    </w:tbl>
    <w:p>
      <w:pPr>
        <w:pStyle w:val="Heading2"/>
        <w:keepNext/>
        <w:spacing w:after="90" w:before="240"/>
      </w:pPr>
      <w:r>
        <w:rPr>
          <w:rFonts w:ascii="Georgia" w:cs="Georgia" w:eastAsia="Georgia" w:hAnsi="Georgia"/>
          <w:b/>
          <w:bCs/>
          <w:i w:val="false"/>
          <w:iCs w:val="false"/>
          <w:color w:val="2E4C7E"/>
          <w:sz w:val="24"/>
          <w:szCs w:val="24"/>
        </w:rPr>
        <w:t xml:space="preserve">2.5  Rules of Origin — the real key to the benefit</w:t>
      </w:r>
    </w:p>
    <w:p>
      <w:pPr>
        <w:spacing w:after="150" w:before="0" w:line="288"/>
        <w:jc w:val="both"/>
      </w:pPr>
      <w:r>
        <w:rPr>
          <w:rFonts w:ascii="Georgia" w:cs="Georgia" w:eastAsia="Georgia" w:hAnsi="Georgia"/>
          <w:b w:val="false"/>
          <w:bCs w:val="false"/>
          <w:i w:val="false"/>
          <w:iCs w:val="false"/>
          <w:color w:val="222222"/>
          <w:sz w:val="21"/>
          <w:szCs w:val="21"/>
        </w:rPr>
        <w:t xml:space="preserve">Rules of Origin ensure the preferential duty goes only to genuinely Indian or British goods. Each product has a product-specific rule (Annex 3A). Exporters self-certify; UK importers may rely on importer's knowledge; small consignments (broadly under £1,000) need no origin documentation (Backgrounder p. 5). The step-by-step process is set out as a flowchart in Chapter 3 (Flowchart A).</w:t>
      </w:r>
    </w:p>
    <w:tbl>
      <w:tblPr>
        <w:tblW w:type="dxa" w:w="9026"/>
        <w:tblBorders>
          <w:top w:val="single" w:color="EAF3EC" w:sz="2"/>
          <w:left w:val="single" w:color="3C7D52" w:sz="30"/>
          <w:bottom w:val="single" w:color="EAF3EC" w:sz="2"/>
          <w:right w:val="single" w:color="EAF3EC" w:sz="2"/>
          <w:insideH w:val="none"/>
          <w:insideV w:val="none"/>
        </w:tblBorders>
      </w:tblPr>
      <w:tblGrid>
        <w:gridCol w:w="9026"/>
      </w:tblGrid>
      <w:tr>
        <w:tc>
          <w:tcPr>
            <w:tcW w:type="dxa" w:w="9026"/>
            <w:shd w:fill="EAF3EC" w:color="auto" w:val="clear"/>
            <w:tcMar>
              <w:top w:type="dxa" w:w="130"/>
              <w:left w:type="dxa" w:w="220"/>
              <w:bottom w:type="dxa" w:w="130"/>
              <w:right w:type="dxa" w:w="200"/>
            </w:tcMar>
          </w:tcPr>
          <w:p>
            <w:pPr>
              <w:spacing w:after="60"/>
            </w:pPr>
            <w:r>
              <w:rPr>
                <w:rFonts w:ascii="Georgia" w:cs="Georgia" w:eastAsia="Georgia" w:hAnsi="Georgia"/>
                <w:b/>
                <w:bCs/>
                <w:i w:val="false"/>
                <w:iCs w:val="false"/>
                <w:color w:val="3C7D52"/>
                <w:sz w:val="17"/>
                <w:szCs w:val="17"/>
              </w:rPr>
              <w:t xml:space="preserve">CLIENT TIP</w:t>
            </w:r>
          </w:p>
          <w:p>
            <w:pPr>
              <w:spacing w:after="40" w:line="276"/>
              <w:jc w:val="left"/>
            </w:pPr>
            <w:r>
              <w:rPr>
                <w:rFonts w:ascii="Georgia" w:cs="Georgia" w:eastAsia="Georgia" w:hAnsi="Georgia"/>
                <w:b w:val="false"/>
                <w:bCs w:val="false"/>
                <w:i w:val="false"/>
                <w:iCs w:val="false"/>
                <w:color w:val="222222"/>
                <w:sz w:val="20"/>
                <w:szCs w:val="20"/>
              </w:rPr>
              <w:t xml:space="preserve">Self-certification is a simplification of process, not of substance. You remain responsible for the accuracy of the origin claim and must prove it on verification — build the evidence file (bill of materials, supplier declarations, production records) at the time of shipment.</w:t>
            </w:r>
          </w:p>
        </w:tc>
      </w:tr>
    </w:tbl>
    <w:p>
      <w:pPr>
        <w:pStyle w:val="Heading2"/>
        <w:keepNext/>
        <w:spacing w:after="90" w:before="240"/>
      </w:pPr>
      <w:r>
        <w:rPr>
          <w:rFonts w:ascii="Georgia" w:cs="Georgia" w:eastAsia="Georgia" w:hAnsi="Georgia"/>
          <w:b/>
          <w:bCs/>
          <w:i w:val="false"/>
          <w:iCs w:val="false"/>
          <w:color w:val="2E4C7E"/>
          <w:sz w:val="24"/>
          <w:szCs w:val="24"/>
        </w:rPr>
        <w:t xml:space="preserve">2.6  Services, mobility and the DCC</w:t>
      </w:r>
    </w:p>
    <w:p>
      <w:pPr>
        <w:spacing w:after="150" w:before="0" w:line="288"/>
        <w:jc w:val="both"/>
      </w:pPr>
      <w:r>
        <w:rPr>
          <w:rFonts w:ascii="Georgia" w:cs="Georgia" w:eastAsia="Georgia" w:hAnsi="Georgia"/>
          <w:b w:val="false"/>
          <w:bCs w:val="false"/>
          <w:i w:val="false"/>
          <w:iCs w:val="false"/>
          <w:color w:val="222222"/>
          <w:sz w:val="21"/>
          <w:szCs w:val="21"/>
        </w:rPr>
        <w:t xml:space="preserve">The UK opened all major services sectors and 137 sub-sectors (PIB 2274280); India extended commitments in a large number of sub-sectors (Backgrounder p. 17). Assured, time-bound mobility applies to five categories, with economic-needs tests and numerical caps removed (Backgrounder pp. 17–18), plus a 1,800-a-year quota for chefs, yoga instructors and classical musicians (PIB 2274280), and mutual recognition targeted within twelve months (Backgrounder p. 17). The Double Contribution Convention exempts Indian professionals and employers from UK social security for up to five years (up from three), claimed via a Certificate of Coverage (PIB 2274280).</w:t>
      </w:r>
    </w:p>
    <w:p>
      <w:pPr>
        <w:keepNext/>
        <w:spacing w:after="60" w:before="60"/>
      </w:pPr>
      <w:r>
        <w:rPr>
          <w:rFonts w:ascii="Georgia" w:cs="Georgia" w:eastAsia="Georgia" w:hAnsi="Georgia"/>
          <w:b/>
          <w:bCs/>
          <w:i w:val="false"/>
          <w:iCs w:val="false"/>
          <w:color w:val="1F3864"/>
          <w:sz w:val="19"/>
          <w:szCs w:val="19"/>
        </w:rPr>
        <w:t xml:space="preserve">Table 2.2  ·  Assured mobility routes (durations)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4600"/>
        <w:gridCol w:w="4426"/>
      </w:tblGrid>
      <w:tr>
        <w:trPr>
          <w:tblHeader/>
        </w:trPr>
        <w:tc>
          <w:tcPr>
            <w:tcW w:type="dxa" w:w="46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Category</w:t>
            </w:r>
          </w:p>
        </w:tc>
        <w:tc>
          <w:tcPr>
            <w:tcW w:type="dxa" w:w="44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Duration</w:t>
            </w:r>
          </w:p>
        </w:tc>
      </w:tr>
      <w:tr>
        <w:tc>
          <w:tcPr>
            <w:tcW w:type="dxa" w:w="4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Business visitors</w:t>
            </w:r>
          </w:p>
        </w:tc>
        <w:tc>
          <w:tcPr>
            <w:tcW w:type="dxa" w:w="4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90 days in any 6-month period</w:t>
            </w:r>
          </w:p>
        </w:tc>
      </w:tr>
      <w:tr>
        <w:tc>
          <w:tcPr>
            <w:tcW w:type="dxa" w:w="46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Intra-corporate transferees (incl. dependants)</w:t>
            </w:r>
          </w:p>
        </w:tc>
        <w:tc>
          <w:tcPr>
            <w:tcW w:type="dxa" w:w="44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3 years</w:t>
            </w:r>
          </w:p>
        </w:tc>
      </w:tr>
      <w:tr>
        <w:tc>
          <w:tcPr>
            <w:tcW w:type="dxa" w:w="4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Contractual service suppliers</w:t>
            </w:r>
          </w:p>
        </w:tc>
        <w:tc>
          <w:tcPr>
            <w:tcW w:type="dxa" w:w="4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12 months in any 24; 33 sub-sectors</w:t>
            </w:r>
          </w:p>
        </w:tc>
      </w:tr>
      <w:tr>
        <w:tc>
          <w:tcPr>
            <w:tcW w:type="dxa" w:w="46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Independent professionals</w:t>
            </w:r>
          </w:p>
        </w:tc>
        <w:tc>
          <w:tcPr>
            <w:tcW w:type="dxa" w:w="44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12 months in any 24; 16 sub-sectors</w:t>
            </w:r>
          </w:p>
        </w:tc>
      </w:tr>
      <w:tr>
        <w:tc>
          <w:tcPr>
            <w:tcW w:type="dxa" w:w="4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Investors</w:t>
            </w:r>
          </w:p>
        </w:tc>
        <w:tc>
          <w:tcPr>
            <w:tcW w:type="dxa" w:w="4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1 year</w:t>
            </w:r>
          </w:p>
        </w:tc>
      </w:tr>
      <w:tr>
        <w:tc>
          <w:tcPr>
            <w:tcW w:type="dxa" w:w="46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Chefs, yoga instructors, classical musicians</w:t>
            </w:r>
          </w:p>
        </w:tc>
        <w:tc>
          <w:tcPr>
            <w:tcW w:type="dxa" w:w="44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Dedicated quota of 1,800 per year</w:t>
            </w:r>
          </w:p>
        </w:tc>
      </w:tr>
    </w:tbl>
    <w:p>
      <w:pPr>
        <w:spacing w:after="120" w:before="40"/>
      </w:pPr>
      <w:r>
        <w:rPr>
          <w:rFonts w:ascii="Georgia" w:cs="Georgia" w:eastAsia="Georgia" w:hAnsi="Georgia"/>
          <w:b w:val="false"/>
          <w:bCs w:val="false"/>
          <w:i/>
          <w:iCs/>
          <w:color w:val="6E6E6E"/>
          <w:sz w:val="16"/>
          <w:szCs w:val="16"/>
        </w:rPr>
        <w:t xml:space="preserve">Source: PIB Backgrounder (29 July 2025) pp. 17–18; PIB Release ID 2274280.</w:t>
      </w:r>
    </w:p>
    <w:p>
      <w:pPr>
        <w:pStyle w:val="Heading2"/>
        <w:keepNext/>
        <w:spacing w:after="90" w:before="240"/>
      </w:pPr>
      <w:r>
        <w:rPr>
          <w:rFonts w:ascii="Georgia" w:cs="Georgia" w:eastAsia="Georgia" w:hAnsi="Georgia"/>
          <w:b/>
          <w:bCs/>
          <w:i w:val="false"/>
          <w:iCs w:val="false"/>
          <w:color w:val="2E4C7E"/>
          <w:sz w:val="24"/>
          <w:szCs w:val="24"/>
        </w:rPr>
        <w:t xml:space="preserve">2.7  Customs facilitation, digital trade, IP, procurement, MSMEs, sustainability</w:t>
      </w:r>
    </w:p>
    <w:p>
      <w:pPr>
        <w:spacing w:after="150" w:before="0" w:line="288"/>
        <w:jc w:val="both"/>
      </w:pPr>
      <w:r>
        <w:rPr>
          <w:rFonts w:ascii="Georgia" w:cs="Georgia" w:eastAsia="Georgia" w:hAnsi="Georgia"/>
          <w:b w:val="false"/>
          <w:bCs w:val="false"/>
          <w:i w:val="false"/>
          <w:iCs w:val="false"/>
          <w:color w:val="222222"/>
          <w:sz w:val="21"/>
          <w:szCs w:val="21"/>
        </w:rPr>
        <w:t xml:space="preserve">The Agreement commits to simplified, paperless customs, AEO fast-tracking and single-window clearance, with faster release of compliant goods (Backgrounder pp. 21, 26). It adds digital-trade rules (paperless trading, e-certification, data flows), balanced IP protection, a first-of-its-kind bilateral government-procurement opening (with practical-access caveats for MSMEs), a dedicated MSME chapter and contact point, and chapters on environment, labour, gender and anti-corruption (PIB 2274280; Backgrounder pp. 13, 14, 21, 24, 26). A separate Bilateral Investment Treaty (dedicated investment protection) remains under negotiation and is not yet concluded (Backgrounder p. 13).</w:t>
      </w:r>
    </w:p>
    <w:p>
      <w:pPr>
        <w:pStyle w:val="Heading2"/>
        <w:keepNext/>
        <w:spacing w:after="90" w:before="240"/>
      </w:pPr>
      <w:r>
        <w:rPr>
          <w:rFonts w:ascii="Georgia" w:cs="Georgia" w:eastAsia="Georgia" w:hAnsi="Georgia"/>
          <w:b/>
          <w:bCs/>
          <w:i w:val="false"/>
          <w:iCs w:val="false"/>
          <w:color w:val="2E4C7E"/>
          <w:sz w:val="24"/>
          <w:szCs w:val="24"/>
        </w:rPr>
        <w:t xml:space="preserve">2.8  Governance, the steel understanding and the timeline</w:t>
      </w:r>
    </w:p>
    <w:p>
      <w:pPr>
        <w:spacing w:after="150" w:before="0" w:line="288"/>
        <w:jc w:val="both"/>
      </w:pPr>
      <w:r>
        <w:rPr>
          <w:rFonts w:ascii="Georgia" w:cs="Georgia" w:eastAsia="Georgia" w:hAnsi="Georgia"/>
          <w:b w:val="false"/>
          <w:bCs w:val="false"/>
          <w:i w:val="false"/>
          <w:iCs w:val="false"/>
          <w:color w:val="222222"/>
          <w:sz w:val="21"/>
          <w:szCs w:val="21"/>
        </w:rPr>
        <w:t xml:space="preserve">A Joint Committee, sub-committees and working groups administer the Agreement; amendments require mutual consent (confirm details against the Agreement text). A UK steel-safeguard measure effective 1 July 2026 was resolved ahead of entry into force — ~85% of India's steel exports fall outside it, and affected lines are protected through country-specific quotas, residual quotas and an Authorised Use Scheme (PIB 2274280).</w:t>
      </w:r>
    </w:p>
    <w:p>
      <w:pPr>
        <w:keepNext/>
        <w:spacing w:after="60" w:before="60"/>
      </w:pPr>
      <w:r>
        <w:rPr>
          <w:rFonts w:ascii="Georgia" w:cs="Georgia" w:eastAsia="Georgia" w:hAnsi="Georgia"/>
          <w:b/>
          <w:bCs/>
          <w:i w:val="false"/>
          <w:iCs w:val="false"/>
          <w:color w:val="1F3864"/>
          <w:sz w:val="19"/>
          <w:szCs w:val="19"/>
        </w:rPr>
        <w:t xml:space="preserve">Table 2.3  ·  Implementation timeline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7326"/>
      </w:tblGrid>
      <w:tr>
        <w:trPr>
          <w:tblHeader/>
        </w:trPr>
        <w:tc>
          <w:tcPr>
            <w:tcW w:type="dxa" w:w="17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When</w:t>
            </w:r>
          </w:p>
        </w:tc>
        <w:tc>
          <w:tcPr>
            <w:tcW w:type="dxa" w:w="73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Milestone</w:t>
            </w:r>
          </w:p>
        </w:tc>
      </w:tr>
      <w:tr>
        <w:tc>
          <w:tcPr>
            <w:tcW w:type="dxa" w:w="17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May 2021</w:t>
            </w:r>
          </w:p>
        </w:tc>
        <w:tc>
          <w:tcPr>
            <w:tcW w:type="dxa" w:w="73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Enhanced Trade Partnership and India–UK Roadmap 2030 adopted.</w:t>
            </w:r>
          </w:p>
        </w:tc>
      </w:tr>
      <w:tr>
        <w:tc>
          <w:tcPr>
            <w:tcW w:type="dxa" w:w="17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2022</w:t>
            </w:r>
          </w:p>
        </w:tc>
        <w:tc>
          <w:tcPr>
            <w:tcW w:type="dxa" w:w="73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Formal FTA negotiations launched.</w:t>
            </w:r>
          </w:p>
        </w:tc>
      </w:tr>
      <w:tr>
        <w:tc>
          <w:tcPr>
            <w:tcW w:type="dxa" w:w="17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6 May 2025</w:t>
            </w:r>
          </w:p>
        </w:tc>
        <w:tc>
          <w:tcPr>
            <w:tcW w:type="dxa" w:w="73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Negotiations concluded after fourteen rounds.</w:t>
            </w:r>
          </w:p>
        </w:tc>
      </w:tr>
      <w:tr>
        <w:tc>
          <w:tcPr>
            <w:tcW w:type="dxa" w:w="17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24 July 2025</w:t>
            </w:r>
          </w:p>
        </w:tc>
        <w:tc>
          <w:tcPr>
            <w:tcW w:type="dxa" w:w="73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CETA signed in London.</w:t>
            </w:r>
          </w:p>
        </w:tc>
      </w:tr>
      <w:tr>
        <w:tc>
          <w:tcPr>
            <w:tcW w:type="dxa" w:w="17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10 Feb 2026</w:t>
            </w:r>
          </w:p>
        </w:tc>
        <w:tc>
          <w:tcPr>
            <w:tcW w:type="dxa" w:w="73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Double Contribution Convention signed.</w:t>
            </w:r>
          </w:p>
        </w:tc>
      </w:tr>
      <w:tr>
        <w:tc>
          <w:tcPr>
            <w:tcW w:type="dxa" w:w="17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1 July 2026</w:t>
            </w:r>
          </w:p>
        </w:tc>
        <w:tc>
          <w:tcPr>
            <w:tcW w:type="dxa" w:w="73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UK steel-safeguard measure takes effect; addressed via the CETA steel understanding.</w:t>
            </w:r>
          </w:p>
        </w:tc>
      </w:tr>
      <w:tr>
        <w:tc>
          <w:tcPr>
            <w:tcW w:type="dxa" w:w="170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1F3864"/>
                <w:sz w:val="17"/>
                <w:szCs w:val="17"/>
              </w:rPr>
              <w:t xml:space="preserve">15 July 2026</w:t>
            </w:r>
          </w:p>
        </w:tc>
        <w:tc>
          <w:tcPr>
            <w:tcW w:type="dxa" w:w="7326"/>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CETA and DCC enter into force — the date this memorandum is issued.</w:t>
            </w:r>
          </w:p>
        </w:tc>
      </w:tr>
      <w:tr>
        <w:tc>
          <w:tcPr>
            <w:tcW w:type="dxa" w:w="17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2026 onward</w:t>
            </w:r>
          </w:p>
        </w:tc>
        <w:tc>
          <w:tcPr>
            <w:tcW w:type="dxa" w:w="73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Tariff phase-downs over 5/7/10 years; mutual recognition targeted within 12 months; Joint Committee begins.</w:t>
            </w:r>
          </w:p>
        </w:tc>
      </w:tr>
      <w:tr>
        <w:tc>
          <w:tcPr>
            <w:tcW w:type="dxa" w:w="17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Pending</w:t>
            </w:r>
          </w:p>
        </w:tc>
        <w:tc>
          <w:tcPr>
            <w:tcW w:type="dxa" w:w="73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Bilateral Investment Treaty on a separate track; not yet concluded.</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Chapter 3 — What the CETA Changes (Sector by Sector)</w:t>
      </w:r>
    </w:p>
    <w:p>
      <w:pPr>
        <w:spacing w:after="150" w:before="0" w:line="288"/>
        <w:jc w:val="both"/>
      </w:pPr>
      <w:r>
        <w:rPr>
          <w:rFonts w:ascii="Georgia" w:cs="Georgia" w:eastAsia="Georgia" w:hAnsi="Georgia"/>
          <w:b w:val="false"/>
          <w:bCs w:val="false"/>
          <w:i w:val="false"/>
          <w:iCs w:val="false"/>
          <w:color w:val="222222"/>
          <w:sz w:val="21"/>
          <w:szCs w:val="21"/>
        </w:rPr>
        <w:t xml:space="preserve">Section 3.1 covers the cross-cutting changes (with two process flowcharts); section 3.2 consolidates the sector changes into two before-and-after tables; section 3.3 summarises the phase-in.</w:t>
      </w:r>
    </w:p>
    <w:p>
      <w:pPr>
        <w:pStyle w:val="Heading2"/>
        <w:keepNext/>
        <w:spacing w:after="90" w:before="240"/>
      </w:pPr>
      <w:r>
        <w:rPr>
          <w:rFonts w:ascii="Georgia" w:cs="Georgia" w:eastAsia="Georgia" w:hAnsi="Georgia"/>
          <w:b/>
          <w:bCs/>
          <w:i w:val="false"/>
          <w:iCs w:val="false"/>
          <w:color w:val="2E4C7E"/>
          <w:sz w:val="24"/>
          <w:szCs w:val="24"/>
        </w:rPr>
        <w:t xml:space="preserve">3.1  The cross-cutting changes</w:t>
      </w:r>
    </w:p>
    <w:p>
      <w:pPr>
        <w:spacing w:after="150" w:before="0" w:line="288"/>
        <w:jc w:val="both"/>
      </w:pPr>
      <w:r>
        <w:rPr>
          <w:rFonts w:ascii="Georgia" w:cs="Georgia" w:eastAsia="Georgia" w:hAnsi="Georgia"/>
          <w:b w:val="false"/>
          <w:bCs w:val="false"/>
          <w:i w:val="false"/>
          <w:iCs w:val="false"/>
          <w:color w:val="222222"/>
          <w:sz w:val="21"/>
          <w:szCs w:val="21"/>
        </w:rPr>
        <w:t xml:space="preserve">For exports to the UK, duty on qualifying Indian goods falls to zero from day one. For imports from the UK, Indian duty falls immediately on part of the schedule and over 5/7/10 years on the rest, with exclusions preserved. The preferential rate is claimed by declaring origin on the customs entry (UK: CETA preference codes on CDS; India: Bill of Entry on ICEGATE), supported by a CETA-compliant proof of origin. For UK importers of Indian goods, DCTS preferences are replaced by the CETA and GSP-style Form A / REX proofs are no longer valid — an incorrect claim can trigger back-duty, interest and penalties (GOV.UK / HMRC).</w:t>
      </w:r>
    </w:p>
    <w:p>
      <w:pPr>
        <w:keepNext/>
        <w:spacing w:after="60" w:before="60"/>
      </w:pPr>
      <w:r>
        <w:rPr>
          <w:rFonts w:ascii="Georgia" w:cs="Georgia" w:eastAsia="Georgia" w:hAnsi="Georgia"/>
          <w:b/>
          <w:bCs/>
          <w:i w:val="false"/>
          <w:iCs w:val="false"/>
          <w:color w:val="1F3864"/>
          <w:sz w:val="19"/>
          <w:szCs w:val="19"/>
        </w:rPr>
        <w:t xml:space="preserve">Flowchart A  ·  How to claim a CETA tariff preference (goods)</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1   ·   Classify</w:t>
            </w:r>
          </w:p>
          <w:p>
            <w:pPr>
              <w:spacing w:after="0" w:line="276"/>
              <w:jc w:val="left"/>
            </w:pPr>
            <w:r>
              <w:rPr>
                <w:rFonts w:ascii="Georgia" w:cs="Georgia" w:eastAsia="Georgia" w:hAnsi="Georgia"/>
                <w:b w:val="false"/>
                <w:bCs w:val="false"/>
                <w:i w:val="false"/>
                <w:iCs w:val="false"/>
                <w:color w:val="222222"/>
                <w:sz w:val="20"/>
                <w:szCs w:val="20"/>
              </w:rPr>
              <w:t xml:space="preserve">Determine the correct HS code for the product — the duty and the origin rule both depend on it.</w:t>
            </w:r>
          </w:p>
        </w:tc>
      </w:tr>
    </w:tbl>
    <w:p>
      <w:pPr>
        <w:spacing w:after="24" w:before="24"/>
        <w:jc w:val="center"/>
      </w:pPr>
      <w:r>
        <w:rPr>
          <w:rFonts w:ascii="Georgia" w:cs="Georgia" w:eastAsia="Georgia" w:hAnsi="Georgia"/>
          <w:b/>
          <w:bCs/>
          <w:i w:val="false"/>
          <w:iCs w:val="false"/>
          <w:color w:val="2E4C7E"/>
          <w:sz w:val="20"/>
          <w:szCs w:val="20"/>
        </w:rPr>
        <w:t xml:space="preserve">▼</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2   ·   Check the rule</w:t>
            </w:r>
          </w:p>
          <w:p>
            <w:pPr>
              <w:spacing w:after="0" w:line="276"/>
              <w:jc w:val="left"/>
            </w:pPr>
            <w:r>
              <w:rPr>
                <w:rFonts w:ascii="Georgia" w:cs="Georgia" w:eastAsia="Georgia" w:hAnsi="Georgia"/>
                <w:b w:val="false"/>
                <w:bCs w:val="false"/>
                <w:i w:val="false"/>
                <w:iCs w:val="false"/>
                <w:color w:val="222222"/>
                <w:sz w:val="20"/>
                <w:szCs w:val="20"/>
              </w:rPr>
              <w:t xml:space="preserve">Find the product-specific rule in Annex 3A and confirm the good qualifies as originating (wholly obtained, or sufficient processing / value addition).</w:t>
            </w:r>
          </w:p>
        </w:tc>
      </w:tr>
    </w:tbl>
    <w:p>
      <w:pPr>
        <w:spacing w:after="24" w:before="24"/>
        <w:jc w:val="center"/>
      </w:pPr>
      <w:r>
        <w:rPr>
          <w:rFonts w:ascii="Georgia" w:cs="Georgia" w:eastAsia="Georgia" w:hAnsi="Georgia"/>
          <w:b/>
          <w:bCs/>
          <w:i w:val="false"/>
          <w:iCs w:val="false"/>
          <w:color w:val="2E4C7E"/>
          <w:sz w:val="20"/>
          <w:szCs w:val="20"/>
        </w:rPr>
        <w:t xml:space="preserve">▼</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3   ·   Gather evidence</w:t>
            </w:r>
          </w:p>
          <w:p>
            <w:pPr>
              <w:spacing w:after="0" w:line="276"/>
              <w:jc w:val="left"/>
            </w:pPr>
            <w:r>
              <w:rPr>
                <w:rFonts w:ascii="Georgia" w:cs="Georgia" w:eastAsia="Georgia" w:hAnsi="Georgia"/>
                <w:b w:val="false"/>
                <w:bCs w:val="false"/>
                <w:i w:val="false"/>
                <w:iCs w:val="false"/>
                <w:color w:val="222222"/>
                <w:sz w:val="20"/>
                <w:szCs w:val="20"/>
              </w:rPr>
              <w:t xml:space="preserve">Collect supplier declarations, bill of materials and production records that prove origin.</w:t>
            </w:r>
          </w:p>
        </w:tc>
      </w:tr>
    </w:tbl>
    <w:p>
      <w:pPr>
        <w:spacing w:after="24" w:before="24"/>
        <w:jc w:val="center"/>
      </w:pPr>
      <w:r>
        <w:rPr>
          <w:rFonts w:ascii="Georgia" w:cs="Georgia" w:eastAsia="Georgia" w:hAnsi="Georgia"/>
          <w:b/>
          <w:bCs/>
          <w:i w:val="false"/>
          <w:iCs w:val="false"/>
          <w:color w:val="2E4C7E"/>
          <w:sz w:val="20"/>
          <w:szCs w:val="20"/>
        </w:rPr>
        <w:t xml:space="preserve">▼</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4   ·   Self-certify</w:t>
            </w:r>
          </w:p>
          <w:p>
            <w:pPr>
              <w:spacing w:after="0" w:line="276"/>
              <w:jc w:val="left"/>
            </w:pPr>
            <w:r>
              <w:rPr>
                <w:rFonts w:ascii="Georgia" w:cs="Georgia" w:eastAsia="Georgia" w:hAnsi="Georgia"/>
                <w:b w:val="false"/>
                <w:bCs w:val="false"/>
                <w:i w:val="false"/>
                <w:iCs w:val="false"/>
                <w:color w:val="222222"/>
                <w:sz w:val="20"/>
                <w:szCs w:val="20"/>
              </w:rPr>
              <w:t xml:space="preserve">Issue a CETA origin declaration / certificate of origin. Form A and REX are no longer valid.</w:t>
            </w:r>
          </w:p>
        </w:tc>
      </w:tr>
    </w:tbl>
    <w:p>
      <w:pPr>
        <w:spacing w:after="24" w:before="24"/>
        <w:jc w:val="center"/>
      </w:pPr>
      <w:r>
        <w:rPr>
          <w:rFonts w:ascii="Georgia" w:cs="Georgia" w:eastAsia="Georgia" w:hAnsi="Georgia"/>
          <w:b/>
          <w:bCs/>
          <w:i w:val="false"/>
          <w:iCs w:val="false"/>
          <w:color w:val="2E4C7E"/>
          <w:sz w:val="20"/>
          <w:szCs w:val="20"/>
        </w:rPr>
        <w:t xml:space="preserve">▼</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5   ·   Claim at the border</w:t>
            </w:r>
          </w:p>
          <w:p>
            <w:pPr>
              <w:spacing w:after="0" w:line="276"/>
              <w:jc w:val="left"/>
            </w:pPr>
            <w:r>
              <w:rPr>
                <w:rFonts w:ascii="Georgia" w:cs="Georgia" w:eastAsia="Georgia" w:hAnsi="Georgia"/>
                <w:b w:val="false"/>
                <w:bCs w:val="false"/>
                <w:i w:val="false"/>
                <w:iCs w:val="false"/>
                <w:color w:val="222222"/>
                <w:sz w:val="20"/>
                <w:szCs w:val="20"/>
              </w:rPr>
              <w:t xml:space="preserve">Enter the CETA preference code on the customs declaration (UK: CDS; India: Bill of Entry on ICEGATE).</w:t>
            </w:r>
          </w:p>
        </w:tc>
      </w:tr>
    </w:tbl>
    <w:p>
      <w:pPr>
        <w:spacing w:after="24" w:before="24"/>
        <w:jc w:val="center"/>
      </w:pPr>
      <w:r>
        <w:rPr>
          <w:rFonts w:ascii="Georgia" w:cs="Georgia" w:eastAsia="Georgia" w:hAnsi="Georgia"/>
          <w:b/>
          <w:bCs/>
          <w:i w:val="false"/>
          <w:iCs w:val="false"/>
          <w:color w:val="2E4C7E"/>
          <w:sz w:val="20"/>
          <w:szCs w:val="20"/>
        </w:rPr>
        <w:t xml:space="preserve">▼</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6   ·   Retain records</w:t>
            </w:r>
          </w:p>
          <w:p>
            <w:pPr>
              <w:spacing w:after="0" w:line="276"/>
              <w:jc w:val="left"/>
            </w:pPr>
            <w:r>
              <w:rPr>
                <w:rFonts w:ascii="Georgia" w:cs="Georgia" w:eastAsia="Georgia" w:hAnsi="Georgia"/>
                <w:b w:val="false"/>
                <w:bCs w:val="false"/>
                <w:i w:val="false"/>
                <w:iCs w:val="false"/>
                <w:color w:val="222222"/>
                <w:sz w:val="20"/>
                <w:szCs w:val="20"/>
              </w:rPr>
              <w:t xml:space="preserve">Keep the origin file for the verification period in case of a post-clearance check by either customs authority.</w:t>
            </w:r>
          </w:p>
        </w:tc>
      </w:tr>
    </w:tbl>
    <w:p>
      <w:pPr>
        <w:keepNext/>
        <w:spacing w:after="60" w:before="60"/>
      </w:pPr>
      <w:r>
        <w:rPr>
          <w:rFonts w:ascii="Georgia" w:cs="Georgia" w:eastAsia="Georgia" w:hAnsi="Georgia"/>
          <w:b/>
          <w:bCs/>
          <w:i w:val="false"/>
          <w:iCs w:val="false"/>
          <w:color w:val="1F3864"/>
          <w:sz w:val="19"/>
          <w:szCs w:val="19"/>
        </w:rPr>
        <w:t xml:space="preserve">Flowchart B  ·  How to claim the DCC social-security exemption</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1   ·   Confirm eligibility</w:t>
            </w:r>
          </w:p>
          <w:p>
            <w:pPr>
              <w:spacing w:after="0" w:line="276"/>
              <w:jc w:val="left"/>
            </w:pPr>
            <w:r>
              <w:rPr>
                <w:rFonts w:ascii="Georgia" w:cs="Georgia" w:eastAsia="Georgia" w:hAnsi="Georgia"/>
                <w:b w:val="false"/>
                <w:bCs w:val="false"/>
                <w:i w:val="false"/>
                <w:iCs w:val="false"/>
                <w:color w:val="222222"/>
                <w:sz w:val="20"/>
                <w:szCs w:val="20"/>
              </w:rPr>
              <w:t xml:space="preserve">Employee on a temporary UK assignment (up to five years) for an Indian employer.</w:t>
            </w:r>
          </w:p>
        </w:tc>
      </w:tr>
    </w:tbl>
    <w:p>
      <w:pPr>
        <w:spacing w:after="24" w:before="24"/>
        <w:jc w:val="center"/>
      </w:pPr>
      <w:r>
        <w:rPr>
          <w:rFonts w:ascii="Georgia" w:cs="Georgia" w:eastAsia="Georgia" w:hAnsi="Georgia"/>
          <w:b/>
          <w:bCs/>
          <w:i w:val="false"/>
          <w:iCs w:val="false"/>
          <w:color w:val="2E4C7E"/>
          <w:sz w:val="20"/>
          <w:szCs w:val="20"/>
        </w:rPr>
        <w:t xml:space="preserve">▼</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2   ·   Apply for a Certificate of Coverage</w:t>
            </w:r>
          </w:p>
          <w:p>
            <w:pPr>
              <w:spacing w:after="0" w:line="276"/>
              <w:jc w:val="left"/>
            </w:pPr>
            <w:r>
              <w:rPr>
                <w:rFonts w:ascii="Georgia" w:cs="Georgia" w:eastAsia="Georgia" w:hAnsi="Georgia"/>
                <w:b w:val="false"/>
                <w:bCs w:val="false"/>
                <w:i w:val="false"/>
                <w:iCs w:val="false"/>
                <w:color w:val="222222"/>
                <w:sz w:val="20"/>
                <w:szCs w:val="20"/>
              </w:rPr>
              <w:t xml:space="preserve">The employer applies to the home-country authority (in India, the EPFO).</w:t>
            </w:r>
          </w:p>
        </w:tc>
      </w:tr>
    </w:tbl>
    <w:p>
      <w:pPr>
        <w:spacing w:after="24" w:before="24"/>
        <w:jc w:val="center"/>
      </w:pPr>
      <w:r>
        <w:rPr>
          <w:rFonts w:ascii="Georgia" w:cs="Georgia" w:eastAsia="Georgia" w:hAnsi="Georgia"/>
          <w:b/>
          <w:bCs/>
          <w:i w:val="false"/>
          <w:iCs w:val="false"/>
          <w:color w:val="2E4C7E"/>
          <w:sz w:val="20"/>
          <w:szCs w:val="20"/>
        </w:rPr>
        <w:t xml:space="preserve">▼</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3   ·   Contribute at home only</w:t>
            </w:r>
          </w:p>
          <w:p>
            <w:pPr>
              <w:spacing w:after="0" w:line="276"/>
              <w:jc w:val="left"/>
            </w:pPr>
            <w:r>
              <w:rPr>
                <w:rFonts w:ascii="Georgia" w:cs="Georgia" w:eastAsia="Georgia" w:hAnsi="Georgia"/>
                <w:b w:val="false"/>
                <w:bCs w:val="false"/>
                <w:i w:val="false"/>
                <w:iCs w:val="false"/>
                <w:color w:val="222222"/>
                <w:sz w:val="20"/>
                <w:szCs w:val="20"/>
              </w:rPr>
              <w:t xml:space="preserve">Pay social security solely in the home country during the assignment — no UK National Insurance.</w:t>
            </w:r>
          </w:p>
        </w:tc>
      </w:tr>
    </w:tbl>
    <w:p>
      <w:pPr>
        <w:spacing w:after="24" w:before="24"/>
        <w:jc w:val="center"/>
      </w:pPr>
      <w:r>
        <w:rPr>
          <w:rFonts w:ascii="Georgia" w:cs="Georgia" w:eastAsia="Georgia" w:hAnsi="Georgia"/>
          <w:b/>
          <w:bCs/>
          <w:i w:val="false"/>
          <w:iCs w:val="false"/>
          <w:color w:val="2E4C7E"/>
          <w:sz w:val="20"/>
          <w:szCs w:val="20"/>
        </w:rPr>
        <w:t xml:space="preserve">▼</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STEP 4   ·   Hold the certificate &amp; update payroll</w:t>
            </w:r>
          </w:p>
          <w:p>
            <w:pPr>
              <w:spacing w:after="0" w:line="276"/>
              <w:jc w:val="left"/>
            </w:pPr>
            <w:r>
              <w:rPr>
                <w:rFonts w:ascii="Georgia" w:cs="Georgia" w:eastAsia="Georgia" w:hAnsi="Georgia"/>
                <w:b w:val="false"/>
                <w:bCs w:val="false"/>
                <w:i w:val="false"/>
                <w:iCs w:val="false"/>
                <w:color w:val="222222"/>
                <w:sz w:val="20"/>
                <w:szCs w:val="20"/>
              </w:rPr>
              <w:t xml:space="preserve">Retain the Certificate of Coverage as proof; align payroll and tax-equalisation clauses.</w:t>
            </w:r>
          </w:p>
        </w:tc>
      </w:tr>
    </w:tbl>
    <w:p>
      <w:pPr>
        <w:pStyle w:val="Heading3"/>
        <w:keepNext/>
        <w:spacing w:after="60" w:before="170"/>
      </w:pPr>
      <w:r>
        <w:rPr>
          <w:rFonts w:ascii="Georgia" w:cs="Georgia" w:eastAsia="Georgia" w:hAnsi="Georgia"/>
          <w:b/>
          <w:bCs/>
          <w:i w:val="false"/>
          <w:iCs w:val="false"/>
          <w:color w:val="2E4C7E"/>
          <w:sz w:val="21"/>
          <w:szCs w:val="21"/>
        </w:rPr>
        <w:t xml:space="preserve">What has NOT changed</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Domestic taxes and regulators are untouched. Indian IGST still applies to imports (now on a lower duty-inclusive value); BIS, FSSAI, CDSCO, Legal Metrology, WPC/TEC and quarantine approvals are still required; UK product standards (UKCA/CE, UK REACH) and SPS controls still apply; and the FEMA/RBI framework is unchanged. The CETA lowers tariffs and streamlines customs — it does not remove domestic compliance.</w:t>
            </w:r>
          </w:p>
        </w:tc>
      </w:tr>
    </w:tbl>
    <w:p>
      <w:pPr>
        <w:pStyle w:val="Heading2"/>
        <w:keepNext/>
        <w:spacing w:after="90" w:before="240"/>
      </w:pPr>
      <w:r>
        <w:rPr>
          <w:rFonts w:ascii="Georgia" w:cs="Georgia" w:eastAsia="Georgia" w:hAnsi="Georgia"/>
          <w:b/>
          <w:bCs/>
          <w:i w:val="false"/>
          <w:iCs w:val="false"/>
          <w:color w:val="2E4C7E"/>
          <w:sz w:val="24"/>
          <w:szCs w:val="24"/>
        </w:rPr>
        <w:t xml:space="preserve">3.2  Sector change tables (before and after)</w:t>
      </w:r>
    </w:p>
    <w:p>
      <w:pPr>
        <w:spacing w:after="150" w:before="0" w:line="288"/>
        <w:jc w:val="both"/>
      </w:pPr>
      <w:r>
        <w:rPr>
          <w:rFonts w:ascii="Georgia" w:cs="Georgia" w:eastAsia="Georgia" w:hAnsi="Georgia"/>
          <w:b w:val="false"/>
          <w:bCs w:val="false"/>
          <w:i w:val="false"/>
          <w:iCs w:val="false"/>
          <w:color w:val="222222"/>
          <w:sz w:val="21"/>
          <w:szCs w:val="21"/>
        </w:rPr>
        <w:t xml:space="preserve">The two tables below place the pre-FTA duty and the post-FTA duty in adjacent columns, so the change is immediate, and state the key new obligation or the compliance that remains.</w:t>
      </w:r>
    </w:p>
    <w:p>
      <w:pPr>
        <w:keepNext/>
        <w:spacing w:after="60" w:before="60"/>
      </w:pPr>
      <w:r>
        <w:rPr>
          <w:rFonts w:ascii="Georgia" w:cs="Georgia" w:eastAsia="Georgia" w:hAnsi="Georgia"/>
          <w:b/>
          <w:bCs/>
          <w:i w:val="false"/>
          <w:iCs w:val="false"/>
          <w:color w:val="1F3864"/>
          <w:sz w:val="19"/>
          <w:szCs w:val="19"/>
        </w:rPr>
        <w:t xml:space="preserve">Table 3.1  ·  What changed — India's exports to the UK, by sector</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650"/>
        <w:gridCol w:w="1300"/>
        <w:gridCol w:w="1450"/>
        <w:gridCol w:w="3226"/>
        <w:gridCol w:w="1400"/>
      </w:tblGrid>
      <w:tr>
        <w:trPr>
          <w:tblHeader/>
        </w:trPr>
        <w:tc>
          <w:tcPr>
            <w:tcW w:type="dxa" w:w="16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Sector (HS)</w:t>
            </w:r>
          </w:p>
        </w:tc>
        <w:tc>
          <w:tcPr>
            <w:tcW w:type="dxa" w:w="13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Pre-FTA duty</w:t>
            </w:r>
          </w:p>
        </w:tc>
        <w:tc>
          <w:tcPr>
            <w:tcW w:type="dxa" w:w="14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Post-FTA duty</w:t>
            </w:r>
          </w:p>
        </w:tc>
        <w:tc>
          <w:tcPr>
            <w:tcW w:type="dxa" w:w="32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Key change / new obligation</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Source</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Textiles, apparel &amp; carpets (50–63)</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~12%</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 (day one)</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Reverses Jan-2026 DCTS loss. Must self-certify origin (Annex 3A) and use CETA codes on CDS; Form A/REX invalid. UK labelling/UKCA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 combined p.9</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Leather &amp; footwear (41–43,64)</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~16%</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Origin qualification; UKCA/UK REACH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p.9; Annex 3A</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Gems &amp; jewellery (71)</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~4%</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Origin proof; hallmarking unchanged. ~2–3x export growth projected.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p.16</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Marine products (03,1604–05)</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~4.2–21.5%</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Levels field vs Vietnam/Ecuador. SPS (establishment approval, health cert, IPAFFS, BCP) unchanged — now the gating factor.</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p.13; combined p.8</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Processed &amp; agri foods (07–22)</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~70%</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SPS/labelling unchanged; origin proof. Exports projected to rise materially.</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pp.6–7</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Tea, coffee &amp; spices (09)</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 on value-added</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Value-added coffee/tea gain most; food-safety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pp.7–8</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Pharmaceuticals &amp; devices (30,9018–22)</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~8%</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Device mutual-recognition framework (CDSCO/ICMED); MHRA authorisation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pp.12–13</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Chemicals &amp; plastics (28–29,39)</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~8%</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Reverses Jan-2026 DCTS loss; UK REACH unchanged. ~30–40% export growth projected.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pp.13–15</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Engineering &amp; machinery (84–85)</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~18%</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Recognition of Indian conformity bodies (electronics/telecom). ~2x by 2029–30.</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pp.10–12</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Iron, steel &amp; metals (72–76)</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Steel-safeguard managed via CSQ/residual quota/AUS; ~85% outside the measures — track quota terms.</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EV, auto components, renewables (87,85)</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~18%</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 / lower</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Supports UK net-zero supply chains; UK type-approval/UNECE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p.20; WTC p.13</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Ceramics &amp; construction (69)</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~5–12%</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0%</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Origin proof; product safety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w:t>
            </w:r>
          </w:p>
        </w:tc>
      </w:tr>
    </w:tbl>
    <w:p>
      <w:pPr>
        <w:keepNext/>
        <w:spacing w:after="60" w:before="60"/>
      </w:pPr>
      <w:r>
        <w:rPr>
          <w:rFonts w:ascii="Georgia" w:cs="Georgia" w:eastAsia="Georgia" w:hAnsi="Georgia"/>
          <w:b/>
          <w:bCs/>
          <w:i w:val="false"/>
          <w:iCs w:val="false"/>
          <w:color w:val="1F3864"/>
          <w:sz w:val="19"/>
          <w:szCs w:val="19"/>
        </w:rPr>
        <w:t xml:space="preserve">Table 3.2  ·  What changed — UK imports into India, by sector</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650"/>
        <w:gridCol w:w="1300"/>
        <w:gridCol w:w="1450"/>
        <w:gridCol w:w="3226"/>
        <w:gridCol w:w="1400"/>
      </w:tblGrid>
      <w:tr>
        <w:trPr>
          <w:tblHeader/>
        </w:trPr>
        <w:tc>
          <w:tcPr>
            <w:tcW w:type="dxa" w:w="16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Sector (HS)</w:t>
            </w:r>
          </w:p>
        </w:tc>
        <w:tc>
          <w:tcPr>
            <w:tcW w:type="dxa" w:w="13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Pre-FTA duty</w:t>
            </w:r>
          </w:p>
        </w:tc>
        <w:tc>
          <w:tcPr>
            <w:tcW w:type="dxa" w:w="14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Post-FTA duty</w:t>
            </w:r>
          </w:p>
        </w:tc>
        <w:tc>
          <w:tcPr>
            <w:tcW w:type="dxa" w:w="32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Key change / what stays</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Source</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Scotch whisky &amp; gin (2208)</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150%</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75% now → 40% (yr 10)</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Minimum import price on some spirits; state excise unchanged (limits any retail fall).</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 WTC p.12</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Automobiles – built-up (8703)</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Over 100%</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 10% in-quota, phased</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Quota-based; BIS/AIS type-approval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p.9; combined p.20</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Auto components (8708)</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~15%</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 duty-free</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BIS/AIS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p.20</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Cosmetics (33)</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Reduced</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CDSCO cosmetic registration (Rules 2020)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Medical devices (9018–22)</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~2–6%</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Reduced</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CDSCO (MDR 2017) unchanged; mutual-recognition framework.</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p.13</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Machinery &amp; electricals (84–85)</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~14%</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Reduced / phased</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BIS/CRS and WPC/TEC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Chemicals &amp; plastics (28–29,39)</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~8% / 6%</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Reduced / phased</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Safety compliance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Metals &amp; construction (69–76)</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Up to ~10–12%</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Reduced / phased</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QCOs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Sensitive agri (dairy, cereals, oils, apples)</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High</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Excluded</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Protected — no concession; FSSAI/quarantine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 Bg p.20</w:t>
            </w:r>
          </w:p>
        </w:tc>
      </w:tr>
      <w:tr>
        <w:tc>
          <w:tcPr>
            <w:tcW w:type="dxa" w:w="16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Gold, jewellery, lab-grown diamonds, smartphones, optic fibre</w:t>
            </w:r>
          </w:p>
        </w:tc>
        <w:tc>
          <w:tcPr>
            <w:tcW w:type="dxa" w:w="13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High</w:t>
            </w:r>
          </w:p>
        </w:tc>
        <w:tc>
          <w:tcPr>
            <w:tcW w:type="dxa" w:w="14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Excluded / protected</w:t>
            </w:r>
          </w:p>
        </w:tc>
        <w:tc>
          <w:tcPr>
            <w:tcW w:type="dxa" w:w="32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Strategic exclusions retained.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 Bg p.20</w:t>
            </w:r>
          </w:p>
        </w:tc>
      </w:tr>
      <w:tr>
        <w:tc>
          <w:tcPr>
            <w:tcW w:type="dxa" w:w="16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Strategic (Make in India / PLI) lines</w:t>
            </w:r>
          </w:p>
        </w:tc>
        <w:tc>
          <w:tcPr>
            <w:tcW w:type="dxa" w:w="13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Various</w:t>
            </w:r>
          </w:p>
        </w:tc>
        <w:tc>
          <w:tcPr>
            <w:tcW w:type="dxa" w:w="14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Gradual 5/7/10 yr</w:t>
            </w:r>
          </w:p>
        </w:tc>
        <w:tc>
          <w:tcPr>
            <w:tcW w:type="dxa" w:w="32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Longest transitions; check the schedule by HS.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pp.5,20</w:t>
            </w:r>
          </w:p>
        </w:tc>
      </w:tr>
    </w:tbl>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Reading Tables 3.1 and 3.2 across the duty columns tells you the money; reading the fourth column tells you the work. For exports the work is origin proof; for imports it is the phase-in/quota and the unchanged domestic approvals.</w:t>
            </w:r>
          </w:p>
        </w:tc>
      </w:tr>
    </w:tbl>
    <w:p>
      <w:pPr>
        <w:pStyle w:val="Heading2"/>
        <w:keepNext/>
        <w:spacing w:after="90" w:before="240"/>
      </w:pPr>
      <w:r>
        <w:rPr>
          <w:rFonts w:ascii="Georgia" w:cs="Georgia" w:eastAsia="Georgia" w:hAnsi="Georgia"/>
          <w:b/>
          <w:bCs/>
          <w:i w:val="false"/>
          <w:iCs w:val="false"/>
          <w:color w:val="2E4C7E"/>
          <w:sz w:val="24"/>
          <w:szCs w:val="24"/>
        </w:rPr>
        <w:t xml:space="preserve">3.3  Transition and phase-in at a glance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426"/>
      </w:tblGrid>
      <w:tr>
        <w:trPr>
          <w:tblHeader/>
        </w:trPr>
        <w:tc>
          <w:tcPr>
            <w:tcW w:type="dxa" w:w="26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Element</w:t>
            </w:r>
          </w:p>
        </w:tc>
        <w:tc>
          <w:tcPr>
            <w:tcW w:type="dxa" w:w="64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Timing / transition</w:t>
            </w:r>
          </w:p>
        </w:tc>
      </w:tr>
      <w:tr>
        <w:tc>
          <w:tcPr>
            <w:tcW w:type="dxa" w:w="2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UK duties on Indian goods</w:t>
            </w:r>
          </w:p>
        </w:tc>
        <w:tc>
          <w:tcPr>
            <w:tcW w:type="dxa" w:w="6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Zero on ~99% of tariff lines from day one (15 July 2026).</w:t>
            </w:r>
          </w:p>
        </w:tc>
      </w:tr>
      <w:tr>
        <w:tc>
          <w:tcPr>
            <w:tcW w:type="dxa" w:w="26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Indian duties on UK goods</w:t>
            </w:r>
          </w:p>
        </w:tc>
        <w:tc>
          <w:tcPr>
            <w:tcW w:type="dxa" w:w="64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~24.5% of value duty-free immediately; balance over 5 / 7 / 10 years; sensitive lines excluded.</w:t>
            </w:r>
          </w:p>
        </w:tc>
      </w:tr>
      <w:tr>
        <w:tc>
          <w:tcPr>
            <w:tcW w:type="dxa" w:w="2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Automobiles into India</w:t>
            </w:r>
          </w:p>
        </w:tc>
        <w:tc>
          <w:tcPr>
            <w:tcW w:type="dxa" w:w="6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Over 100% towards 10%, within annual quotas, phased over years.</w:t>
            </w:r>
          </w:p>
        </w:tc>
      </w:tr>
      <w:tr>
        <w:tc>
          <w:tcPr>
            <w:tcW w:type="dxa" w:w="26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Spirits into India</w:t>
            </w:r>
          </w:p>
        </w:tc>
        <w:tc>
          <w:tcPr>
            <w:tcW w:type="dxa" w:w="64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Whisky/gin 150% to 75% immediately, to 40% over 10 years; other premium spirits to 75% by year 10 (minimum import price).</w:t>
            </w:r>
          </w:p>
        </w:tc>
      </w:tr>
      <w:tr>
        <w:tc>
          <w:tcPr>
            <w:tcW w:type="dxa" w:w="2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Proof of origin</w:t>
            </w:r>
          </w:p>
        </w:tc>
        <w:tc>
          <w:tcPr>
            <w:tcW w:type="dxa" w:w="6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CETA self-certification from day one; Form A / REX no longer valid.</w:t>
            </w:r>
          </w:p>
        </w:tc>
      </w:tr>
      <w:tr>
        <w:tc>
          <w:tcPr>
            <w:tcW w:type="dxa" w:w="2600"/>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DCC exemption</w:t>
            </w:r>
          </w:p>
        </w:tc>
        <w:tc>
          <w:tcPr>
            <w:tcW w:type="dxa" w:w="642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Up to 5 years, from 15 July 2026; Certificate of Coverage required.</w:t>
            </w:r>
          </w:p>
        </w:tc>
      </w:tr>
      <w:tr>
        <w:tc>
          <w:tcPr>
            <w:tcW w:type="dxa" w:w="2600"/>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Mutual recognition (MRAs)</w:t>
            </w:r>
          </w:p>
        </w:tc>
        <w:tc>
          <w:tcPr>
            <w:tcW w:type="dxa" w:w="642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Targeted within 12 months of entry into force.</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The Eight Master Comparison Tables</w:t>
      </w:r>
    </w:p>
    <w:p>
      <w:pPr>
        <w:spacing w:after="150" w:before="0" w:line="288"/>
        <w:jc w:val="both"/>
      </w:pPr>
      <w:r>
        <w:rPr>
          <w:rFonts w:ascii="Georgia" w:cs="Georgia" w:eastAsia="Georgia" w:hAnsi="Georgia"/>
          <w:b w:val="false"/>
          <w:bCs w:val="false"/>
          <w:i w:val="false"/>
          <w:iCs w:val="false"/>
          <w:color w:val="222222"/>
          <w:sz w:val="21"/>
          <w:szCs w:val="21"/>
        </w:rPr>
        <w:t xml:space="preserve">The eight tables use the four columns requested: (1) Goods/Service Category (with indicative HS chapters); (2) Customs Duty / Tariff / Market Access; (3) Compliance Requirements &amp; Conditions; and (4) Source / Cross-Reference. Categories are representative groupings, not exhaustive HS lines; confirm the exact rate and rule against the tariff schedule and Annex 3A for the correct HS code.</w:t>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40" w:line="276"/>
              <w:jc w:val="left"/>
            </w:pPr>
            <w:r>
              <w:rPr>
                <w:rFonts w:ascii="Georgia" w:cs="Georgia" w:eastAsia="Georgia" w:hAnsi="Georgia"/>
                <w:b/>
                <w:bCs/>
                <w:i w:val="false"/>
                <w:iCs w:val="false"/>
                <w:color w:val="222222"/>
                <w:sz w:val="19"/>
                <w:szCs w:val="19"/>
              </w:rPr>
              <w:t xml:space="preserve">Where the analysis sits. </w:t>
            </w:r>
            <w:r>
              <w:rPr>
                <w:rFonts w:ascii="Georgia" w:cs="Georgia" w:eastAsia="Georgia" w:hAnsi="Georgia"/>
                <w:b w:val="false"/>
                <w:bCs w:val="false"/>
                <w:i w:val="false"/>
                <w:iCs w:val="false"/>
                <w:color w:val="222222"/>
                <w:sz w:val="19"/>
                <w:szCs w:val="19"/>
              </w:rPr>
              <w:t xml:space="preserve">Tables 1–4 state the pre-FTA baseline; Tables 5–8 state the position under the CETA and identify what changed. Because ‘what changed’ is meaningful only for the post-FTA position, the Key Commercial Changes, Client Action Points and Compliance Checklist are provided after the four post-FTA tables, by subject area and direction.</w:t>
            </w:r>
          </w:p>
        </w:tc>
      </w:tr>
    </w:tbl>
    <w:p>
      <w:pPr>
        <w:pStyle w:val="Heading2"/>
        <w:keepNext/>
        <w:spacing w:after="90" w:before="240"/>
      </w:pPr>
      <w:r>
        <w:rPr>
          <w:rFonts w:ascii="Georgia" w:cs="Georgia" w:eastAsia="Georgia" w:hAnsi="Georgia"/>
          <w:b/>
          <w:bCs/>
          <w:i w:val="false"/>
          <w:iCs w:val="false"/>
          <w:color w:val="2E4C7E"/>
          <w:sz w:val="24"/>
          <w:szCs w:val="24"/>
        </w:rPr>
        <w:t xml:space="preserve">PRE-FTA — Table 1: India Exports to the UK — Goods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Goods category (HS)</w:t>
            </w:r>
          </w:p>
        </w:tc>
        <w:tc>
          <w:tcPr>
            <w:tcW w:type="dxa" w:w="18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Duty / market access (pre-FTA)</w:t>
            </w:r>
          </w:p>
        </w:tc>
        <w:tc>
          <w:tcPr>
            <w:tcW w:type="dxa" w:w="38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Compliance requirements &amp; conditions</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 / cross-reference</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Textiles, apparel &amp; carpets (50–63)</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up to ~12%; limited DCTS relief, withdrawn on 61–63 from 1 Jan 2026</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UKCA where relevant; fibre-composition &amp; labelling; Form A/REX for any DCTS claim; UK importer files on CDS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p.11; GOV.UK DCTS; combined p.9</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Leather &amp; footwear (41–43,64)</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up to ~16%</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Product-safety/UKCA; REACH for treated leather; SPS for raw hides</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p.9; PIB 2274280</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Gems &amp; jewellery (71)</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up to ~4% on jewellery</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Hallmarking/assay; proof of origin for any preference</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p.16; WTC p.11</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Marine products (03,1604–05)</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~4.2–21.5%</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SPS: establishment approval, health certificate, IPAFFS, BCP checks</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pp.13,23; Bg p.8</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Processed &amp; agri foods (07–22)</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up to ~70% (processed)</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SPS/food-safety; labelling; residue limits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 WTC p.12</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Tea, coffee, spices (09)</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duty on value-added forms</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Food-safety &amp; labelling</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pp.7–8</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Pharmaceuticals (30)</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up to ~8%</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MHRA/UK marketing authorisation</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p.12</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Chemicals &amp; plastics (28–29,39)</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up to ~8%; DCTS on chemicals withdrawn Jan 2026</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REACH registration</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pp.13–15; GOV.UK</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Engineering &amp; machinery (84–85)</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up to ~18% (incl. auto components)</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UKCA; product-specific safety; conformity assessment</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pp.10–11</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Iron, steel &amp; metals (72–76)</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DCTS withdrawn Jan 2026; steel-safeguard risk</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Product standards; steel-safeguard quotas</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GOV.UK; PIB 2274280</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Ceramics &amp; construction (69)</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(typically ~5–12%)</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Product-safety/UKCA</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Electronics (85, incl. smartphones)</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MFN (varies; many lines low/zero)</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UKCA; product safety</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p.11</w:t>
            </w:r>
          </w:p>
        </w:tc>
      </w:tr>
    </w:tbl>
    <w:p>
      <w:pPr>
        <w:pStyle w:val="Heading2"/>
        <w:keepNext/>
        <w:spacing w:after="90" w:before="240"/>
      </w:pPr>
      <w:r>
        <w:rPr>
          <w:rFonts w:ascii="Georgia" w:cs="Georgia" w:eastAsia="Georgia" w:hAnsi="Georgia"/>
          <w:b/>
          <w:bCs/>
          <w:i w:val="false"/>
          <w:iCs w:val="false"/>
          <w:color w:val="2E4C7E"/>
          <w:sz w:val="24"/>
          <w:szCs w:val="24"/>
        </w:rPr>
        <w:t xml:space="preserve">PRE-FTA — Table 2: India Exports to the UK — Services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Service category</w:t>
            </w:r>
          </w:p>
        </w:tc>
        <w:tc>
          <w:tcPr>
            <w:tcW w:type="dxa" w:w="18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Market access (pre-FTA)</w:t>
            </w:r>
          </w:p>
        </w:tc>
        <w:tc>
          <w:tcPr>
            <w:tcW w:type="dxa" w:w="38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Compliance requirements &amp; conditions</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 / cross-reference</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IT &amp; ITeS / computer services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Access via UK immigration; no treaty-assured mobility</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work-visa rules; dual UK social-security contributions during assignments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pp.8–9,18</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Other business / professional services</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Ad hoc; qualifications not recognised</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Immigration friction; no MRAs</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Financial services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Subject to UK FCA/PRA authorisation</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prudential authorisation; no bilateral commitments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p.16</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Telecommunications / digital</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No bilateral market-access commitments</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Domestic regulation each side</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Education &amp; training</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Policy-based cooperation only</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Immigration; no campus-establishment framework</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pp.19–20</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Mobility (all categories)</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Economic-needs tests / caps possible</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Uncertain entry; per-visa conditions</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p.18</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Chefs, yoga, musicians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No dedicated route</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General visa routes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w:t>
            </w:r>
          </w:p>
        </w:tc>
      </w:tr>
    </w:tbl>
    <w:p>
      <w:pPr>
        <w:pStyle w:val="Heading2"/>
        <w:keepNext/>
        <w:spacing w:after="90" w:before="240"/>
      </w:pPr>
      <w:r>
        <w:rPr>
          <w:rFonts w:ascii="Georgia" w:cs="Georgia" w:eastAsia="Georgia" w:hAnsi="Georgia"/>
          <w:b/>
          <w:bCs/>
          <w:i w:val="false"/>
          <w:iCs w:val="false"/>
          <w:color w:val="2E4C7E"/>
          <w:sz w:val="24"/>
          <w:szCs w:val="24"/>
        </w:rPr>
        <w:t xml:space="preserve">PRE-FTA — Table 3: UK Imports into India — Goods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Goods category (HS)</w:t>
            </w:r>
          </w:p>
        </w:tc>
        <w:tc>
          <w:tcPr>
            <w:tcW w:type="dxa" w:w="18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Duty (pre-FTA BCD)</w:t>
            </w:r>
          </w:p>
        </w:tc>
        <w:tc>
          <w:tcPr>
            <w:tcW w:type="dxa" w:w="38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Compliance requirements &amp; conditions</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 / cross-reference</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Alcoholic spirits (2208)</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150%</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State excise/licensing; labelling; FSSAI</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 WTC p.12</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Automobiles – CBU (8703)</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over 100%</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BIS/AIS type-approval; homologation</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p.9; Bg p.3</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Processed food (16–22)</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70%</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FSSAI (FICS); Legal Metrology; quarantine</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Vegetable oils (15)</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20%</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FSSAI; quarantine</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Automotive/transport (87)</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18%</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BIS/AIS type-approval</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Leather/footwear (41–43,64)</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16%</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footwear QCO</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Electrical machinery (85)</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14%</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BIS/CRS; WPC/TEC (wireless)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Textiles/clothing; glass; ceramics</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12%</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labelling</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Base metals; wood/paper (44–48,72–83)</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10%</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steel QCOs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Mechanical machinery; chemicals (84,28–29)</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8%</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BIS/CRS; chemical safety</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Plastics/rubber; instruments (39–40,90)</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6%</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where notified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Gems &amp; jewellery; furniture; toys</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up to 4%</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toy QCO; hallmarking</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Medical devices (9018–22)</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BCD ~2–6%</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CDSCO registration (MDR 2017)</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p.13</w:t>
            </w:r>
          </w:p>
        </w:tc>
      </w:tr>
    </w:tbl>
    <w:p>
      <w:pPr>
        <w:pStyle w:val="Heading2"/>
        <w:keepNext/>
        <w:spacing w:after="90" w:before="240"/>
      </w:pPr>
      <w:r>
        <w:rPr>
          <w:rFonts w:ascii="Georgia" w:cs="Georgia" w:eastAsia="Georgia" w:hAnsi="Georgia"/>
          <w:b/>
          <w:bCs/>
          <w:i w:val="false"/>
          <w:iCs w:val="false"/>
          <w:color w:val="2E4C7E"/>
          <w:sz w:val="24"/>
          <w:szCs w:val="24"/>
        </w:rPr>
        <w:t xml:space="preserve">PRE-FTA — Table 4: UK Imports into India — Services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Service category</w:t>
            </w:r>
          </w:p>
        </w:tc>
        <w:tc>
          <w:tcPr>
            <w:tcW w:type="dxa" w:w="18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Market access (pre-FTA)</w:t>
            </w:r>
          </w:p>
        </w:tc>
        <w:tc>
          <w:tcPr>
            <w:tcW w:type="dxa" w:w="38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Compliance requirements &amp; conditions</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 / cross-reference</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Financial services / banking / insurance</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Sectoral FDI caps; case-by-case</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RBI / SEBI / IRDAI licensing; FEMA on payments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Professional / consulting</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Entry limits; qualifications not recognised</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Professional-body regulation; immigration</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Telecommunications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No treaty commitments</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Licensing; WPC/TEC for equipment</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Digital / e-commerce</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No bilateral framework</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Domestic data/consumer law</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p.21</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Education</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No campus-establishment route</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Regulatory approvals; UGC/AICTE</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pp.19–20</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Legal / accountancy</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Restricted cross-border practice</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Bar Council / ICAI regulation</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bl>
    <w:p>
      <w:pPr>
        <w:pStyle w:val="Heading2"/>
        <w:keepNext/>
        <w:spacing w:after="90" w:before="240"/>
      </w:pPr>
      <w:r>
        <w:rPr>
          <w:rFonts w:ascii="Georgia" w:cs="Georgia" w:eastAsia="Georgia" w:hAnsi="Georgia"/>
          <w:b/>
          <w:bCs/>
          <w:i w:val="false"/>
          <w:iCs w:val="false"/>
          <w:color w:val="2E4C7E"/>
          <w:sz w:val="24"/>
          <w:szCs w:val="24"/>
        </w:rPr>
        <w:t xml:space="preserve">POST-FTA — Table 5: India Exports to the UK — Goods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Goods category (HS)</w:t>
            </w:r>
          </w:p>
        </w:tc>
        <w:tc>
          <w:tcPr>
            <w:tcW w:type="dxa" w:w="18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Duty / market access (post-FTA)</w:t>
            </w:r>
          </w:p>
        </w:tc>
        <w:tc>
          <w:tcPr>
            <w:tcW w:type="dxa" w:w="38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Compliance requirements &amp; conditions (what changed)</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 / cross-reference</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Textiles, apparel &amp; carpets (50–63)</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from day one (was up to ~12%)</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Now: CETA self-certified origin (Annex 3A) + CETA preference codes on CDS; Form A/REX invalid. UK labelling/UKCA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 Bg p.5; combined p.9</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Leather &amp; footwear (41–43,64)</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(was up to ~16%)</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Origin qualification; UKCA/REACH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p.9; Annex 3A</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Gems &amp; jewellery (71)</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(was up to ~4%)</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Origin proof; hallmarking unchanged; ~2–3x growth projected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p.16</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Marine products (03,1604–05)</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(was ~4.2–21.5%)</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SPS unchanged (establishment approval, health cert, IPAFFS, BCP) — now the gating factor</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pp.13,23; combined p.8</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Processed &amp; agri foods (07–22)</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(was up to ~70%)</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SPS/labelling unchanged; origin proof</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pp.6–7; PIB 2274280</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Tea, coffee, spices (09)</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Duty-free on value-added forms</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Food-safety unchanged; origin proof</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pp.7–8</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Pharmaceuticals &amp; devices (30,9018–22)</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(was up to ~8%)</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Device mutual-recognition (CDSCO/ICMED); MHRA authorisation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pp.12–13</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Chemicals &amp; plastics (28–29,39)</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(was up to ~8%)</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REACH unchanged; origin proof; ~30–40% growth projected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pp.13–15</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Engineering &amp; machinery (84–85)</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(was up to ~18%)</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Recognition of Indian conformity bodies; UKCA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pp.10–12</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Iron, steel &amp; metals (72–76)</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steel-safeguard via CSQ/residual quota/AUS</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~85% of steel exports outside the measures; track quota terms</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EVs, auto components, renewables (87,85)</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Duty-free/lower UK duty</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type-approval/UNECE unchanged; supports UK net-zero chains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p.20; WTC p.13</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Ceramics &amp; construction (69)</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Duty-free UK access</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Product-safety unchanged; origin proof</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w:t>
            </w:r>
          </w:p>
        </w:tc>
      </w:tr>
    </w:tbl>
    <w:p>
      <w:pPr>
        <w:pStyle w:val="Heading2"/>
        <w:keepNext/>
        <w:spacing w:after="90" w:before="240"/>
      </w:pPr>
      <w:r>
        <w:rPr>
          <w:rFonts w:ascii="Georgia" w:cs="Georgia" w:eastAsia="Georgia" w:hAnsi="Georgia"/>
          <w:b/>
          <w:bCs/>
          <w:i w:val="false"/>
          <w:iCs w:val="false"/>
          <w:color w:val="2E4C7E"/>
          <w:sz w:val="24"/>
          <w:szCs w:val="24"/>
        </w:rPr>
        <w:t xml:space="preserve">POST-FTA — Table 6: India Exports to the UK — Services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Service category</w:t>
            </w:r>
          </w:p>
        </w:tc>
        <w:tc>
          <w:tcPr>
            <w:tcW w:type="dxa" w:w="18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Market access (post-FTA)</w:t>
            </w:r>
          </w:p>
        </w:tc>
        <w:tc>
          <w:tcPr>
            <w:tcW w:type="dxa" w:w="38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Conditions / what changed</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 / cross-reference</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IT &amp; ITeS / computer services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Assured access; UK commitments in computer &amp; related services</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Five-year DCC social-security exemption; mobility routes; Certificate of Coverage needed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 Bg pp.18–19</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Other business / professional services</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opening across 137 sub-sectors</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MRAs targeted within 12 months (nursing, accountancy, architecture)</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 Bg p.17</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Financial services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Enhanced, more predictable UK access</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FCA/PRA authorisation still required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p.16</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Mobility – BV/ICT/CSS/IP/investors</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Assured, time-bound entry; no economic-needs test or cap</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BV 90 days/6 months; ICT up to 3 years; CSS/IP 12 months/24</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pp.17–18</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Chefs, yoga, classical musicians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Dedicated quota of 1,800 per year</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Contractual-service-supplier arrangement</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Telecommunications / digital</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Commitments + digital-trade rules</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Paperless trade; data-flow provisions</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p.21</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GCCs / start-ups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Greater certainty for UK-facing operations</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Reduced compliance friction; DCC benefits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p.19</w:t>
            </w:r>
          </w:p>
        </w:tc>
      </w:tr>
    </w:tbl>
    <w:p>
      <w:pPr>
        <w:pStyle w:val="Heading2"/>
        <w:keepNext/>
        <w:spacing w:after="90" w:before="240"/>
      </w:pPr>
      <w:r>
        <w:rPr>
          <w:rFonts w:ascii="Georgia" w:cs="Georgia" w:eastAsia="Georgia" w:hAnsi="Georgia"/>
          <w:b/>
          <w:bCs/>
          <w:i w:val="false"/>
          <w:iCs w:val="false"/>
          <w:color w:val="2E4C7E"/>
          <w:sz w:val="24"/>
          <w:szCs w:val="24"/>
        </w:rPr>
        <w:t xml:space="preserve">POST-FTA — Table 7: UK Imports into India — Goods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Goods category (HS)</w:t>
            </w:r>
          </w:p>
        </w:tc>
        <w:tc>
          <w:tcPr>
            <w:tcW w:type="dxa" w:w="18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Duty / market access (post-FTA)</w:t>
            </w:r>
          </w:p>
        </w:tc>
        <w:tc>
          <w:tcPr>
            <w:tcW w:type="dxa" w:w="38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Conditions / what changed</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 / cross-reference</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Scotch whisky &amp; gin (2208)</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150% to 75% immediately; to 40% over 10 years</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Minimum import price for some spirits; state excise unchanged (limits retail fall)</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 WTC p.12</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Automobiles – CBU (8703)</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Over 100% towards 10%, within annual quotas, phased</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BIS/AIS type-approval unchanged; quota management</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WTC p.9; combined p.20</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Auto components (8708)</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Towards duty-free</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BIS/AIS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p.20</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Cosmetics (33)</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 reduced</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CDSCO cosmetic registration (Rules 2020)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p.12; WTC p.12</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Medical devices (9018–22)</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 reduced</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CDSCO (MDR 2017) unchanged; mutual-recognition framework</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p.13</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Machinery &amp; electricals (84–85)</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 reduced/phased (was up to ~14%)</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BIS/CRS and WPC/TEC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Chemicals &amp; plastics (28–29,39)</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 reduced/phased (was up to ~8%/6%)</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Safety compliance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Metals &amp; construction (69–76)</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 reduced/phased (was up to ~10–12%)</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BIS QCOs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p.3</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Sensitive agri: dairy, cereals, oils, apples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Excluded — no concession</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Protected; FSSAI/quarantine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 Bg p.20</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Gold, jewellery, lab-grown diamonds, smartphones, optic fibre</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Excluded / protected</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Strategic exclusions retained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PIB 2274280; Bg p.20</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Strategic (Make in India / PLI) lines</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Gradual cuts over 5 / 7 / 10 years</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Longest transitions; check schedule by HS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pp.5,20</w:t>
            </w:r>
          </w:p>
        </w:tc>
      </w:tr>
    </w:tbl>
    <w:p>
      <w:pPr>
        <w:pStyle w:val="Heading2"/>
        <w:keepNext/>
        <w:spacing w:after="90" w:before="240"/>
      </w:pPr>
      <w:r>
        <w:rPr>
          <w:rFonts w:ascii="Georgia" w:cs="Georgia" w:eastAsia="Georgia" w:hAnsi="Georgia"/>
          <w:b/>
          <w:bCs/>
          <w:i w:val="false"/>
          <w:iCs w:val="false"/>
          <w:color w:val="2E4C7E"/>
          <w:sz w:val="24"/>
          <w:szCs w:val="24"/>
        </w:rPr>
        <w:t xml:space="preserve">POST-FTA — Table 8: UK Imports into India — Services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Service category</w:t>
            </w:r>
          </w:p>
        </w:tc>
        <w:tc>
          <w:tcPr>
            <w:tcW w:type="dxa" w:w="18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Market access (post-FTA)</w:t>
            </w:r>
          </w:p>
        </w:tc>
        <w:tc>
          <w:tcPr>
            <w:tcW w:type="dxa" w:w="382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Conditions / what changed</w:t>
            </w:r>
          </w:p>
        </w:tc>
        <w:tc>
          <w:tcPr>
            <w:tcW w:type="dxa" w:w="14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Source / cross-reference</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Financial services / banking / insurance</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Treaty-assured access; some FDI caps (e.g., ~74%)</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RBI/SEBI/IRDAI licensing and FEMA unchanged</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Telecommunications</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Commitments (up to 100% FDI referenced)</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Licensing/WPC-TEC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Professional / accounting / environmental</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Commitments in ~108 sub-sectors</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Professional-body regulation unchanged; MRAs to follow</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Education</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Framework for UK campuses in India</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Regulatory approvals still apply</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Combined pp.19–20</w:t>
            </w:r>
          </w:p>
        </w:tc>
      </w:tr>
      <w:tr>
        <w:tc>
          <w:tcPr>
            <w:tcW w:type="dxa" w:w="19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Digital / e-commerce</w:t>
            </w:r>
          </w:p>
        </w:tc>
        <w:tc>
          <w:tcPr>
            <w:tcW w:type="dxa" w:w="185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Digital-trade rules; paperless trade</w:t>
            </w:r>
          </w:p>
        </w:tc>
        <w:tc>
          <w:tcPr>
            <w:tcW w:type="dxa" w:w="382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Data/consumer protections; domestic law applies</w:t>
            </w:r>
          </w:p>
        </w:tc>
        <w:tc>
          <w:tcPr>
            <w:tcW w:type="dxa" w:w="14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p.21</w:t>
            </w:r>
          </w:p>
        </w:tc>
      </w:tr>
      <w:tr>
        <w:tc>
          <w:tcPr>
            <w:tcW w:type="dxa" w:w="19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Auxiliary air-transport / logistics</w:t>
            </w:r>
          </w:p>
        </w:tc>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Commitments referenced</w:t>
            </w:r>
          </w:p>
        </w:tc>
        <w:tc>
          <w:tcPr>
            <w:tcW w:type="dxa" w:w="382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Sectoral regulation unchanged</w:t>
            </w:r>
          </w:p>
        </w:tc>
        <w:tc>
          <w:tcPr>
            <w:tcW w:type="dxa" w:w="14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Bg p.17</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Analysis — Key Commercial Changes, Client Action Points and Compliance Checklists</w:t>
      </w:r>
    </w:p>
    <w:p>
      <w:pPr>
        <w:pStyle w:val="Heading2"/>
        <w:keepNext/>
        <w:spacing w:after="90" w:before="240"/>
      </w:pPr>
      <w:r>
        <w:rPr>
          <w:rFonts w:ascii="Georgia" w:cs="Georgia" w:eastAsia="Georgia" w:hAnsi="Georgia"/>
          <w:b/>
          <w:bCs/>
          <w:i w:val="false"/>
          <w:iCs w:val="false"/>
          <w:color w:val="2E4C7E"/>
          <w:sz w:val="24"/>
          <w:szCs w:val="24"/>
        </w:rPr>
        <w:t xml:space="preserve">Area A — India Exports to the UK: Goods (Tables 1 &amp; 5)</w:t>
      </w:r>
    </w:p>
    <w:p>
      <w:pPr>
        <w:pStyle w:val="Heading3"/>
        <w:keepNext/>
        <w:spacing w:after="60" w:before="170"/>
      </w:pPr>
      <w:r>
        <w:rPr>
          <w:rFonts w:ascii="Georgia" w:cs="Georgia" w:eastAsia="Georgia" w:hAnsi="Georgia"/>
          <w:b/>
          <w:bCs/>
          <w:i w:val="false"/>
          <w:iCs w:val="false"/>
          <w:color w:val="2E4C7E"/>
          <w:sz w:val="21"/>
          <w:szCs w:val="21"/>
        </w:rPr>
        <w:t xml:space="preserve">Key commercial changes</w:t>
      </w:r>
    </w:p>
    <w:p>
      <w:pPr>
        <w:spacing w:after="150" w:before="0" w:line="288"/>
        <w:jc w:val="both"/>
      </w:pPr>
      <w:r>
        <w:rPr>
          <w:rFonts w:ascii="Georgia" w:cs="Georgia" w:eastAsia="Georgia" w:hAnsi="Georgia"/>
          <w:b w:val="false"/>
          <w:bCs w:val="false"/>
          <w:i w:val="false"/>
          <w:iCs w:val="false"/>
          <w:color w:val="222222"/>
          <w:sz w:val="21"/>
          <w:szCs w:val="21"/>
        </w:rPr>
        <w:t xml:space="preserve">Changed: UK duties on almost all Indian goods fall to zero from day one, reversing the historic MFN disadvantage and the January-2026 DCTS withdrawal. Not changed: UK product standards (UKCA/CE, UK REACH) and SPS controls remain, and origin must now be self-certified under Annex 3A. Who benefits most: labour-intensive exporters (textiles, leather, footwear, gems &amp; jewellery), marine, engineering, chemicals and processed foods.</w:t>
      </w:r>
    </w:p>
    <w:p>
      <w:pPr>
        <w:pStyle w:val="Heading3"/>
        <w:keepNext/>
        <w:spacing w:after="60" w:before="170"/>
      </w:pPr>
      <w:r>
        <w:rPr>
          <w:rFonts w:ascii="Georgia" w:cs="Georgia" w:eastAsia="Georgia" w:hAnsi="Georgia"/>
          <w:b/>
          <w:bCs/>
          <w:i w:val="false"/>
          <w:iCs w:val="false"/>
          <w:color w:val="2E4C7E"/>
          <w:sz w:val="21"/>
          <w:szCs w:val="21"/>
        </w:rPr>
        <w:t xml:space="preserve">Client action points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Classify each product and read its Annex 3A rule; document qualification.</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Obtain supplier/manufacturer declarations; build a bill-of-materials origin file.</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Switch UK entries to CETA preference codes; stop using Form A / REX; align with the UK importer/broker.</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Re-price to reflect zero duty; update contracts and Incoterms.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Maintain SPS/UKCA/REACH compliance; retain records for verification.</w:t>
      </w:r>
    </w:p>
    <w:p>
      <w:pPr>
        <w:pStyle w:val="Heading3"/>
        <w:keepNext/>
        <w:spacing w:after="60" w:before="170"/>
      </w:pPr>
      <w:r>
        <w:rPr>
          <w:rFonts w:ascii="Georgia" w:cs="Georgia" w:eastAsia="Georgia" w:hAnsi="Georgia"/>
          <w:b/>
          <w:bCs/>
          <w:i w:val="false"/>
          <w:iCs w:val="false"/>
          <w:color w:val="2E4C7E"/>
          <w:sz w:val="21"/>
          <w:szCs w:val="21"/>
        </w:rPr>
        <w:t xml:space="preserve">Practical compliance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Verify HS classification for each product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Rules-of-Origin eligibility against Annex 3A</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Obtain and file a CETA origin declaration / certificate of origin</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Update supplier declarations and bill-of-materials records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Apply correct CETA preference codes on UK import entry (CDS)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UKCA/CE and UK REACH position where relevant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SPS approvals (establishment, health certificate, IPAFFS)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export contracts, pricing and Incoterms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FEMA export-realisation compliance (9 months)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Retain documentary records for post-clearance verification</w:t>
      </w:r>
    </w:p>
    <w:p>
      <w:pPr>
        <w:pStyle w:val="Heading2"/>
        <w:keepNext/>
        <w:spacing w:after="90" w:before="240"/>
      </w:pPr>
      <w:r>
        <w:rPr>
          <w:rFonts w:ascii="Georgia" w:cs="Georgia" w:eastAsia="Georgia" w:hAnsi="Georgia"/>
          <w:b/>
          <w:bCs/>
          <w:i w:val="false"/>
          <w:iCs w:val="false"/>
          <w:color w:val="2E4C7E"/>
          <w:sz w:val="24"/>
          <w:szCs w:val="24"/>
        </w:rPr>
        <w:t xml:space="preserve">Area B — India Exports to the UK: Services (Tables 2 &amp; 6)</w:t>
      </w:r>
    </w:p>
    <w:p>
      <w:pPr>
        <w:pStyle w:val="Heading3"/>
        <w:keepNext/>
        <w:spacing w:after="60" w:before="170"/>
      </w:pPr>
      <w:r>
        <w:rPr>
          <w:rFonts w:ascii="Georgia" w:cs="Georgia" w:eastAsia="Georgia" w:hAnsi="Georgia"/>
          <w:b/>
          <w:bCs/>
          <w:i w:val="false"/>
          <w:iCs w:val="false"/>
          <w:color w:val="2E4C7E"/>
          <w:sz w:val="21"/>
          <w:szCs w:val="21"/>
        </w:rPr>
        <w:t xml:space="preserve">Key commercial changes</w:t>
      </w:r>
    </w:p>
    <w:p>
      <w:pPr>
        <w:spacing w:after="150" w:before="0" w:line="288"/>
        <w:jc w:val="both"/>
      </w:pPr>
      <w:r>
        <w:rPr>
          <w:rFonts w:ascii="Georgia" w:cs="Georgia" w:eastAsia="Georgia" w:hAnsi="Georgia"/>
          <w:b w:val="false"/>
          <w:bCs w:val="false"/>
          <w:i w:val="false"/>
          <w:iCs w:val="false"/>
          <w:color w:val="222222"/>
          <w:sz w:val="21"/>
          <w:szCs w:val="21"/>
        </w:rPr>
        <w:t xml:space="preserve">Changed: the UK opened 137 sub-sectors, gave assured time-bound mobility for five categories, removed economic-needs tests and caps, targeted mutual recognition within 12 months, and — via the DCC — exempted Indian professionals from UK social security for up to five years. Not changed: UK professional and prudential regulation (FCA/PRA, professional bodies). Who benefits most: IT/ITeS, professional and financial services, GCCs and start-ups.</w:t>
      </w:r>
    </w:p>
    <w:p>
      <w:pPr>
        <w:pStyle w:val="Heading3"/>
        <w:keepNext/>
        <w:spacing w:after="60" w:before="170"/>
      </w:pPr>
      <w:r>
        <w:rPr>
          <w:rFonts w:ascii="Georgia" w:cs="Georgia" w:eastAsia="Georgia" w:hAnsi="Georgia"/>
          <w:b/>
          <w:bCs/>
          <w:i w:val="false"/>
          <w:iCs w:val="false"/>
          <w:color w:val="2E4C7E"/>
          <w:sz w:val="21"/>
          <w:szCs w:val="21"/>
        </w:rPr>
        <w:t xml:space="preserve">Client action points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Map assignments to the correct mobility category and duration; prepare visa documentation.</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Set up Certificate of Coverage (EPFO); update payroll and tax-equalisation clauses.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Track the MRA timetable (nursing, accountancy, architecture).</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Review service contracts for the new market-access certainty; confirm data-protection compliance.</w:t>
      </w:r>
    </w:p>
    <w:p>
      <w:pPr>
        <w:pStyle w:val="Heading3"/>
        <w:keepNext/>
        <w:spacing w:after="60" w:before="170"/>
      </w:pPr>
      <w:r>
        <w:rPr>
          <w:rFonts w:ascii="Georgia" w:cs="Georgia" w:eastAsia="Georgia" w:hAnsi="Georgia"/>
          <w:b/>
          <w:bCs/>
          <w:i w:val="false"/>
          <w:iCs w:val="false"/>
          <w:color w:val="2E4C7E"/>
          <w:sz w:val="21"/>
          <w:szCs w:val="21"/>
        </w:rPr>
        <w:t xml:space="preserve">Practical compliance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Identify applicable mobility category (BV / ICT / CSS / IP / investor)</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Apply for Certificate of Coverage (DCC exemption)</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Update global-mobility policy, assignment letters and tax-equalisation</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UK authorisation for regulated services (FCA/PRA)</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Monitor MRA recognition for professional qualifications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cross-border service contracts and SLAs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data-flow / privacy compliance</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FEMA treatment of service receipts</w:t>
      </w:r>
    </w:p>
    <w:p>
      <w:pPr>
        <w:pStyle w:val="Heading2"/>
        <w:keepNext/>
        <w:spacing w:after="90" w:before="240"/>
      </w:pPr>
      <w:r>
        <w:rPr>
          <w:rFonts w:ascii="Georgia" w:cs="Georgia" w:eastAsia="Georgia" w:hAnsi="Georgia"/>
          <w:b/>
          <w:bCs/>
          <w:i w:val="false"/>
          <w:iCs w:val="false"/>
          <w:color w:val="2E4C7E"/>
          <w:sz w:val="24"/>
          <w:szCs w:val="24"/>
        </w:rPr>
        <w:t xml:space="preserve">Area C — UK Imports into India: Goods (Tables 3 &amp; 7)</w:t>
      </w:r>
    </w:p>
    <w:p>
      <w:pPr>
        <w:pStyle w:val="Heading3"/>
        <w:keepNext/>
        <w:spacing w:after="60" w:before="170"/>
      </w:pPr>
      <w:r>
        <w:rPr>
          <w:rFonts w:ascii="Georgia" w:cs="Georgia" w:eastAsia="Georgia" w:hAnsi="Georgia"/>
          <w:b/>
          <w:bCs/>
          <w:i w:val="false"/>
          <w:iCs w:val="false"/>
          <w:color w:val="2E4C7E"/>
          <w:sz w:val="21"/>
          <w:szCs w:val="21"/>
        </w:rPr>
        <w:t xml:space="preserve">Key commercial changes</w:t>
      </w:r>
    </w:p>
    <w:p>
      <w:pPr>
        <w:spacing w:after="150" w:before="0" w:line="288"/>
        <w:jc w:val="both"/>
      </w:pPr>
      <w:r>
        <w:rPr>
          <w:rFonts w:ascii="Georgia" w:cs="Georgia" w:eastAsia="Georgia" w:hAnsi="Georgia"/>
          <w:b w:val="false"/>
          <w:bCs w:val="false"/>
          <w:i w:val="false"/>
          <w:iCs w:val="false"/>
          <w:color w:val="222222"/>
          <w:sz w:val="21"/>
          <w:szCs w:val="21"/>
        </w:rPr>
        <w:t xml:space="preserve">Changed: Indian duties fall — immediately on part of the schedule and over 5/7/10 years on the rest — with headline cuts on spirits (150% to 75%, then 40%) and automobiles (over 100% towards 10%, within quotas). Not changed: sensitive agri and strategic lines are excluded; BIS, FSSAI, CDSCO, Legal Metrology, WPC/TEC and quarantine remain; IGST still applies (now on a lower value). Who benefits: importers and Indian consumers of UK spirits, cosmetics, medical devices, machinery and chemicals — subject to phase-in and quotas.</w:t>
      </w:r>
    </w:p>
    <w:p>
      <w:pPr>
        <w:pStyle w:val="Heading3"/>
        <w:keepNext/>
        <w:spacing w:after="60" w:before="170"/>
      </w:pPr>
      <w:r>
        <w:rPr>
          <w:rFonts w:ascii="Georgia" w:cs="Georgia" w:eastAsia="Georgia" w:hAnsi="Georgia"/>
          <w:b/>
          <w:bCs/>
          <w:i w:val="false"/>
          <w:iCs w:val="false"/>
          <w:color w:val="2E4C7E"/>
          <w:sz w:val="21"/>
          <w:szCs w:val="21"/>
        </w:rPr>
        <w:t xml:space="preserve">Client action points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Read the year-by-year Indian rate for each HS line; note phase-in and any quota/minimum import price.</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Obtain CETA proof of origin from UK suppliers; claim preference on the Bill of Entry.</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Recompute landed cost and IGST; review input-tax-credit and pricing.</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Confirm continuing BIS/FSSAI/CDSCO/Legal-Metrology/WPC-TEC obligations before import.</w:t>
      </w:r>
    </w:p>
    <w:p>
      <w:pPr>
        <w:pStyle w:val="Heading3"/>
        <w:keepNext/>
        <w:spacing w:after="60" w:before="170"/>
      </w:pPr>
      <w:r>
        <w:rPr>
          <w:rFonts w:ascii="Georgia" w:cs="Georgia" w:eastAsia="Georgia" w:hAnsi="Georgia"/>
          <w:b/>
          <w:bCs/>
          <w:i w:val="false"/>
          <w:iCs w:val="false"/>
          <w:color w:val="2E4C7E"/>
          <w:sz w:val="21"/>
          <w:szCs w:val="21"/>
        </w:rPr>
        <w:t xml:space="preserve">Practical compliance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Verify HS classification and the applicable phase-in year</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Check quota / minimum import price (autos, spirits)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Obtain CETA origin proof from the UK supplier</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Claim preference correctly on the Bill of Entry (ICEGATE)</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Recompute BCD + surcharge + IGST landed cost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BIS / CRS / FSSAI / CDSCO / Legal Metrology / WPC-TEC</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import contracts, pricing and Incoterms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FEMA import-payment compliance (AD bank)</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Retain records for post-clearance verification</w:t>
      </w:r>
    </w:p>
    <w:p>
      <w:pPr>
        <w:pStyle w:val="Heading2"/>
        <w:keepNext/>
        <w:spacing w:after="90" w:before="240"/>
      </w:pPr>
      <w:r>
        <w:rPr>
          <w:rFonts w:ascii="Georgia" w:cs="Georgia" w:eastAsia="Georgia" w:hAnsi="Georgia"/>
          <w:b/>
          <w:bCs/>
          <w:i w:val="false"/>
          <w:iCs w:val="false"/>
          <w:color w:val="2E4C7E"/>
          <w:sz w:val="24"/>
          <w:szCs w:val="24"/>
        </w:rPr>
        <w:t xml:space="preserve">Area D — UK Imports into India: Services (Tables 4 &amp; 8)</w:t>
      </w:r>
    </w:p>
    <w:p>
      <w:pPr>
        <w:pStyle w:val="Heading3"/>
        <w:keepNext/>
        <w:spacing w:after="60" w:before="170"/>
      </w:pPr>
      <w:r>
        <w:rPr>
          <w:rFonts w:ascii="Georgia" w:cs="Georgia" w:eastAsia="Georgia" w:hAnsi="Georgia"/>
          <w:b/>
          <w:bCs/>
          <w:i w:val="false"/>
          <w:iCs w:val="false"/>
          <w:color w:val="2E4C7E"/>
          <w:sz w:val="21"/>
          <w:szCs w:val="21"/>
        </w:rPr>
        <w:t xml:space="preserve">Key commercial changes</w:t>
      </w:r>
    </w:p>
    <w:p>
      <w:pPr>
        <w:spacing w:after="150" w:before="0" w:line="288"/>
        <w:jc w:val="both"/>
      </w:pPr>
      <w:r>
        <w:rPr>
          <w:rFonts w:ascii="Georgia" w:cs="Georgia" w:eastAsia="Georgia" w:hAnsi="Georgia"/>
          <w:b w:val="false"/>
          <w:bCs w:val="false"/>
          <w:i w:val="false"/>
          <w:iCs w:val="false"/>
          <w:color w:val="222222"/>
          <w:sz w:val="21"/>
          <w:szCs w:val="21"/>
        </w:rPr>
        <w:t xml:space="preserve">Changed: UK firms gain treaty-assured access across financial, professional, telecom, environmental, education and auxiliary-transport services, supported by digital-trade rules. Not changed: sectoral FDI caps and RBI/SEBI/IRDAI licensing continue; the FEMA framework is unchanged; treaty-level investment protection awaits the separate BIT. Who benefits: UK financial, professional and education providers, and Indian businesses/consumers gaining access to UK expertise.</w:t>
      </w:r>
    </w:p>
    <w:p>
      <w:pPr>
        <w:pStyle w:val="Heading3"/>
        <w:keepNext/>
        <w:spacing w:after="60" w:before="170"/>
      </w:pPr>
      <w:r>
        <w:rPr>
          <w:rFonts w:ascii="Georgia" w:cs="Georgia" w:eastAsia="Georgia" w:hAnsi="Georgia"/>
          <w:b/>
          <w:bCs/>
          <w:i w:val="false"/>
          <w:iCs w:val="false"/>
          <w:color w:val="2E4C7E"/>
          <w:sz w:val="21"/>
          <w:szCs w:val="21"/>
        </w:rPr>
        <w:t xml:space="preserve">Client action points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Assess the market-entry route (branch, subsidiary, JV) against FDI caps and licensing.</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Structure cross-border payments for FEMA/RBI compliance; plan any FDI/ODI reporting.</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For education/professional services, confirm regulatory approvals and any MRA dependency.</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Review digital-trade/data-protection compliance for cross-border delivery.</w:t>
      </w:r>
    </w:p>
    <w:p>
      <w:pPr>
        <w:pStyle w:val="Heading3"/>
        <w:keepNext/>
        <w:spacing w:after="60" w:before="170"/>
      </w:pPr>
      <w:r>
        <w:rPr>
          <w:rFonts w:ascii="Georgia" w:cs="Georgia" w:eastAsia="Georgia" w:hAnsi="Georgia"/>
          <w:b/>
          <w:bCs/>
          <w:i w:val="false"/>
          <w:iCs w:val="false"/>
          <w:color w:val="2E4C7E"/>
          <w:sz w:val="21"/>
          <w:szCs w:val="21"/>
        </w:rPr>
        <w:t xml:space="preserve">Practical compliance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sectoral FDI cap and entry route (DPIIT policy)</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Obtain RBI / SEBI / IRDAI licences as applicable</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Structure and report FDI/ODI and cross-border payments (FEMA)</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regulatory approvals (education / professional bodies)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Assess MRA dependency for qualifications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data / consumer-protection compliance</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commercial contracts and service terms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Monitor the pending Bilateral Investment Treaty</w:t>
      </w:r>
    </w:p>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Final Chapter — Advisory Opportunities for Professional Advisers</w:t>
      </w:r>
    </w:p>
    <w:p>
      <w:pPr>
        <w:spacing w:after="150" w:before="0" w:line="288"/>
        <w:jc w:val="both"/>
      </w:pPr>
      <w:r>
        <w:rPr>
          <w:rFonts w:ascii="Georgia" w:cs="Georgia" w:eastAsia="Georgia" w:hAnsi="Georgia"/>
          <w:b w:val="false"/>
          <w:bCs w:val="false"/>
          <w:i w:val="false"/>
          <w:iCs w:val="false"/>
          <w:color w:val="222222"/>
          <w:sz w:val="21"/>
          <w:szCs w:val="21"/>
        </w:rPr>
        <w:t xml:space="preserve">The CETA rewards preparation. This chapter maps, by professional discipline and then by sector, where advisers add value — the implementation challenge, the advisory service that meets it, and the commercial value of that advice.</w:t>
      </w:r>
    </w:p>
    <w:p>
      <w:pPr>
        <w:keepNext/>
        <w:spacing w:after="60" w:before="60"/>
      </w:pPr>
      <w:r>
        <w:rPr>
          <w:rFonts w:ascii="Georgia" w:cs="Georgia" w:eastAsia="Georgia" w:hAnsi="Georgia"/>
          <w:b/>
          <w:bCs/>
          <w:i w:val="false"/>
          <w:iCs w:val="false"/>
          <w:color w:val="1F3864"/>
          <w:sz w:val="19"/>
          <w:szCs w:val="19"/>
        </w:rPr>
        <w:t xml:space="preserve">Table F-1  ·  By professional discipline — where each adviser helps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350"/>
        <w:gridCol w:w="6676"/>
      </w:tblGrid>
      <w:tr>
        <w:trPr>
          <w:tblHeader/>
        </w:trPr>
        <w:tc>
          <w:tcPr>
            <w:tcW w:type="dxa" w:w="23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Adviser</w:t>
            </w:r>
          </w:p>
        </w:tc>
        <w:tc>
          <w:tcPr>
            <w:tcW w:type="dxa" w:w="667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7"/>
                <w:szCs w:val="17"/>
              </w:rPr>
              <w:t xml:space="preserve">Where they add value under the CETA</w:t>
            </w:r>
          </w:p>
        </w:tc>
      </w:tr>
      <w:tr>
        <w:tc>
          <w:tcPr>
            <w:tcW w:type="dxa" w:w="23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International trade lawyers</w:t>
            </w:r>
          </w:p>
        </w:tc>
        <w:tc>
          <w:tcPr>
            <w:tcW w:type="dxa" w:w="66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Interpreting CETA provisions; eligibility and Rules-of-Origin analysis (Annex 3A); origin-verification defence; trade-remedy/safeguard advice (incl. UK steel measures); regulatory strategy; drafting distribution, agency and supply agreements.</w:t>
            </w:r>
          </w:p>
        </w:tc>
      </w:tr>
      <w:tr>
        <w:tc>
          <w:tcPr>
            <w:tcW w:type="dxa" w:w="23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Customs lawyers</w:t>
            </w:r>
          </w:p>
        </w:tc>
        <w:tc>
          <w:tcPr>
            <w:tcW w:type="dxa" w:w="66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HS classification disputes; customs valuation; duty optimisation and phase-in planning; advance rulings; refunds and duty drawback; appeals; post-clearance compliance audits.</w:t>
            </w:r>
          </w:p>
        </w:tc>
      </w:tr>
      <w:tr>
        <w:tc>
          <w:tcPr>
            <w:tcW w:type="dxa" w:w="23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Corporate &amp; commercial lawyers</w:t>
            </w:r>
          </w:p>
        </w:tc>
        <w:tc>
          <w:tcPr>
            <w:tcW w:type="dxa" w:w="66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Market-entry structuring; joint ventures and subsidiaries; commercial contracts; investment documentation; sectoral regulatory approvals (DPIIT/FDI).</w:t>
            </w:r>
          </w:p>
        </w:tc>
      </w:tr>
      <w:tr>
        <w:tc>
          <w:tcPr>
            <w:tcW w:type="dxa" w:w="23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FEMA / RBI advisers</w:t>
            </w:r>
          </w:p>
        </w:tc>
        <w:tc>
          <w:tcPr>
            <w:tcW w:type="dxa" w:w="66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Cross-border payment structuring; foreign-exchange compliance; ODI/FDI structuring and RBI reporting; external commercial borrowings where relevant.</w:t>
            </w:r>
          </w:p>
        </w:tc>
      </w:tr>
      <w:tr>
        <w:tc>
          <w:tcPr>
            <w:tcW w:type="dxa" w:w="2350"/>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Chartered accountants</w:t>
            </w:r>
          </w:p>
        </w:tc>
        <w:tc>
          <w:tcPr>
            <w:tcW w:type="dxa" w:w="6676"/>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GST/IGST optimisation; customs-duty planning; tax structuring and transfer pricing; landed-cost analysis; accounting treatment; PLI incentive utilisation; duty-drawback/refund claims.</w:t>
            </w:r>
          </w:p>
        </w:tc>
      </w:tr>
      <w:tr>
        <w:tc>
          <w:tcPr>
            <w:tcW w:type="dxa" w:w="2350"/>
            <w:shd w:fill="EEF2F8" w:color="auto" w:val="clear"/>
            <w:tcMar>
              <w:top w:type="dxa" w:w="50"/>
              <w:left w:type="dxa" w:w="90"/>
              <w:bottom w:type="dxa" w:w="50"/>
              <w:right w:type="dxa" w:w="90"/>
            </w:tcMar>
            <w:vAlign w:val="center"/>
          </w:tcPr>
          <w:p>
            <w:pPr>
              <w:spacing w:after="0" w:line="246"/>
            </w:pPr>
            <w:r>
              <w:rPr>
                <w:rFonts w:ascii="Georgia" w:cs="Georgia" w:eastAsia="Georgia" w:hAnsi="Georgia"/>
                <w:b/>
                <w:bCs/>
                <w:i w:val="false"/>
                <w:iCs w:val="false"/>
                <w:color w:val="222222"/>
                <w:sz w:val="17"/>
                <w:szCs w:val="17"/>
              </w:rPr>
              <w:t xml:space="preserve">Business consultants</w:t>
            </w:r>
          </w:p>
        </w:tc>
        <w:tc>
          <w:tcPr>
            <w:tcW w:type="dxa" w:w="6676"/>
            <w:shd w:fill="EEF2F8" w:color="auto" w:val="clear"/>
            <w:tcMar>
              <w:top w:type="dxa" w:w="50"/>
              <w:left w:type="dxa" w:w="90"/>
              <w:bottom w:type="dxa" w:w="50"/>
              <w:right w:type="dxa" w:w="90"/>
            </w:tcMar>
            <w:vAlign w:val="center"/>
          </w:tcPr>
          <w:p>
            <w:pPr>
              <w:spacing w:after="0" w:line="246"/>
            </w:pPr>
            <w:r>
              <w:rPr>
                <w:rFonts w:ascii="Georgia" w:cs="Georgia" w:eastAsia="Georgia" w:hAnsi="Georgia"/>
                <w:b w:val="false"/>
                <w:bCs w:val="false"/>
                <w:i w:val="false"/>
                <w:iCs w:val="false"/>
                <w:color w:val="222222"/>
                <w:sz w:val="17"/>
                <w:szCs w:val="17"/>
              </w:rPr>
              <w:t xml:space="preserve">Supply-chain restructuring; market entry and vendor onboarding; documentation and origin-record systems; digital-trade implementation; ESG/sustainability compliance; process redesign.</w:t>
            </w:r>
          </w:p>
        </w:tc>
      </w:tr>
    </w:tbl>
    <w:p>
      <w:pPr>
        <w:keepNext/>
        <w:spacing w:after="60" w:before="60"/>
      </w:pPr>
      <w:r>
        <w:rPr>
          <w:rFonts w:ascii="Georgia" w:cs="Georgia" w:eastAsia="Georgia" w:hAnsi="Georgia"/>
          <w:b/>
          <w:bCs/>
          <w:i w:val="false"/>
          <w:iCs w:val="false"/>
          <w:color w:val="1F3864"/>
          <w:sz w:val="19"/>
          <w:szCs w:val="19"/>
        </w:rPr>
        <w:t xml:space="preserve">Table F-2  ·  Sector-wise gap analysis — challenge, service, value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850"/>
        <w:gridCol w:w="2560"/>
        <w:gridCol w:w="2616"/>
        <w:gridCol w:w="2000"/>
      </w:tblGrid>
      <w:tr>
        <w:trPr>
          <w:tblHeader/>
        </w:trPr>
        <w:tc>
          <w:tcPr>
            <w:tcW w:type="dxa" w:w="185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Sector</w:t>
            </w:r>
          </w:p>
        </w:tc>
        <w:tc>
          <w:tcPr>
            <w:tcW w:type="dxa" w:w="256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Implementation challenge</w:t>
            </w:r>
          </w:p>
        </w:tc>
        <w:tc>
          <w:tcPr>
            <w:tcW w:type="dxa" w:w="2616"/>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Advisory service</w:t>
            </w:r>
          </w:p>
        </w:tc>
        <w:tc>
          <w:tcPr>
            <w:tcW w:type="dxa" w:w="2000"/>
            <w:shd w:fill="1F3864" w:color="auto" w:val="clear"/>
            <w:tcMar>
              <w:top w:type="dxa" w:w="55"/>
              <w:left w:type="dxa" w:w="90"/>
              <w:bottom w:type="dxa" w:w="55"/>
              <w:right w:type="dxa" w:w="90"/>
            </w:tcMar>
            <w:vAlign w:val="center"/>
          </w:tcPr>
          <w:p>
            <w:pPr>
              <w:spacing w:after="0" w:line="250"/>
            </w:pPr>
            <w:r>
              <w:rPr>
                <w:rFonts w:ascii="Georgia" w:cs="Georgia" w:eastAsia="Georgia" w:hAnsi="Georgia"/>
                <w:b/>
                <w:bCs/>
                <w:i w:val="false"/>
                <w:iCs w:val="false"/>
                <w:color w:val="FFFFFF"/>
                <w:sz w:val="16"/>
                <w:szCs w:val="16"/>
              </w:rPr>
              <w:t xml:space="preserve">Commercial value</w:t>
            </w:r>
          </w:p>
        </w:tc>
      </w:tr>
      <w:tr>
        <w:tc>
          <w:tcPr>
            <w:tcW w:type="dxa" w:w="18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Textiles, leather, footwear, carpets</w:t>
            </w:r>
          </w:p>
        </w:tc>
        <w:tc>
          <w:tcPr>
            <w:tcW w:type="dxa" w:w="256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only if Annex 3A rules met; many lack origin documentation and use lapsed Form A/REX.</w:t>
            </w:r>
          </w:p>
        </w:tc>
        <w:tc>
          <w:tcPr>
            <w:tcW w:type="dxa" w:w="261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Origin mapping, supplier-declaration systems, CETA self-certification, UK customs alignment; contract redrafting.</w:t>
            </w:r>
          </w:p>
        </w:tc>
        <w:tc>
          <w:tcPr>
            <w:tcW w:type="dxa" w:w="20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Turns a ~12–16% tariff cut into realised margin; avoids back-duty on wrong claims.</w:t>
            </w:r>
          </w:p>
        </w:tc>
      </w:tr>
      <w:tr>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Marine, agriculture, processed foods</w:t>
            </w:r>
          </w:p>
        </w:tc>
        <w:tc>
          <w:tcPr>
            <w:tcW w:type="dxa" w:w="256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 falls to zero but UK SPS controls remain the real barrier.</w:t>
            </w:r>
          </w:p>
        </w:tc>
        <w:tc>
          <w:tcPr>
            <w:tcW w:type="dxa" w:w="261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SPS/regulatory strategy, establishment-approval support, labelling, origin certification; CA support on incentives.</w:t>
            </w:r>
          </w:p>
        </w:tc>
        <w:tc>
          <w:tcPr>
            <w:tcW w:type="dxa" w:w="20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Unlocks a large UK market (marine ~USD 5.4bn) where compliance decides access.</w:t>
            </w:r>
          </w:p>
        </w:tc>
      </w:tr>
      <w:tr>
        <w:tc>
          <w:tcPr>
            <w:tcW w:type="dxa" w:w="18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Gems &amp; jewellery</w:t>
            </w:r>
          </w:p>
        </w:tc>
        <w:tc>
          <w:tcPr>
            <w:tcW w:type="dxa" w:w="256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Origin and valuation rules plus hallmarking to capture a ~USD 3bn UK market.</w:t>
            </w:r>
          </w:p>
        </w:tc>
        <w:tc>
          <w:tcPr>
            <w:tcW w:type="dxa" w:w="261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Rules-of-origin and valuation advice; advance rulings; contract structuring.</w:t>
            </w:r>
          </w:p>
        </w:tc>
        <w:tc>
          <w:tcPr>
            <w:tcW w:type="dxa" w:w="20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Supports projected doubling of exports while managing valuation risk.</w:t>
            </w:r>
          </w:p>
        </w:tc>
      </w:tr>
      <w:tr>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Pharma, biotech, medical devices</w:t>
            </w:r>
          </w:p>
        </w:tc>
        <w:tc>
          <w:tcPr>
            <w:tcW w:type="dxa" w:w="256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Duty-free and device mutual-recognition help, but MHRA/CDSCO rules remain.</w:t>
            </w:r>
          </w:p>
        </w:tc>
        <w:tc>
          <w:tcPr>
            <w:tcW w:type="dxa" w:w="261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Regulatory pathway mapping (MHRA/CDSCO/ICMED); IP strategy; supply/licence contracts.</w:t>
            </w:r>
          </w:p>
        </w:tc>
        <w:tc>
          <w:tcPr>
            <w:tcW w:type="dxa" w:w="20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Accelerates entry to a ~USD 30bn UK pharma market and a large device market.</w:t>
            </w:r>
          </w:p>
        </w:tc>
      </w:tr>
      <w:tr>
        <w:tc>
          <w:tcPr>
            <w:tcW w:type="dxa" w:w="18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Chemicals, petrochemicals, plastics</w:t>
            </w:r>
          </w:p>
        </w:tc>
        <w:tc>
          <w:tcPr>
            <w:tcW w:type="dxa" w:w="256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Zero UK duty reverses the DCTS loss, but UK REACH is a major cost.</w:t>
            </w:r>
          </w:p>
        </w:tc>
        <w:tc>
          <w:tcPr>
            <w:tcW w:type="dxa" w:w="261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UK REACH strategy; origin certification; duty planning; CA drawback support.</w:t>
            </w:r>
          </w:p>
        </w:tc>
        <w:tc>
          <w:tcPr>
            <w:tcW w:type="dxa" w:w="20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Captures projected 30–40% export growth while managing REACH.</w:t>
            </w:r>
          </w:p>
        </w:tc>
      </w:tr>
      <w:tr>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Engineering, machinery, electronics</w:t>
            </w:r>
          </w:p>
        </w:tc>
        <w:tc>
          <w:tcPr>
            <w:tcW w:type="dxa" w:w="256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Classification and origin for complex, multi-input assemblies are difficult.</w:t>
            </w:r>
          </w:p>
        </w:tc>
        <w:tc>
          <w:tcPr>
            <w:tcW w:type="dxa" w:w="261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Classification and origin advice; conformity-assessment strategy; advance rulings.</w:t>
            </w:r>
          </w:p>
        </w:tc>
        <w:tc>
          <w:tcPr>
            <w:tcW w:type="dxa" w:w="20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Supports a potential doubling of engineering exports by 2029–30.</w:t>
            </w:r>
          </w:p>
        </w:tc>
      </w:tr>
      <w:tr>
        <w:tc>
          <w:tcPr>
            <w:tcW w:type="dxa" w:w="18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Automobiles, components, aerospace, renewables</w:t>
            </w:r>
          </w:p>
        </w:tc>
        <w:tc>
          <w:tcPr>
            <w:tcW w:type="dxa" w:w="256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Quotas and phase-in on vehicles into India are complex; type-approval remains both ways.</w:t>
            </w:r>
          </w:p>
        </w:tc>
        <w:tc>
          <w:tcPr>
            <w:tcW w:type="dxa" w:w="261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Quota/phase-in planning; type-approval strategy; supply-chain and JV structuring; FEMA on investment.</w:t>
            </w:r>
          </w:p>
        </w:tc>
        <w:tc>
          <w:tcPr>
            <w:tcW w:type="dxa" w:w="20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Optimises quota use; integrates India–UK automotive supply chains.</w:t>
            </w:r>
          </w:p>
        </w:tc>
      </w:tr>
      <w:tr>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Alcohol, cosmetics, FMCG (into India)</w:t>
            </w:r>
          </w:p>
        </w:tc>
        <w:tc>
          <w:tcPr>
            <w:tcW w:type="dxa" w:w="256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 cuts partly offset by state excise and CDSCO registration; MIP on some spirits.</w:t>
            </w:r>
          </w:p>
        </w:tc>
        <w:tc>
          <w:tcPr>
            <w:tcW w:type="dxa" w:w="261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Duty/MIP planning; CDSCO registration; distribution agreements; state-excise strategy.</w:t>
            </w:r>
          </w:p>
        </w:tc>
        <w:tc>
          <w:tcPr>
            <w:tcW w:type="dxa" w:w="20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Clarifies true landed cost and realistic retail pricing for UK brands.</w:t>
            </w:r>
          </w:p>
        </w:tc>
      </w:tr>
      <w:tr>
        <w:tc>
          <w:tcPr>
            <w:tcW w:type="dxa" w:w="1850"/>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IT/ITeS, professional, financial, digital</w:t>
            </w:r>
          </w:p>
        </w:tc>
        <w:tc>
          <w:tcPr>
            <w:tcW w:type="dxa" w:w="256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Assured mobility and the DCC deliver savings, but Certificate-of-Coverage, MRAs and regulation must be managed.</w:t>
            </w:r>
          </w:p>
        </w:tc>
        <w:tc>
          <w:tcPr>
            <w:tcW w:type="dxa" w:w="2616"/>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Mobility/DCC implementation; MRA tracking; regulatory authorisation; contract and data-protection review; FEMA.</w:t>
            </w:r>
          </w:p>
        </w:tc>
        <w:tc>
          <w:tcPr>
            <w:tcW w:type="dxa" w:w="2000"/>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Converts the five-year exemption and market opening into lower cost and faster deployment.</w:t>
            </w:r>
          </w:p>
        </w:tc>
      </w:tr>
      <w:tr>
        <w:tc>
          <w:tcPr>
            <w:tcW w:type="dxa" w:w="1850"/>
            <w:shd w:fill="EEF2F8" w:color="auto" w:val="clear"/>
            <w:tcMar>
              <w:top w:type="dxa" w:w="50"/>
              <w:left w:type="dxa" w:w="90"/>
              <w:bottom w:type="dxa" w:w="50"/>
              <w:right w:type="dxa" w:w="90"/>
            </w:tcMar>
            <w:vAlign w:val="center"/>
          </w:tcPr>
          <w:p>
            <w:pPr>
              <w:spacing w:after="0" w:line="240"/>
            </w:pPr>
            <w:r>
              <w:rPr>
                <w:rFonts w:ascii="Georgia" w:cs="Georgia" w:eastAsia="Georgia" w:hAnsi="Georgia"/>
                <w:b/>
                <w:bCs/>
                <w:i w:val="false"/>
                <w:iCs w:val="false"/>
                <w:color w:val="222222"/>
                <w:sz w:val="16"/>
                <w:szCs w:val="16"/>
              </w:rPr>
              <w:t xml:space="preserve">Investment, start-ups, MSMEs</w:t>
            </w:r>
          </w:p>
        </w:tc>
        <w:tc>
          <w:tcPr>
            <w:tcW w:type="dxa" w:w="256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Access improves, but treaty-level investment protection awaits the BIT and smaller firms lack capacity.</w:t>
            </w:r>
          </w:p>
        </w:tc>
        <w:tc>
          <w:tcPr>
            <w:tcW w:type="dxa" w:w="2616"/>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Market-entry and JV structuring; FDI/ODI and RBI reporting; MSME-tailored origin/customs systems; monitor the BIT.</w:t>
            </w:r>
          </w:p>
        </w:tc>
        <w:tc>
          <w:tcPr>
            <w:tcW w:type="dxa" w:w="2000"/>
            <w:shd w:fill="EEF2F8" w:color="auto" w:val="clear"/>
            <w:tcMar>
              <w:top w:type="dxa" w:w="50"/>
              <w:left w:type="dxa" w:w="90"/>
              <w:bottom w:type="dxa" w:w="50"/>
              <w:right w:type="dxa" w:w="90"/>
            </w:tcMar>
            <w:vAlign w:val="center"/>
          </w:tcPr>
          <w:p>
            <w:pPr>
              <w:spacing w:after="0" w:line="240"/>
            </w:pPr>
            <w:r>
              <w:rPr>
                <w:rFonts w:ascii="Georgia" w:cs="Georgia" w:eastAsia="Georgia" w:hAnsi="Georgia"/>
                <w:b w:val="false"/>
                <w:bCs w:val="false"/>
                <w:i w:val="false"/>
                <w:iCs w:val="false"/>
                <w:color w:val="222222"/>
                <w:sz w:val="16"/>
                <w:szCs w:val="16"/>
              </w:rPr>
              <w:t xml:space="preserve">Lets smaller firms use the Agreement cost-effectively and structure investment prudently.</w:t>
            </w:r>
          </w:p>
        </w:tc>
      </w:tr>
    </w:tbl>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Across every sector the pattern repeats: the tariff cut is the headline, but classification, origin, standards, tax and payment compliance decide whether the benefit is realised — and that is where professional advice pays for itself.</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Closing Note and Consolidated Compliance Checklist</w:t>
      </w:r>
    </w:p>
    <w:p>
      <w:pPr>
        <w:spacing w:after="150" w:before="0" w:line="288"/>
        <w:jc w:val="both"/>
      </w:pPr>
      <w:r>
        <w:rPr>
          <w:rFonts w:ascii="Georgia" w:cs="Georgia" w:eastAsia="Georgia" w:hAnsi="Georgia"/>
          <w:b w:val="false"/>
          <w:bCs w:val="false"/>
          <w:i w:val="false"/>
          <w:iCs w:val="false"/>
          <w:color w:val="222222"/>
          <w:sz w:val="21"/>
          <w:szCs w:val="21"/>
        </w:rPr>
        <w:t xml:space="preserve">The India–UK CETA is a genuine opportunity — lower duties, faster customs, assured services access and a five-year social-security exemption — but its benefits are conditional and must be actively claimed. Preparation (correct classification, genuine origin qualification, proper documentation, disciplined tax and FEMA compliance) is what turns the Agreement into realised commercial value.</w:t>
      </w:r>
    </w:p>
    <w:p>
      <w:pPr>
        <w:pStyle w:val="Heading2"/>
        <w:keepNext/>
        <w:spacing w:after="90" w:before="240"/>
      </w:pPr>
      <w:r>
        <w:rPr>
          <w:rFonts w:ascii="Georgia" w:cs="Georgia" w:eastAsia="Georgia" w:hAnsi="Georgia"/>
          <w:b/>
          <w:bCs/>
          <w:i w:val="false"/>
          <w:iCs w:val="false"/>
          <w:color w:val="2E4C7E"/>
          <w:sz w:val="24"/>
          <w:szCs w:val="24"/>
        </w:rPr>
        <w:t xml:space="preserve">Consolidated first-90-days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Map your India–UK product and service portfolio to HS codes / service categories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Test each product against Annex 3A Rules of Origin and document qualification</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Establish origin self-certification and a verification-ready record system</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Transition from Form A / REX to CETA preference codes and origin proofs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Recompute landed cost, duty (with phase-in/quotas) and IGST; revisit pricing</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and, where needed, renegotiate contracts, Incoterms and duty-bearing clauses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continuing standards/approvals (BIS, FSSAI, CDSCO, UKCA, UK REACH, SPS)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Set up Certificate of Coverage and update global-mobility and payroll policies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FEMA/RBI compliance for payments, and any FDI/ODI reporting</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Assign ownership and diarise the 5/7/10-year phase-in and the 12-month MRA milestone</w:t>
      </w:r>
    </w:p>
    <w:p>
      <w:pPr>
        <w:pStyle w:val="Heading2"/>
        <w:keepNext/>
        <w:spacing w:after="90" w:before="240"/>
      </w:pPr>
      <w:r>
        <w:rPr>
          <w:rFonts w:ascii="Georgia" w:cs="Georgia" w:eastAsia="Georgia" w:hAnsi="Georgia"/>
          <w:b/>
          <w:bCs/>
          <w:i w:val="false"/>
          <w:iCs w:val="false"/>
          <w:color w:val="2E4C7E"/>
          <w:sz w:val="24"/>
          <w:szCs w:val="24"/>
        </w:rPr>
        <w:t xml:space="preserve">How we can help</w:t>
      </w:r>
    </w:p>
    <w:p>
      <w:pPr>
        <w:spacing w:after="150" w:before="0" w:line="288"/>
        <w:jc w:val="both"/>
      </w:pPr>
      <w:r>
        <w:rPr>
          <w:rFonts w:ascii="Georgia" w:cs="Georgia" w:eastAsia="Georgia" w:hAnsi="Georgia"/>
          <w:b w:val="false"/>
          <w:bCs w:val="false"/>
          <w:i w:val="false"/>
          <w:iCs w:val="false"/>
          <w:color w:val="222222"/>
          <w:sz w:val="21"/>
          <w:szCs w:val="21"/>
        </w:rPr>
        <w:t xml:space="preserve">Our International Trade, Customs &amp; Corporate Advisory Practice supports clients end-to-end: eligibility and Rules-of-Origin opinions; classification, valuation and advance rulings; customs and GST planning and refunds; contract and Incoterms redrafting; market-entry, JV and FDI/ODI structuring; FEMA/RBI compliance; mobility and DCC implementation; and sector-specific regulatory strategy (BIS, FSSAI, CDSCO, UK REACH, SPS and MRAs).</w:t>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40" w:line="276"/>
              <w:jc w:val="left"/>
            </w:pPr>
            <w:r>
              <w:rPr>
                <w:rFonts w:ascii="Georgia" w:cs="Georgia" w:eastAsia="Georgia" w:hAnsi="Georgia"/>
                <w:b/>
                <w:bCs/>
                <w:i w:val="false"/>
                <w:iCs w:val="false"/>
                <w:color w:val="222222"/>
                <w:sz w:val="18"/>
                <w:szCs w:val="18"/>
              </w:rPr>
              <w:t xml:space="preserve">Reliance and disclaimer. </w:t>
            </w:r>
            <w:r>
              <w:rPr>
                <w:rFonts w:ascii="Georgia" w:cs="Georgia" w:eastAsia="Georgia" w:hAnsi="Georgia"/>
                <w:b w:val="false"/>
                <w:bCs w:val="false"/>
                <w:i w:val="false"/>
                <w:iCs w:val="false"/>
                <w:color w:val="222222"/>
                <w:sz w:val="18"/>
                <w:szCs w:val="18"/>
              </w:rPr>
              <w:t xml:space="preserve">This memorandum is general information as at 15 July 2026, not legal, tax, customs, regulatory or financial advice, and creates no adviser–client relationship. Tariff rates, phase-ins, quotas and compliance requirements must be confirmed for each product/service against the Agreement text, its tariff schedules and Annex 3A, and the applicable CBIC/DGFT/HMRC and regulatory instruments, for the correct HS code and the relevant date.</w:t>
            </w:r>
          </w:p>
          <w:p>
            <w:pPr>
              <w:spacing w:after="0" w:line="276"/>
              <w:jc w:val="left"/>
            </w:pPr>
            <w:r>
              <w:rPr>
                <w:rFonts w:ascii="Georgia" w:cs="Georgia" w:eastAsia="Georgia" w:hAnsi="Georgia"/>
                <w:b/>
                <w:bCs/>
                <w:i w:val="false"/>
                <w:iCs w:val="false"/>
                <w:color w:val="222222"/>
                <w:sz w:val="18"/>
                <w:szCs w:val="18"/>
              </w:rPr>
              <w:t xml:space="preserve">Primary sources. </w:t>
            </w:r>
            <w:r>
              <w:rPr>
                <w:rFonts w:ascii="Georgia" w:cs="Georgia" w:eastAsia="Georgia" w:hAnsi="Georgia"/>
                <w:b w:val="false"/>
                <w:bCs w:val="false"/>
                <w:i w:val="false"/>
                <w:iCs w:val="false"/>
                <w:color w:val="222222"/>
                <w:sz w:val="18"/>
                <w:szCs w:val="18"/>
              </w:rPr>
              <w:t xml:space="preserve">PIB Release ID 2274280 (17 June 2026); PIB Backgrounder (29 July 2025); UK DBT India Trade &amp; Investment Factsheet (23 June 2026); MVIRDC WTC Mumbai Report on India–UK FTA (2025); GOV.UK / HMRC (DCTS, CDS, origin); commerce.gov.in (Agreement text, tariff schedules, Annex 3A). Indian framework: Customs Act 1962; Customs Tariff Act 1975; IGST Act 2017; FEMA 1999 and RBI Master Directions; BIS Act 2016; FSS Act 2006; Drugs &amp; Cosmetics Act 1940 and Medical Devices Rules 2017; Legal Metrology (Packaged Commodities) Rules 2011.</w:t>
            </w:r>
          </w:p>
        </w:tc>
      </w:tr>
    </w:tbl>
    <w:p>
      <w:pPr>
        <w:spacing w:before="200"/>
        <w:jc w:val="center"/>
      </w:pPr>
      <w:r>
        <w:rPr>
          <w:rFonts w:ascii="Georgia" w:cs="Georgia" w:eastAsia="Georgia" w:hAnsi="Georgia"/>
          <w:b w:val="false"/>
          <w:bCs w:val="false"/>
          <w:i/>
          <w:iCs/>
          <w:color w:val="6E6E6E"/>
          <w:sz w:val="18"/>
          <w:szCs w:val="18"/>
        </w:rPr>
        <w:t xml:space="preserve">— End of Memorandum —</w:t>
      </w:r>
    </w:p>
    <w:sectPr>
      <w:headerReference w:type="default" r:id="rId7"/>
      <w:headerReference w:type="first" r:id="rId8"/>
      <w:footerReference w:type="default" r:id="rId9"/>
      <w:footerReference w:type="first" r:id="rId10"/>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9026"/>
      </w:tabs>
      <w:spacing w:before="30"/>
    </w:pPr>
    <w:r>
      <w:rPr>
        <w:rFonts w:ascii="Georgia" w:cs="Georgia" w:eastAsia="Georgia" w:hAnsi="Georgia"/>
        <w:b w:val="false"/>
        <w:bCs w:val="false"/>
        <w:i w:val="false"/>
        <w:iCs w:val="false"/>
        <w:color w:val="A6A6A6"/>
        <w:sz w:val="14"/>
        <w:szCs w:val="14"/>
      </w:rPr>
      <w:t xml:space="preserve">International Trade, Customs &amp; Corporate Advisory Practice</w:t>
    </w:r>
    <w:r>
      <w:rPr>
        <w:rFonts w:ascii="Georgia" w:cs="Georgia" w:eastAsia="Georgia" w:hAnsi="Georgia"/>
        <w:color w:val="A6A6A6"/>
        <w:sz w:val="14"/>
        <w:szCs w:val="14"/>
      </w:rPr>
      <w:t xml:space="preserve">	Page </w:t>
    </w:r>
    <w:r>
      <w:rPr>
        <w:rFonts w:ascii="Georgia" w:cs="Georgia" w:eastAsia="Georgia" w:hAnsi="Georgia"/>
        <w:color w:val="A6A6A6"/>
        <w:sz w:val="14"/>
        <w:szCs w:val="14"/>
      </w:rPr>
      <w:fldChar w:fldCharType="begin"/>
      <w:instrText xml:space="preserve">PAGE</w:instrText>
      <w:fldChar w:fldCharType="separate"/>
      <w:fldChar w:fldCharType="end"/>
    </w:r>
    <w:r>
      <w:rPr>
        <w:rFonts w:ascii="Georgia" w:cs="Georgia" w:eastAsia="Georgia" w:hAnsi="Georgia"/>
        <w:color w:val="A6A6A6"/>
        <w:sz w:val="14"/>
        <w:szCs w:val="14"/>
      </w:rPr>
      <w:t xml:space="preserve"> of </w:t>
    </w:r>
    <w:r>
      <w:rPr>
        <w:rFonts w:ascii="Georgia" w:cs="Georgia" w:eastAsia="Georgia" w:hAnsi="Georgia"/>
        <w:color w:val="A6A6A6"/>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b w:val="false"/>
        <w:bCs w:val="false"/>
        <w:i w:val="false"/>
        <w:iCs w:val="false"/>
        <w:color w:val="BBBBBB"/>
        <w:sz w:val="14"/>
        <w:szCs w:val="14"/>
      </w:rPr>
      <w:t xml:space="preserve">Strictly Private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026"/>
      </w:tabs>
      <w:spacing w:after="40"/>
    </w:pPr>
    <w:r>
      <w:rPr>
        <w:rFonts w:ascii="Georgia" w:cs="Georgia" w:eastAsia="Georgia" w:hAnsi="Georgia"/>
        <w:b w:val="false"/>
        <w:bCs w:val="false"/>
        <w:i w:val="false"/>
        <w:iCs w:val="false"/>
        <w:color w:val="6E6E6E"/>
        <w:sz w:val="15"/>
        <w:szCs w:val="15"/>
      </w:rPr>
      <w:t xml:space="preserve">India–UK CETA  ·  Client Advisory Memorandum</w:t>
    </w:r>
    <w:r>
      <w:rPr>
        <w:rFonts w:ascii="Georgia" w:cs="Georgia" w:eastAsia="Georgia" w:hAnsi="Georgia"/>
        <w:color w:val="6E6E6E"/>
        <w:sz w:val="15"/>
        <w:szCs w:val="15"/>
      </w:rPr>
      <w:t xml:space="preserve">	Strictly Private &amp;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eorgia" w:cs="Georgia" w:eastAsia="Georgia" w:hAnsi="Georgia"/>
        <w:b w:val="false"/>
        <w:bCs w:val="false"/>
        <w:i w:val="false"/>
        <w:iCs w:val="false"/>
        <w:color w:val="222222"/>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pPr>
        <w:spacing w:after="15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40"/>
    </w:pPr>
    <w:rPr>
      <w:rFonts w:ascii="Georgia" w:cs="Georgia" w:eastAsia="Georgia" w:hAnsi="Georgia"/>
      <w:b/>
      <w:bCs/>
      <w:color w:val="1F3864"/>
      <w:sz w:val="30"/>
      <w:szCs w:val="30"/>
    </w:rPr>
  </w:style>
  <w:style w:type="paragraph" w:styleId="Heading2">
    <w:name w:val="Heading 2"/>
    <w:basedOn w:val="Normal"/>
    <w:next w:val="Normal"/>
    <w:qFormat/>
    <w:pPr>
      <w:keepNext/>
      <w:spacing w:after="90" w:before="240"/>
    </w:pPr>
    <w:rPr>
      <w:rFonts w:ascii="Georgia" w:cs="Georgia" w:eastAsia="Georgia" w:hAnsi="Georgia"/>
      <w:b/>
      <w:bCs/>
      <w:color w:val="2E4C7E"/>
      <w:sz w:val="24"/>
      <w:szCs w:val="24"/>
    </w:rPr>
  </w:style>
  <w:style w:type="paragraph" w:styleId="Heading3">
    <w:name w:val="Heading 3"/>
    <w:basedOn w:val="Normal"/>
    <w:next w:val="Normal"/>
    <w:qFormat/>
    <w:pPr>
      <w:keepNext/>
      <w:spacing w:after="60" w:before="170"/>
    </w:pPr>
    <w:rPr>
      <w:rFonts w:ascii="Georgia" w:cs="Georgia" w:eastAsia="Georgia" w:hAnsi="Georgia"/>
      <w:b/>
      <w:bCs/>
      <w:color w:val="2E4C7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India–UK CETA — Client Advisory Memorandum</dc:title>
  <dc:creator>International Trade, Customs &amp; Corporate Advisory Practice</dc:creator>
  <dc:description>Complete, table-driven advisory</dc:description>
  <cp:lastModifiedBy>Un-named</cp:lastModifiedBy>
  <cp:revision>1</cp:revision>
  <dcterms:created xsi:type="dcterms:W3CDTF">2026-07-15T09:14:23.975Z</dcterms:created>
  <dcterms:modified xsi:type="dcterms:W3CDTF">2026-07-15T09:14:23.988Z</dcterms:modified>
</cp:coreProperties>
</file>

<file path=docProps/custom.xml><?xml version="1.0" encoding="utf-8"?>
<Properties xmlns="http://schemas.openxmlformats.org/officeDocument/2006/custom-properties" xmlns:vt="http://schemas.openxmlformats.org/officeDocument/2006/docPropsVTypes"/>
</file>