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CITATION &amp; CROSS-REFERENCE VERIFICATION REPORT</w:t>
      </w:r>
    </w:p>
    <w:p>
      <w:pPr>
        <w:spacing w:after="40"/>
        <w:jc w:val="center"/>
      </w:pPr>
      <w:r>
        <w:rPr>
          <w:rFonts w:ascii="Calibri" w:cs="Calibri" w:eastAsia="Calibri" w:hAnsi="Calibri"/>
          <w:b/>
          <w:bCs/>
          <w:color w:val="595959"/>
          <w:sz w:val="22"/>
          <w:szCs w:val="22"/>
        </w:rPr>
        <w:t xml:space="preserve">Client Advisory — India–UK CETA / FTA</w:t>
      </w:r>
    </w:p>
    <w:p>
      <w:pPr>
        <w:pBdr>
          <w:bottom w:val="single" w:color="1F3864" w:sz="12" w:space="6"/>
        </w:pBdr>
        <w:spacing w:after="200"/>
        <w:jc w:val="center"/>
      </w:pPr>
      <w:r>
        <w:rPr>
          <w:rFonts w:ascii="Calibri" w:cs="Calibri" w:eastAsia="Calibri" w:hAnsi="Calibri"/>
          <w:i/>
          <w:iCs/>
          <w:color w:val="595959"/>
          <w:sz w:val="18"/>
          <w:szCs w:val="18"/>
        </w:rPr>
        <w:t xml:space="preserve">Prepared as a source-traceability check against the four supplied PDFs</w:t>
      </w:r>
    </w:p>
    <w:p>
      <w:pPr>
        <w:pStyle w:val="Heading1"/>
        <w:spacing w:after="120" w:before="280"/>
      </w:pPr>
      <w:r>
        <w:rPr>
          <w:rFonts w:ascii="Calibri" w:cs="Calibri" w:eastAsia="Calibri" w:hAnsi="Calibri"/>
          <w:b/>
          <w:bCs/>
          <w:color w:val="1F3864"/>
          <w:sz w:val="26"/>
          <w:szCs w:val="26"/>
        </w:rPr>
        <w:t xml:space="preserve">1.  Scope, sources and method</w:t>
      </w:r>
    </w:p>
    <w:p>
      <w:pPr>
        <w:spacing w:after="120" w:before="0" w:line="264"/>
        <w:jc w:val="left"/>
      </w:pPr>
      <w:r>
        <w:rPr>
          <w:rFonts w:ascii="Calibri" w:cs="Calibri" w:eastAsia="Calibri" w:hAnsi="Calibri"/>
          <w:b w:val="false"/>
          <w:bCs w:val="false"/>
          <w:i w:val="false"/>
          <w:iCs w:val="false"/>
          <w:color w:val="000000"/>
          <w:sz w:val="20"/>
          <w:szCs w:val="20"/>
        </w:rPr>
        <w:t xml:space="preserve">This report verifies every source citation, footnote, hyperlink, page cross-reference and headline statistic in the Client Advisory against the source documents provided. Each statistic was checked to confirm it is traceable to the cited source </w:t>
      </w:r>
      <w:r>
        <w:rPr>
          <w:rFonts w:ascii="Calibri" w:cs="Calibri" w:eastAsia="Calibri" w:hAnsi="Calibri"/>
          <w:b/>
          <w:bCs/>
          <w:i w:val="false"/>
          <w:iCs w:val="false"/>
          <w:color w:val="000000"/>
          <w:sz w:val="20"/>
          <w:szCs w:val="20"/>
        </w:rPr>
        <w:t xml:space="preserve">on the specific page cited</w:t>
      </w:r>
      <w:r>
        <w:rPr>
          <w:rFonts w:ascii="Calibri" w:cs="Calibri" w:eastAsia="Calibri" w:hAnsi="Calibri"/>
          <w:b w:val="false"/>
          <w:bCs w:val="false"/>
          <w:i w:val="false"/>
          <w:iCs w:val="false"/>
          <w:color w:val="000000"/>
          <w:sz w:val="20"/>
          <w:szCs w:val="20"/>
        </w:rPr>
        <w:t xml:space="preserve">. Where a figure is correct but the page pointer is wrong, both the correct page and the error are stated. Where a claim cannot be traced to any supplied document, it is marked UNVERIFIED rather than corrected by invention.</w:t>
      </w:r>
    </w:p>
    <w:p>
      <w:pPr>
        <w:pStyle w:val="Heading2"/>
        <w:spacing w:after="100" w:before="220"/>
      </w:pPr>
      <w:r>
        <w:rPr>
          <w:rFonts w:ascii="Calibri" w:cs="Calibri" w:eastAsia="Calibri" w:hAnsi="Calibri"/>
          <w:b/>
          <w:bCs/>
          <w:color w:val="1F3864"/>
          <w:sz w:val="23"/>
          <w:szCs w:val="23"/>
        </w:rPr>
        <w:t xml:space="preserve">Source documents supplied (as filed)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4900"/>
      </w:tblGrid>
      <w:tr>
        <w:trPr>
          <w:tblHeader/>
        </w:trPr>
        <w:tc>
          <w:tcPr>
            <w:tcW w:type="dxa" w:w="32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File</w:t>
            </w:r>
          </w:p>
        </w:tc>
        <w:tc>
          <w:tcPr>
            <w:tcW w:type="dxa" w:w="11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Pages</w:t>
            </w:r>
          </w:p>
        </w:tc>
        <w:tc>
          <w:tcPr>
            <w:tcW w:type="dxa" w:w="49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What it actually is</w:t>
            </w:r>
          </w:p>
        </w:tc>
      </w:tr>
      <w:tr>
        <w:tc>
          <w:tcPr>
            <w:tcW w:type="dxa" w:w="320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PIB__29_07_25_.pdf</w:t>
            </w:r>
          </w:p>
        </w:tc>
        <w:tc>
          <w:tcPr>
            <w:tcW w:type="dxa" w:w="11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29</w:t>
            </w:r>
          </w:p>
        </w:tc>
        <w:tc>
          <w:tcPr>
            <w:tcW w:type="dxa" w:w="49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Backgrounder “India–UK CETA”, dated 29 July 2025. Its own reference footer is PRID = 2147805. Largely image-based (infographics).</w:t>
            </w:r>
          </w:p>
        </w:tc>
      </w:tr>
      <w:tr>
        <w:tc>
          <w:tcPr>
            <w:tcW w:type="dxa" w:w="320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India_UK_FTA_Report_by_WTC_Mumbai.pdf</w:t>
            </w:r>
          </w:p>
        </w:tc>
        <w:tc>
          <w:tcPr>
            <w:tcW w:type="dxa" w:w="11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16</w:t>
            </w:r>
          </w:p>
        </w:tc>
        <w:tc>
          <w:tcPr>
            <w:tcW w:type="dxa" w:w="49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MVIRDC World Trade Center Mumbai “Report on India-UK FTA”, 2025. Text-based. Note: only 16 pages exist.</w:t>
            </w:r>
          </w:p>
        </w:tc>
      </w:tr>
      <w:tr>
        <w:tc>
          <w:tcPr>
            <w:tcW w:type="dxa" w:w="320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India_-_UK_CETA_FTA_agreement__1_.pdf</w:t>
            </w:r>
          </w:p>
        </w:tc>
        <w:tc>
          <w:tcPr>
            <w:tcW w:type="dxa" w:w="11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587</w:t>
            </w:r>
          </w:p>
        </w:tc>
        <w:tc>
          <w:tcPr>
            <w:tcW w:type="dxa" w:w="49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The full CETA legal text. Page 8 = Chapter 1 general definitions; sector-benefit narrative is NOT organised on pages 8–20.</w:t>
            </w:r>
          </w:p>
        </w:tc>
      </w:tr>
      <w:tr>
        <w:tc>
          <w:tcPr>
            <w:tcW w:type="dxa" w:w="320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2026_FTA_INDIA_UK_AGREEMENT_FACTSHEET__1_.pdf</w:t>
            </w:r>
          </w:p>
        </w:tc>
        <w:tc>
          <w:tcPr>
            <w:tcW w:type="dxa" w:w="11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20</w:t>
            </w:r>
          </w:p>
        </w:tc>
        <w:tc>
          <w:tcPr>
            <w:tcW w:type="dxa" w:w="49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UK Department for Business &amp; Trade “India” trade &amp; investment statistics factsheet, released 23 June 2026. Identical to the “UK DBT India Factsheet” in footnote 1. A statistics factsheet — no sector-benefit prose.</w:t>
            </w:r>
          </w:p>
        </w:tc>
      </w:tr>
    </w:tbl>
    <w:p>
      <w:pPr>
        <w:spacing w:after="120" w:before="100" w:line="264"/>
        <w:jc w:val="left"/>
      </w:pPr>
      <w:r>
        <w:rPr>
          <w:rFonts w:ascii="Calibri" w:cs="Calibri" w:eastAsia="Calibri" w:hAnsi="Calibri"/>
          <w:b w:val="false"/>
          <w:bCs w:val="false"/>
          <w:i/>
          <w:iCs/>
          <w:color w:val="595959"/>
          <w:sz w:val="20"/>
          <w:szCs w:val="20"/>
        </w:rPr>
        <w:t xml:space="preserve">Network access was disabled in this environment, so the five external hyperlinks in the footnotes and the PIB Release ID could not be opened or confirmed. Those items are marked UNVERIFIED for that reason — not as errors.</w:t>
      </w:r>
    </w:p>
    <w:p>
      <w:pPr>
        <w:pStyle w:val="Heading1"/>
        <w:spacing w:after="120" w:before="280"/>
      </w:pPr>
      <w:r>
        <w:rPr>
          <w:rFonts w:ascii="Calibri" w:cs="Calibri" w:eastAsia="Calibri" w:hAnsi="Calibri"/>
          <w:b/>
          <w:bCs/>
          <w:color w:val="1F3864"/>
          <w:sz w:val="26"/>
          <w:szCs w:val="26"/>
        </w:rPr>
        <w:t xml:space="preserve">2.  Headline findings (read this first)</w:t>
      </w:r>
    </w:p>
    <w:p>
      <w:pPr>
        <w:spacing w:after="60" w:before="0" w:line="264"/>
        <w:jc w:val="left"/>
      </w:pPr>
      <w:r>
        <w:rPr>
          <w:rFonts w:ascii="Calibri" w:cs="Calibri" w:eastAsia="Calibri" w:hAnsi="Calibri"/>
          <w:b/>
          <w:bCs/>
          <w:i w:val="false"/>
          <w:iCs w:val="false"/>
          <w:color w:val="C00000"/>
          <w:sz w:val="20"/>
          <w:szCs w:val="20"/>
        </w:rPr>
        <w:t xml:space="preserve">Finding A — The label “FTA agreement p.X” is a systematic mis-attribution.</w:t>
      </w:r>
    </w:p>
    <w:p>
      <w:pPr>
        <w:spacing w:after="120" w:before="0" w:line="264"/>
        <w:jc w:val="left"/>
      </w:pPr>
      <w:r>
        <w:rPr>
          <w:rFonts w:ascii="Calibri" w:cs="Calibri" w:eastAsia="Calibri" w:hAnsi="Calibri"/>
          <w:b w:val="false"/>
          <w:bCs w:val="false"/>
          <w:i w:val="false"/>
          <w:iCs w:val="false"/>
          <w:color w:val="000000"/>
          <w:sz w:val="20"/>
          <w:szCs w:val="20"/>
        </w:rPr>
        <w:t xml:space="preserve">Throughout the tables the advisory cites “FTA agreement p.8” to “p.20” for sector facts (marine SPS, leather/REACH, pharma/MHRA, engineering gap, gems, services sub-sectors, DCC, etc.). Those page numbers do not correspond to the 587-page CETA legal text (its page 8 is the definitions clause), nor to the 20-page DBT statistics factsheet (which contains no such prose). The underlying facts are real, but they live in the </w:t>
      </w:r>
      <w:r>
        <w:rPr>
          <w:rFonts w:ascii="Calibri" w:cs="Calibri" w:eastAsia="Calibri" w:hAnsi="Calibri"/>
          <w:b/>
          <w:bCs/>
          <w:i w:val="false"/>
          <w:iCs w:val="false"/>
          <w:color w:val="000000"/>
          <w:sz w:val="20"/>
          <w:szCs w:val="20"/>
        </w:rPr>
        <w:t xml:space="preserve">PIB Backgrounder</w:t>
      </w:r>
      <w:r>
        <w:rPr>
          <w:rFonts w:ascii="Calibri" w:cs="Calibri" w:eastAsia="Calibri" w:hAnsi="Calibri"/>
          <w:b w:val="false"/>
          <w:bCs w:val="false"/>
          <w:i w:val="false"/>
          <w:iCs w:val="false"/>
          <w:color w:val="000000"/>
          <w:sz w:val="20"/>
          <w:szCs w:val="20"/>
        </w:rPr>
        <w:t xml:space="preserve"> and the </w:t>
      </w:r>
      <w:r>
        <w:rPr>
          <w:rFonts w:ascii="Calibri" w:cs="Calibri" w:eastAsia="Calibri" w:hAnsi="Calibri"/>
          <w:b/>
          <w:bCs/>
          <w:i w:val="false"/>
          <w:iCs w:val="false"/>
          <w:color w:val="000000"/>
          <w:sz w:val="20"/>
          <w:szCs w:val="20"/>
        </w:rPr>
        <w:t xml:space="preserve">WTC Mumbai Report</w:t>
      </w:r>
      <w:r>
        <w:rPr>
          <w:rFonts w:ascii="Calibri" w:cs="Calibri" w:eastAsia="Calibri" w:hAnsi="Calibri"/>
          <w:b w:val="false"/>
          <w:bCs w:val="false"/>
          <w:i w:val="false"/>
          <w:iCs w:val="false"/>
          <w:color w:val="000000"/>
          <w:sz w:val="20"/>
          <w:szCs w:val="20"/>
        </w:rPr>
        <w:t xml:space="preserve"> — on the very page numbers used. In other words, the content marked “FTA agreement p.N” is almost always PIB / WTC page N. Recommendation: relabel every “FTA agreement p.N” citation to the correct source (PIB or WTC) before the advisory goes out.</w:t>
      </w:r>
    </w:p>
    <w:p>
      <w:pPr>
        <w:spacing w:after="60" w:before="0" w:line="264"/>
        <w:jc w:val="left"/>
      </w:pPr>
      <w:r>
        <w:rPr>
          <w:rFonts w:ascii="Calibri" w:cs="Calibri" w:eastAsia="Calibri" w:hAnsi="Calibri"/>
          <w:b/>
          <w:bCs/>
          <w:i w:val="false"/>
          <w:iCs w:val="false"/>
          <w:color w:val="C00000"/>
          <w:sz w:val="20"/>
          <w:szCs w:val="20"/>
        </w:rPr>
        <w:t xml:space="preserve">Finding B — “WTC Mumbai Report p.23” cannot exist.</w:t>
      </w:r>
    </w:p>
    <w:p>
      <w:pPr>
        <w:spacing w:after="120" w:before="0" w:line="264"/>
        <w:jc w:val="left"/>
      </w:pPr>
      <w:r>
        <w:rPr>
          <w:rFonts w:ascii="Calibri" w:cs="Calibri" w:eastAsia="Calibri" w:hAnsi="Calibri"/>
          <w:b w:val="false"/>
          <w:bCs w:val="false"/>
          <w:i w:val="false"/>
          <w:iCs w:val="false"/>
          <w:color w:val="000000"/>
          <w:sz w:val="20"/>
          <w:szCs w:val="20"/>
        </w:rPr>
        <w:t xml:space="preserve">The marine-products rows (Chapter 1 and Chapter 3) cite “WTC MUMBAI REPORT pp.13,23”. The WTC report is only 16 pages long. Page 23 is a </w:t>
      </w:r>
      <w:r>
        <w:rPr>
          <w:rFonts w:ascii="Calibri" w:cs="Calibri" w:eastAsia="Calibri" w:hAnsi="Calibri"/>
          <w:b/>
          <w:bCs/>
          <w:i w:val="false"/>
          <w:iCs w:val="false"/>
          <w:color w:val="000000"/>
          <w:sz w:val="20"/>
          <w:szCs w:val="20"/>
        </w:rPr>
        <w:t xml:space="preserve">PIB Backgrounder</w:t>
      </w:r>
      <w:r>
        <w:rPr>
          <w:rFonts w:ascii="Calibri" w:cs="Calibri" w:eastAsia="Calibri" w:hAnsi="Calibri"/>
          <w:b w:val="false"/>
          <w:bCs w:val="false"/>
          <w:i w:val="false"/>
          <w:iCs w:val="false"/>
          <w:color w:val="000000"/>
          <w:sz w:val="20"/>
          <w:szCs w:val="20"/>
        </w:rPr>
        <w:t xml:space="preserve"> page — it holds the marine infographic that is the actual source of the “4.2–21.5%” tariff figure. The “p.23” pointer should read PIB p.23, not WTC.</w:t>
      </w:r>
    </w:p>
    <w:p>
      <w:pPr>
        <w:spacing w:after="60" w:before="0" w:line="264"/>
        <w:jc w:val="left"/>
      </w:pPr>
      <w:r>
        <w:rPr>
          <w:rFonts w:ascii="Calibri" w:cs="Calibri" w:eastAsia="Calibri" w:hAnsi="Calibri"/>
          <w:b/>
          <w:bCs/>
          <w:i w:val="false"/>
          <w:iCs w:val="false"/>
          <w:color w:val="C00000"/>
          <w:sz w:val="20"/>
          <w:szCs w:val="20"/>
        </w:rPr>
        <w:t xml:space="preserve">Finding C — The “five-year” DCC social-security exemption contradicts every supplied source.</w:t>
      </w:r>
    </w:p>
    <w:p>
      <w:pPr>
        <w:spacing w:after="120" w:before="0" w:line="264"/>
        <w:jc w:val="left"/>
      </w:pPr>
      <w:r>
        <w:rPr>
          <w:rFonts w:ascii="Calibri" w:cs="Calibri" w:eastAsia="Calibri" w:hAnsi="Calibri"/>
          <w:b w:val="false"/>
          <w:bCs w:val="false"/>
          <w:i w:val="false"/>
          <w:iCs w:val="false"/>
          <w:color w:val="000000"/>
          <w:sz w:val="20"/>
          <w:szCs w:val="20"/>
        </w:rPr>
        <w:t xml:space="preserve">The advisory states the Double Contribution Convention exemption runs “up to five years (up from three)” (FTA-Details table, DCC flowchart Step 1, and both services tables). Both primary sources say </w:t>
      </w:r>
      <w:r>
        <w:rPr>
          <w:rFonts w:ascii="Calibri" w:cs="Calibri" w:eastAsia="Calibri" w:hAnsi="Calibri"/>
          <w:b/>
          <w:bCs/>
          <w:i w:val="false"/>
          <w:iCs w:val="false"/>
          <w:color w:val="000000"/>
          <w:sz w:val="20"/>
          <w:szCs w:val="20"/>
        </w:rPr>
        <w:t xml:space="preserve">three years</w:t>
      </w:r>
      <w:r>
        <w:rPr>
          <w:rFonts w:ascii="Calibri" w:cs="Calibri" w:eastAsia="Calibri" w:hAnsi="Calibri"/>
          <w:b w:val="false"/>
          <w:bCs w:val="false"/>
          <w:i w:val="false"/>
          <w:iCs w:val="false"/>
          <w:color w:val="000000"/>
          <w:sz w:val="20"/>
          <w:szCs w:val="20"/>
        </w:rPr>
        <w:t xml:space="preserve">: WTC report pp.3 and 9 (“three-year exemption” / “up to three years”) and PIB Backgrounder pp.5, 18 and 27 (“up to three years” / “for three years”). No supplied document supports five years. This figure is UNVERIFIED and, on the evidence supplied, appears incorrect. It must be corrected to three years or supported by a citable source.</w:t>
      </w:r>
    </w:p>
    <w:p>
      <w:pPr>
        <w:spacing w:after="60" w:before="0" w:line="264"/>
        <w:jc w:val="left"/>
      </w:pPr>
      <w:r>
        <w:rPr>
          <w:rFonts w:ascii="Calibri" w:cs="Calibri" w:eastAsia="Calibri" w:hAnsi="Calibri"/>
          <w:b/>
          <w:bCs/>
          <w:i w:val="false"/>
          <w:iCs w:val="false"/>
          <w:color w:val="9C6500"/>
          <w:sz w:val="20"/>
          <w:szCs w:val="20"/>
        </w:rPr>
        <w:t xml:space="preserve">Finding D — “PIB Release ID 2274280” is not the ID of the supplied PIB document.</w:t>
      </w:r>
    </w:p>
    <w:p>
      <w:pPr>
        <w:spacing w:after="120" w:before="0" w:line="264"/>
        <w:jc w:val="left"/>
      </w:pPr>
      <w:r>
        <w:rPr>
          <w:rFonts w:ascii="Calibri" w:cs="Calibri" w:eastAsia="Calibri" w:hAnsi="Calibri"/>
          <w:b w:val="false"/>
          <w:bCs w:val="false"/>
          <w:i w:val="false"/>
          <w:iCs w:val="false"/>
          <w:color w:val="000000"/>
          <w:sz w:val="20"/>
          <w:szCs w:val="20"/>
        </w:rPr>
        <w:t xml:space="preserve">Footnotes 1, 2, 7 and many table rows cite “PIB Release ID 2274280 (17 June 2026)”. The PIB Backgrounder actually supplied is dated 29 July 2025 and carries </w:t>
      </w:r>
      <w:r>
        <w:rPr>
          <w:rFonts w:ascii="Calibri" w:cs="Calibri" w:eastAsia="Calibri" w:hAnsi="Calibri"/>
          <w:b/>
          <w:bCs/>
          <w:i w:val="false"/>
          <w:iCs w:val="false"/>
          <w:color w:val="000000"/>
          <w:sz w:val="20"/>
          <w:szCs w:val="20"/>
        </w:rPr>
        <w:t xml:space="preserve">PRID = 2147805</w:t>
      </w:r>
      <w:r>
        <w:rPr>
          <w:rFonts w:ascii="Calibri" w:cs="Calibri" w:eastAsia="Calibri" w:hAnsi="Calibri"/>
          <w:b w:val="false"/>
          <w:bCs w:val="false"/>
          <w:i w:val="false"/>
          <w:iCs w:val="false"/>
          <w:color w:val="000000"/>
          <w:sz w:val="20"/>
          <w:szCs w:val="20"/>
        </w:rPr>
        <w:t xml:space="preserve"> in its own references (p.29). The advisory therefore relies on two different PIB items: the 29 July 2025 Backgrounder (supplied) and a 17 June 2026 release (not supplied, and unverifiable here). Confirm 2274280 against the live PIB site before publication; as supplied it is UNVERIFIED.</w:t>
      </w:r>
    </w:p>
    <w:p>
      <w:pPr>
        <w:spacing w:after="60" w:before="0" w:line="264"/>
        <w:jc w:val="left"/>
      </w:pPr>
      <w:r>
        <w:rPr>
          <w:rFonts w:ascii="Calibri" w:cs="Calibri" w:eastAsia="Calibri" w:hAnsi="Calibri"/>
          <w:b/>
          <w:bCs/>
          <w:i w:val="false"/>
          <w:iCs w:val="false"/>
          <w:color w:val="9C6500"/>
          <w:sz w:val="20"/>
          <w:szCs w:val="20"/>
        </w:rPr>
        <w:t xml:space="preserve">Finding E — The date framing (“in force 15 July 2026”) cannot be confirmed from the supplied documents.</w:t>
      </w:r>
    </w:p>
    <w:p>
      <w:pPr>
        <w:spacing w:after="120" w:before="0" w:line="264"/>
        <w:jc w:val="left"/>
      </w:pPr>
      <w:r>
        <w:rPr>
          <w:rFonts w:ascii="Calibri" w:cs="Calibri" w:eastAsia="Calibri" w:hAnsi="Calibri"/>
          <w:b w:val="false"/>
          <w:bCs w:val="false"/>
          <w:i w:val="false"/>
          <w:iCs w:val="false"/>
          <w:color w:val="000000"/>
          <w:sz w:val="20"/>
          <w:szCs w:val="20"/>
        </w:rPr>
        <w:t xml:space="preserve">The PIB Backgrounder is a 29 July 2025 signing document (“India and the UK have signed CETA”); it does not state a 15 July 2026 entry-into-force date. The WTC report says the FTA was “finalized in May 2025”. The 15 July 2026 in-force date is not traceable to any supplied source and is UNVERIFIED here.</w:t>
      </w:r>
    </w:p>
    <w:p>
      <w:pPr>
        <w:spacing w:after="120" w:before="0" w:line="264"/>
        <w:jc w:val="left"/>
      </w:pPr>
      <w:r>
        <w:rPr>
          <w:rFonts w:ascii="Calibri" w:cs="Calibri" w:eastAsia="Calibri" w:hAnsi="Calibri"/>
          <w:b/>
          <w:bCs/>
          <w:i w:val="false"/>
          <w:iCs w:val="false"/>
          <w:color w:val="375623"/>
          <w:sz w:val="20"/>
          <w:szCs w:val="20"/>
        </w:rPr>
        <w:t xml:space="preserve">Everything else — the substance of the numbers — largely checks out. </w:t>
      </w:r>
      <w:r>
        <w:rPr>
          <w:rFonts w:ascii="Calibri" w:cs="Calibri" w:eastAsia="Calibri" w:hAnsi="Calibri"/>
          <w:b w:val="false"/>
          <w:bCs w:val="false"/>
          <w:i w:val="false"/>
          <w:iCs w:val="false"/>
          <w:color w:val="000000"/>
          <w:sz w:val="20"/>
          <w:szCs w:val="20"/>
        </w:rPr>
        <w:t xml:space="preserve">Where the advisory cites PIB or WTC by page for a specific statistic, the statistic is almost always present on that page. The problems are attribution/pagination and the five-year DCC figure, not fabricated data.</w:t>
      </w:r>
    </w:p>
    <w:p>
      <w:pPr>
        <w:pStyle w:val="Heading1"/>
        <w:spacing w:after="120" w:before="280"/>
      </w:pPr>
      <w:r>
        <w:rPr>
          <w:rFonts w:ascii="Calibri" w:cs="Calibri" w:eastAsia="Calibri" w:hAnsi="Calibri"/>
          <w:b/>
          <w:bCs/>
          <w:color w:val="1F3864"/>
          <w:sz w:val="26"/>
          <w:szCs w:val="26"/>
        </w:rPr>
        <w:t xml:space="preserve">3.  Footnote-by-footnote verification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
        <w:gridCol w:w="4600"/>
        <w:gridCol w:w="1300"/>
        <w:gridCol w:w="2740"/>
      </w:tblGrid>
      <w:tr>
        <w:trPr>
          <w:tblHeader/>
        </w:trPr>
        <w:tc>
          <w:tcPr>
            <w:tcW w:type="dxa" w:w="56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t>
            </w:r>
          </w:p>
        </w:tc>
        <w:tc>
          <w:tcPr>
            <w:tcW w:type="dxa" w:w="46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What the footnote says</w:t>
            </w:r>
          </w:p>
        </w:tc>
        <w:tc>
          <w:tcPr>
            <w:tcW w:type="dxa" w:w="13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Status</w:t>
            </w:r>
          </w:p>
        </w:tc>
        <w:tc>
          <w:tcPr>
            <w:tcW w:type="dxa" w:w="274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Finding / correct position</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1</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Release ID 2274280 (17 June 2026); PIB Backgrounder (29 July 2025); UK DBT India Factsheet (23 June 2026).”</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Backgrounder (29 Jul 2025) = supplied (its PRID is 2147805). DBT Factsheet (23 Jun 2026) = supplied (20-pp file). Release ID 2274280 not in any supplied file; network blocked → cannot confirm.</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2</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“…see the Agreement text at commerce.gov.in … 30 chapters per PIB Release ID 2274280.”</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“30 chapters” is not stated in the supplied PIB Backgrounder (image-based) or WTC report. The 587-pp CETA text supplied is chapter-structured but the count was not independently confirmed here. External ID unverifiable.</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3</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WTO PDF URL for the DCTS / developing-country context.</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Link not reachable (network disabled). Could not open to confirm it supports the DCTS point.</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4</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nsez.gov.in ‘UK GSP’ PDF for the ‘Standard Preferences’ tier.</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Link not reachable (network disabled).</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5</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api.gov.uk UK Global Tariff measures URL.</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Link not reachable (network disabled). Also note the body text spells it “UK Global Tarriff” (typo).</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6</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Explains Form A / Generalized System of Preferences.</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Definitional note; internally consistent. No source page to check against — no factual page cross-reference made.</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7</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Release ID 2274280; PIB Backgrounder (29 July 2025) pp.3,11–13; WTC Mumbai Report (2025) pp.11–13. DCTS … withdrawn from 1 Jan 2026 (GOV.UK).”</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pp.3,11–13 and WTC pp.11–13 do carry the duty/opportunity figures cited — those page pointers are sound. Errors: (i) contains a garbled string “WTC MUMBAI REPORTMumbai Report” (text corruption); (ii) Release ID 2274280 unverifiable; (iii) DCTS-withdrawal / GOV.UK not confirmable (network).</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8</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taxguru.in Foreign Trade Policy 2023 URL (IEC requirement).</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Link not reachable (network disabled). Note: a law-firm advisory would normally cite DGFT/FTP 2023 primary source rather than taxguru.in.</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9</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taxguru.in faceless customs assessment URL.</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Link not reachable (network disabled). Same primary-source caution as fn 8.</w:t>
            </w:r>
          </w:p>
        </w:tc>
      </w:tr>
      <w:tr>
        <w:tc>
          <w:tcPr>
            <w:tcW w:type="dxa" w:w="56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10</w:t>
            </w:r>
          </w:p>
        </w:tc>
        <w:tc>
          <w:tcPr>
            <w:tcW w:type="dxa" w:w="46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Backgrounder (29 July 2025) p.3 (duty table; applies to ~97.1% of tariff lines); spirits and automobile peaks per p.12 and WTC Mumbai Report pp.9,12.”</w:t>
            </w:r>
          </w:p>
        </w:tc>
        <w:tc>
          <w:tcPr>
            <w:tcW w:type="dxa" w:w="13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c>
          <w:tcPr>
            <w:tcW w:type="dxa" w:w="274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“97.1% of tariff lines” and the pre-FTA duty ladder ARE on PIB p.3 — correct. Spirits/auto peaks: WTC p.12 (spirits 150%) is correct, but “WTC p.9” for the automobile peak is WRONG — the 100%→10% / £400m–£900m auto content is on WTC p.11, not p.9 (WTC p.9 is services/IT). PIB “p.12” for spirits is also wrong: PIB p.12 is Electronics/Pharma; spirits appear on WTC p.12.</w:t>
            </w:r>
          </w:p>
        </w:tc>
      </w:tr>
    </w:tbl>
    <w:p>
      <w:pPr>
        <w:spacing w:after="60"/>
      </w:pPr>
    </w:p>
    <w:p>
      <w:pPr>
        <w:pStyle w:val="Heading1"/>
        <w:spacing w:after="120" w:before="280"/>
      </w:pPr>
      <w:r>
        <w:rPr>
          <w:rFonts w:ascii="Calibri" w:cs="Calibri" w:eastAsia="Calibri" w:hAnsi="Calibri"/>
          <w:b/>
          <w:bCs/>
          <w:color w:val="1F3864"/>
          <w:sz w:val="26"/>
          <w:szCs w:val="26"/>
        </w:rPr>
        <w:t xml:space="preserve">4.  Page-pointer errors in the body tables</w:t>
      </w:r>
    </w:p>
    <w:p>
      <w:pPr>
        <w:spacing w:after="120" w:before="0" w:line="264"/>
        <w:jc w:val="left"/>
      </w:pPr>
      <w:r>
        <w:rPr>
          <w:rFonts w:ascii="Calibri" w:cs="Calibri" w:eastAsia="Calibri" w:hAnsi="Calibri"/>
          <w:b w:val="false"/>
          <w:bCs w:val="false"/>
          <w:i/>
          <w:iCs/>
          <w:color w:val="595959"/>
          <w:sz w:val="20"/>
          <w:szCs w:val="20"/>
        </w:rPr>
        <w:t xml:space="preserve">These are the specific in-table “Source” pointers that point to the wrong document or a non-existent page. The figure itself is usually correct; only the pointer is wrong. “PIB” = PIB Backgrounder (29 Jul 2025); “WTC” = WTC Mumbai Report (16 pp).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650"/>
        <w:gridCol w:w="2650"/>
        <w:gridCol w:w="1400"/>
      </w:tblGrid>
      <w:tr>
        <w:trPr>
          <w:tblHeader/>
        </w:trPr>
        <w:tc>
          <w:tcPr>
            <w:tcW w:type="dxa" w:w="25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Where in the advisory</w:t>
            </w:r>
          </w:p>
        </w:tc>
        <w:tc>
          <w:tcPr>
            <w:tcW w:type="dxa" w:w="26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As cited</w:t>
            </w:r>
          </w:p>
        </w:tc>
        <w:tc>
          <w:tcPr>
            <w:tcW w:type="dxa" w:w="26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Correct position (in supplied docs)</w:t>
            </w:r>
          </w:p>
        </w:tc>
        <w:tc>
          <w:tcPr>
            <w:tcW w:type="dxa" w:w="14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Status</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Ch.1 Goods — Marine products row</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WTC MUMBAI REPORT pp.13,23</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WTC has no p.23 (16 pp). Shrimp/Vietnam/Ecuador = WTC p.13 ✓. The 4.2–21.5% marine figure = PIB p.23. So: WTC p.13 + PIB p.23.</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Ch.3 Goods — Marine products row</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WTC MUMBAI REPORTpp.13,23</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Same as above: p.23 belongs to PIB, not WTC.</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Ch.1 Goods — Leather &amp; footwear row</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FTA agreement p.9</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Leather/footwear (“up to ~16%”, Vietnam competition) is discussed in PIB p.9 and WTC p.11 — NOT on any “FTA agreement p.9”, and NOT on WTC p.9 (services).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Ch.1 Goods — Automobiles/EV row</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WTC MUMBAI REPORTp.9</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Auto duty content (100%→10%, £400m–£900m) is on WTC p.11, not p.9. WTC p.9 is services/IT/smartphones.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fn 10 — automobile peak</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WTC Mumbai Report pp.9,12</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Auto peak is WTC p.11. Spirits 150% is WTC p.12 ✓.</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Ch.1 Goods — Ceramics &amp; construction row</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(29.7.205) p.12</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Ceramics (USD 119m, Morbi, Gujarat 800 units) is on WTC p.12. PIB p.12 is Electronics/Telecom + Pharma — no ceramics.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Ch.2 &amp; Ch.3 — Cosmetics row</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(29.7.205) p.12 (+ WTC p.12)</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Cosmetics (USD 20bn market, USD 34.4m imports) is on WTC p.12. PIB p.12 has no cosmetics. WTC p.12 pointer is correct; the PIB p.12 pointer is wrong.</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Ch.1 Goods — Scotch/whisky retail-fall &amp; MIP</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(29.7.205) p.12 (+ WTC p.12)</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Whisky 150%→75%→40%, MIP, Maharashtra excise = WTC p.12. PIB p.12 has no alcohol content.</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All “FTA agreement p.8/p.12/p.13/p.16/p.20” etc.</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FTA agreement p.N</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The 587-pp legal text is not organised this way (p.8 = definitions). Facts sit in PIB p.N or WTC. Relabel to the true source. (See §5 for the per-figure map.)</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25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citations written “(29.7.205)”</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(29.7.205)</w:t>
            </w:r>
          </w:p>
        </w:tc>
        <w:tc>
          <w:tcPr>
            <w:tcW w:type="dxa" w:w="26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Typo for the date 29.7.2025 throughout (missing digit).</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bl>
    <w:p>
      <w:pPr>
        <w:spacing w:after="80"/>
      </w:pPr>
    </w:p>
    <w:p>
      <w:pPr>
        <w:pStyle w:val="Heading1"/>
        <w:spacing w:after="120" w:before="280"/>
      </w:pPr>
      <w:r>
        <w:rPr>
          <w:rFonts w:ascii="Calibri" w:cs="Calibri" w:eastAsia="Calibri" w:hAnsi="Calibri"/>
          <w:b/>
          <w:bCs/>
          <w:color w:val="1F3864"/>
          <w:sz w:val="26"/>
          <w:szCs w:val="26"/>
        </w:rPr>
        <w:t xml:space="preserve">5.  Key statistics — traceability to the cited page</w:t>
      </w:r>
    </w:p>
    <w:p>
      <w:pPr>
        <w:spacing w:after="120" w:before="0" w:line="264"/>
        <w:jc w:val="left"/>
      </w:pPr>
      <w:r>
        <w:rPr>
          <w:rFonts w:ascii="Calibri" w:cs="Calibri" w:eastAsia="Calibri" w:hAnsi="Calibri"/>
          <w:b w:val="false"/>
          <w:bCs w:val="false"/>
          <w:i/>
          <w:iCs/>
          <w:color w:val="595959"/>
          <w:sz w:val="20"/>
          <w:szCs w:val="20"/>
        </w:rPr>
        <w:t xml:space="preserve">Each headline number in the advisory, the page it should sit on, and whether it is present there in the supplied documents. “Present ✓” means the figure is on that exact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3400"/>
        <w:gridCol w:w="1400"/>
      </w:tblGrid>
      <w:tr>
        <w:trPr>
          <w:tblHeader/>
        </w:trPr>
        <w:tc>
          <w:tcPr>
            <w:tcW w:type="dxa" w:w="30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Statistic in the advisory</w:t>
            </w:r>
          </w:p>
        </w:tc>
        <w:tc>
          <w:tcPr>
            <w:tcW w:type="dxa" w:w="13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Correct page</w:t>
            </w:r>
          </w:p>
        </w:tc>
        <w:tc>
          <w:tcPr>
            <w:tcW w:type="dxa" w:w="34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Note</w:t>
            </w:r>
          </w:p>
        </w:tc>
        <w:tc>
          <w:tcPr>
            <w:tcW w:type="dxa" w:w="140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Status</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~99% of Indian tariff lines duty-free; ~100% of export value</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 p.4</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(Key Takeaways; “99 per cent of tariff lines”).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Applies to 97.1% of tariff lines (duty ladder)</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p.3</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(“Applies to 97.1% of tariff lines”, infographic).</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India opens ~89.5% of lines; ~91% of UK exports; ~24.5% duty-free immediately</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p.4, p.5, p.20</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on all three pages.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Processed food up to 70%; marine to 21.5%; eng/auto to 18%; leather to 16%; textiles to 12%; chem/pharma to 8%</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p.3 (ladder); marine 21.5% on PIB p.23</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Note the ladder itself does not list “21.5%” — that marine peak is on PIB p.23, not p.3.</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Gems &amp; jewellery exports ~USD 941m; UK jewellery market ~USD 3bn</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p.16 (both) / WTC p.11 (USD 941m)</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Advisory splits these across “FTA agreement p.16” + “WTC p.11”; the USD 3bn is PIB p.16, mislabelled “FTA agreement”.</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Engineering exports ~USD 4.3bn vs ~USD 193bn UK imports; ~USD 7.5bn by 2029-30; USD 300bn goal by 2030</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p.10, p.11</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(USD 4.28bn; USD 193.52bn; USD 7.5bn; USD 300bn). Advisory labels “FTA agreement pp.10–11” — relabel to PIB.</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Marine: UK import market USD 5.4bn; India share ~2.25%; tariffs 4.2–8.5% (ladder) / 4.2–21.5% (infographic)</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p.8 (share/5.4bn/4.2–8.5%); PIB p.23 (4.2–21.5%)</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Advisory’s “4.2–21.5%” is the p.23 infographic figure; the p.8 text says 4.2–8.5%. Both exist — cite the right page for the range used.</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Shrimp tariffs 12–20%; Vietnam 25% / Ecuador 10% zero-duty; India 18%→15%; 35% target by 2026</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WTC p.13</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Textiles: UK apparel imports ~USD 19bn; India ~USD 1bn (5–5.5%); target 10%</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WTC p.11</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Pharma exports &lt;USD 1bn vs ~USD 30bn UK market; up to ~8% duty</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p.12</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(“UK imports nearly USD 30 billion … under USD 1 billion”; pharma 56 tariff lines).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Medical devices: India exports ~USD 37m; UK market ~USD 32bn (2024)</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p.12 (‘$37 million’ to UK); PIB p.13 (USD 32bn UK mkt)</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USD 37m and USD 32bn are on PIB pp.12–13, not a “FTA agreement p.13”.</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Chemicals: UK market USD 28.35bn; ~30–40% export growth (USD 650–750m 2025-26)</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p.14, p.15</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Advisory labels “FTA agreement pp.13–15” — relabel to PIB.</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Plastics: India ~13th-largest UK supplier; ~USD 0.5bn (FY24-25)</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p.15</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(USD 0.509bn).</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Services: UK opens 137 sub-sectors; India opens 108 sub-sectors; FDI 74% (financial) / 100% (telecom)</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p.16, p.17</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on both.</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Mobility: BV 90 days/6 months; ICT up to 3 years; CSS/IP 12 months/24 months; no ENT/cap</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pp.17–18</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Dedicated quota of 1,800 chefs / yoga / musicians per year</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p.1, p.5, p.18, p.25</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DCC: ~75,000 workers &amp; ~900 companies; savings &gt; INR 4,000 crore / &gt; USD 500m</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p.5, p.18 (USD 500m); p.1/p.3 (INR 4,000 cr)</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Note PIB gives both INR 4,000 crore and USD 500m; advisory uses both consistently.</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DCC exemption “up to five years (up from three)”</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Sources say THREE years: WTC pp.3,9; PIB pp.5,18,27. No supplied source says five years.</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C00000"/>
                <w:sz w:val="17"/>
                <w:szCs w:val="17"/>
              </w:rPr>
              <w:t xml:space="preserve">INCORRECT</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Total India-UK bilateral trade ~USD 56bn; goods ~USD 23bn; services ~USD 33bn; target double by 2030</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PIB p.2 (USD 56/23/33bn)</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in PIB. (WTC p.3 instead says ~USD 60bn → USD 120bn by 2030 — a different figure; if the advisory quotes 56bn, cite PIB, not WTC.)</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UK–India total trade £47.9bn; UK exports £19.3bn; imports £28.7bn; 11th-largest partner (2025)</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DBT Factsheet p.1, p.4, p.7</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Present ✓ in the DBT factsheet — but the advisory does not actually cite these numbers anywhere; the factsheet is used only as a background source in fn 1.</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375623"/>
                <w:sz w:val="17"/>
                <w:szCs w:val="17"/>
              </w:rPr>
              <w:t xml:space="preserve">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“Sixth FTA … after Mauritius, UAE, Australia, EFTA and Oman”; “most comprehensive with a G7”</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Not stated in any supplied document (PIB image pages checked via content; WTC text checked). UNVERIFIED here — confirm against the 17 Jun 2026 PIB release.</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r>
      <w:tr>
        <w:tc>
          <w:tcPr>
            <w:tcW w:type="dxa" w:w="305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“In force 15 July 2026”; “30 chapters”</w:t>
            </w:r>
          </w:p>
        </w:tc>
        <w:tc>
          <w:tcPr>
            <w:tcW w:type="dxa" w:w="1350"/>
            <w:tcMar>
              <w:top w:type="dxa" w:w="60"/>
              <w:left w:type="dxa" w:w="90"/>
              <w:bottom w:type="dxa" w:w="60"/>
              <w:right w:type="dxa" w:w="90"/>
            </w:tcMar>
          </w:tcPr>
          <w:p>
            <w:pPr>
              <w:spacing w:after="0" w:line="232"/>
            </w:pPr>
            <w:r>
              <w:rPr>
                <w:rFonts w:ascii="Calibri" w:cs="Calibri" w:eastAsia="Calibri" w:hAnsi="Calibri"/>
                <w:b/>
                <w:bCs/>
                <w:i w:val="false"/>
                <w:iCs w:val="false"/>
                <w:color w:val="000000"/>
                <w:sz w:val="17"/>
                <w:szCs w:val="17"/>
              </w:rPr>
              <w:t xml:space="preserve">—</w:t>
            </w:r>
          </w:p>
        </w:tc>
        <w:tc>
          <w:tcPr>
            <w:tcW w:type="dxa" w:w="3400"/>
            <w:tcMar>
              <w:top w:type="dxa" w:w="60"/>
              <w:left w:type="dxa" w:w="90"/>
              <w:bottom w:type="dxa" w:w="60"/>
              <w:right w:type="dxa" w:w="90"/>
            </w:tcMar>
          </w:tcPr>
          <w:p>
            <w:pPr>
              <w:spacing w:after="0" w:line="232"/>
            </w:pPr>
            <w:r>
              <w:rPr>
                <w:rFonts w:ascii="Calibri" w:cs="Calibri" w:eastAsia="Calibri" w:hAnsi="Calibri"/>
                <w:b w:val="false"/>
                <w:bCs w:val="false"/>
                <w:i w:val="false"/>
                <w:iCs w:val="false"/>
                <w:color w:val="000000"/>
                <w:sz w:val="17"/>
                <w:szCs w:val="17"/>
              </w:rPr>
              <w:t xml:space="preserve">PIB Backgrounder is a 29 Jul 2025 signing note; WTC says “finalized May 2025”. Neither gives a 15 Jul 2026 in-force date or a “30-chapter” count. UNVERIFIED here.</w:t>
            </w:r>
          </w:p>
        </w:tc>
        <w:tc>
          <w:tcPr>
            <w:tcW w:type="dxa" w:w="1400"/>
            <w:tcMar>
              <w:top w:type="dxa" w:w="60"/>
              <w:left w:type="dxa" w:w="90"/>
              <w:bottom w:type="dxa" w:w="60"/>
              <w:right w:type="dxa" w:w="90"/>
            </w:tcMar>
          </w:tcPr>
          <w:p>
            <w:pPr>
              <w:spacing w:after="0" w:line="232"/>
            </w:pPr>
            <w:r>
              <w:rPr>
                <w:rFonts w:ascii="Calibri" w:cs="Calibri" w:eastAsia="Calibri" w:hAnsi="Calibri"/>
                <w:b/>
                <w:bCs/>
                <w:i w:val="false"/>
                <w:iCs w:val="false"/>
                <w:color w:val="9C6500"/>
                <w:sz w:val="17"/>
                <w:szCs w:val="17"/>
              </w:rPr>
              <w:t xml:space="preserve">UNVERIFIED</w:t>
            </w:r>
          </w:p>
        </w:tc>
      </w:tr>
    </w:tbl>
    <w:p>
      <w:pPr>
        <w:spacing w:after="80"/>
      </w:pPr>
    </w:p>
    <w:p>
      <w:pPr>
        <w:pStyle w:val="Heading1"/>
        <w:spacing w:after="120" w:before="280"/>
      </w:pPr>
      <w:r>
        <w:rPr>
          <w:rFonts w:ascii="Calibri" w:cs="Calibri" w:eastAsia="Calibri" w:hAnsi="Calibri"/>
          <w:b/>
          <w:bCs/>
          <w:color w:val="1F3864"/>
          <w:sz w:val="26"/>
          <w:szCs w:val="26"/>
        </w:rPr>
        <w:t xml:space="preserve">6.  Other textual / consistency issues to fix</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“PIB (29.7.205)” — </w:t>
      </w:r>
      <w:r>
        <w:rPr>
          <w:rFonts w:ascii="Calibri" w:cs="Calibri" w:eastAsia="Calibri" w:hAnsi="Calibri"/>
          <w:b w:val="false"/>
          <w:bCs w:val="false"/>
          <w:i w:val="false"/>
          <w:iCs w:val="false"/>
          <w:color w:val="000000"/>
          <w:sz w:val="20"/>
          <w:szCs w:val="20"/>
        </w:rPr>
        <w:t xml:space="preserve">Recurring typo for 29.7.2025 (a digit is missing). Appears in every table row that cites PIB. Global find-and-replace to “29.7.2025”.</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“UK Global Tarriff” — </w:t>
      </w:r>
      <w:r>
        <w:rPr>
          <w:rFonts w:ascii="Calibri" w:cs="Calibri" w:eastAsia="Calibri" w:hAnsi="Calibri"/>
          <w:b w:val="false"/>
          <w:bCs w:val="false"/>
          <w:i w:val="false"/>
          <w:iCs w:val="false"/>
          <w:color w:val="000000"/>
          <w:sz w:val="20"/>
          <w:szCs w:val="20"/>
        </w:rPr>
        <w:t xml:space="preserve">Misspelling of “UK Global Tariff” in the Chapter-1 exports paragraph.</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“WTC MUMBAI REPORTMumbai Report” (footnote 7) — </w:t>
      </w:r>
      <w:r>
        <w:rPr>
          <w:rFonts w:ascii="Calibri" w:cs="Calibri" w:eastAsia="Calibri" w:hAnsi="Calibri"/>
          <w:b w:val="false"/>
          <w:bCs w:val="false"/>
          <w:i w:val="false"/>
          <w:iCs w:val="false"/>
          <w:color w:val="000000"/>
          <w:sz w:val="20"/>
          <w:szCs w:val="20"/>
        </w:rPr>
        <w:t xml:space="preserve">Two source names run together — text corruption; should read “WTC Mumbai Report” once.</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“WTC MUMBAI REPORTp.11 / REPORTp.9 / REPORTp.12 / REPORTp.13” — </w:t>
      </w:r>
      <w:r>
        <w:rPr>
          <w:rFonts w:ascii="Calibri" w:cs="Calibri" w:eastAsia="Calibri" w:hAnsi="Calibri"/>
          <w:b w:val="false"/>
          <w:bCs w:val="false"/>
          <w:i w:val="false"/>
          <w:iCs w:val="false"/>
          <w:color w:val="000000"/>
          <w:sz w:val="20"/>
          <w:szCs w:val="20"/>
        </w:rPr>
        <w:t xml:space="preserve">Missing space between “REPORT” and the page number in numerous cells (e.g. “REPORTp.11”). Cosmetic but pervasive.</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“The 30-Chapter Delination” (heading) — </w:t>
      </w:r>
      <w:r>
        <w:rPr>
          <w:rFonts w:ascii="Calibri" w:cs="Calibri" w:eastAsia="Calibri" w:hAnsi="Calibri"/>
          <w:b w:val="false"/>
          <w:bCs w:val="false"/>
          <w:i w:val="false"/>
          <w:iCs w:val="false"/>
          <w:color w:val="000000"/>
          <w:sz w:val="20"/>
          <w:szCs w:val="20"/>
        </w:rPr>
        <w:t xml:space="preserve">Typo: “Delineation”.</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“FTA agreement” as a source label — </w:t>
      </w:r>
      <w:r>
        <w:rPr>
          <w:rFonts w:ascii="Calibri" w:cs="Calibri" w:eastAsia="Calibri" w:hAnsi="Calibri"/>
          <w:b w:val="false"/>
          <w:bCs w:val="false"/>
          <w:i w:val="false"/>
          <w:iCs w:val="false"/>
          <w:color w:val="000000"/>
          <w:sz w:val="20"/>
          <w:szCs w:val="20"/>
        </w:rPr>
        <w:t xml:space="preserve">Ambiguous — the firm holds BOTH a 587-page legal text and a 20-page DBT factsheet under FTA-related filenames. Decide which “FTA agreement” means and, per §2–§5, redirect these pointers to PIB / WTC where the facts actually sit.</w:t>
      </w:r>
    </w:p>
    <w:p>
      <w:pPr>
        <w:pStyle w:val="ListParagraph"/>
        <w:numPr>
          <w:ilvl w:val="0"/>
          <w:numId w:val="1"/>
        </w:numPr>
        <w:spacing w:after="60" w:before="0" w:line="264"/>
        <w:jc w:val="left"/>
      </w:pPr>
      <w:r>
        <w:rPr>
          <w:rFonts w:ascii="Calibri" w:cs="Calibri" w:eastAsia="Calibri" w:hAnsi="Calibri"/>
          <w:b/>
          <w:bCs/>
          <w:i w:val="false"/>
          <w:iCs w:val="false"/>
          <w:color w:val="000000"/>
          <w:sz w:val="20"/>
          <w:szCs w:val="20"/>
        </w:rPr>
        <w:t xml:space="preserve">taxguru.in citations (fn 8, 9) — </w:t>
      </w:r>
      <w:r>
        <w:rPr>
          <w:rFonts w:ascii="Calibri" w:cs="Calibri" w:eastAsia="Calibri" w:hAnsi="Calibri"/>
          <w:b w:val="false"/>
          <w:bCs w:val="false"/>
          <w:i w:val="false"/>
          <w:iCs w:val="false"/>
          <w:color w:val="000000"/>
          <w:sz w:val="20"/>
          <w:szCs w:val="20"/>
        </w:rPr>
        <w:t xml:space="preserve">For a Tier-1 advisory, cite primary sources — DGFT Foreign Trade Policy 2023 and the CBIC faceless-assessment circular — rather than a third-party commentary site.</w:t>
      </w:r>
    </w:p>
    <w:p>
      <w:pPr>
        <w:pStyle w:val="Heading1"/>
        <w:spacing w:after="120" w:before="280"/>
      </w:pPr>
      <w:r>
        <w:rPr>
          <w:rFonts w:ascii="Calibri" w:cs="Calibri" w:eastAsia="Calibri" w:hAnsi="Calibri"/>
          <w:b/>
          <w:bCs/>
          <w:color w:val="1F3864"/>
          <w:sz w:val="26"/>
          <w:szCs w:val="26"/>
        </w:rPr>
        <w:t xml:space="preserve">7.  Bottom line</w:t>
      </w:r>
    </w:p>
    <w:p>
      <w:pPr>
        <w:spacing w:after="120" w:before="0" w:line="264"/>
        <w:jc w:val="left"/>
      </w:pPr>
      <w:r>
        <w:rPr>
          <w:rFonts w:ascii="Calibri" w:cs="Calibri" w:eastAsia="Calibri" w:hAnsi="Calibri"/>
          <w:b w:val="false"/>
          <w:bCs w:val="false"/>
          <w:i w:val="false"/>
          <w:iCs w:val="false"/>
          <w:color w:val="000000"/>
          <w:sz w:val="20"/>
          <w:szCs w:val="20"/>
        </w:rPr>
        <w:t xml:space="preserve">The advisory’s underlying data is, in almost every case, faithfully drawn from the PIB Backgrounder and the WTC Mumbai Report and is present on the pages cited. The report is safe to issue only after three classes of fix: (1) correct the two demonstrably wrong / impossible pointers — WTC “p.23” and the “FTA agreement p.N” label — by redirecting them to PIB / WTC; (2) resolve the “five-year” DCC statement, which contradicts every supplied source (all say three years); and (3) confirm the items that could not be checked here because the network was disabled — the five footnote URLs, PIB Release ID 2274280, and the “15 July 2026 / 30 chapters / sixth-FTA” framing.</w:t>
      </w:r>
    </w:p>
    <w:p>
      <w:pPr>
        <w:spacing w:after="120" w:before="0" w:line="264"/>
        <w:jc w:val="left"/>
      </w:pPr>
      <w:r>
        <w:rPr>
          <w:rFonts w:ascii="Calibri" w:cs="Calibri" w:eastAsia="Calibri" w:hAnsi="Calibri"/>
          <w:b w:val="false"/>
          <w:bCs w:val="false"/>
          <w:i/>
          <w:iCs/>
          <w:color w:val="595959"/>
          <w:sz w:val="20"/>
          <w:szCs w:val="20"/>
        </w:rPr>
        <w:t xml:space="preserve">No figure was corrected by assumption. Where a claim could not be traced to a supplied document, it is marked UNVERIFIED above rather than rewritten.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Citation Verification</dc:creator>
  <cp:lastModifiedBy>Un-named</cp:lastModifiedBy>
  <cp:revision>1</cp:revision>
  <dcterms:created xsi:type="dcterms:W3CDTF">2026-07-17T08:47:28.070Z</dcterms:created>
  <dcterms:modified xsi:type="dcterms:W3CDTF">2026-07-17T08:47:28.082Z</dcterms:modified>
</cp:coreProperties>
</file>

<file path=docProps/custom.xml><?xml version="1.0" encoding="utf-8"?>
<Properties xmlns="http://schemas.openxmlformats.org/officeDocument/2006/custom-properties" xmlns:vt="http://schemas.openxmlformats.org/officeDocument/2006/docPropsVTypes"/>
</file>