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EEE8" w14:textId="77777777" w:rsidR="00861A4D" w:rsidRDefault="00861A4D" w:rsidP="00861A4D">
      <w:pPr>
        <w:spacing w:before="800"/>
      </w:pPr>
    </w:p>
    <w:p w14:paraId="57B11492" w14:textId="77777777" w:rsidR="00861A4D" w:rsidRDefault="00861A4D" w:rsidP="00861A4D">
      <w:pPr>
        <w:spacing w:after="40"/>
        <w:jc w:val="center"/>
      </w:pPr>
      <w:r>
        <w:rPr>
          <w:rFonts w:ascii="Calibri" w:eastAsia="Calibri" w:hAnsi="Calibri" w:cs="Calibri"/>
          <w:b/>
          <w:bCs/>
          <w:color w:val="7A2E2E"/>
          <w:spacing w:val="40"/>
          <w:sz w:val="20"/>
          <w:szCs w:val="20"/>
        </w:rPr>
        <w:t>PRIVILEGED &amp; CONFIDENTIAL</w:t>
      </w:r>
    </w:p>
    <w:p w14:paraId="3F6EFA28" w14:textId="77777777" w:rsidR="00861A4D" w:rsidRDefault="00861A4D" w:rsidP="00861A4D">
      <w:pPr>
        <w:spacing w:after="240"/>
        <w:jc w:val="center"/>
      </w:pPr>
      <w:r>
        <w:rPr>
          <w:rFonts w:ascii="Calibri" w:eastAsia="Calibri" w:hAnsi="Calibri" w:cs="Calibri"/>
          <w:color w:val="5A6570"/>
          <w:spacing w:val="30"/>
          <w:sz w:val="16"/>
          <w:szCs w:val="16"/>
        </w:rPr>
        <w:t>ATTORNEY WORK PRODUCT — FOR INTERNAL RESEARCH USE</w:t>
      </w:r>
    </w:p>
    <w:p w14:paraId="1F7FB78F" w14:textId="77777777" w:rsidR="00861A4D" w:rsidRDefault="00861A4D" w:rsidP="00861A4D">
      <w:pPr>
        <w:pBdr>
          <w:top w:val="single" w:sz="16" w:space="12" w:color="7A2E2E"/>
          <w:bottom w:val="single" w:sz="16" w:space="12" w:color="7A2E2E"/>
        </w:pBdr>
        <w:spacing w:before="200" w:after="120"/>
        <w:jc w:val="center"/>
      </w:pPr>
      <w:r>
        <w:rPr>
          <w:rFonts w:ascii="Calibri" w:eastAsia="Calibri" w:hAnsi="Calibri" w:cs="Calibri"/>
          <w:b/>
          <w:bCs/>
          <w:color w:val="16324F"/>
          <w:sz w:val="40"/>
          <w:szCs w:val="40"/>
        </w:rPr>
        <w:t>LEGAL &amp; ECONOMIC RESEARCH MEMORANDUM</w:t>
      </w:r>
    </w:p>
    <w:p w14:paraId="01B1B96D" w14:textId="77777777" w:rsidR="00861A4D" w:rsidRDefault="00861A4D" w:rsidP="00861A4D">
      <w:pPr>
        <w:spacing w:before="200" w:after="80"/>
        <w:jc w:val="center"/>
      </w:pPr>
      <w:r>
        <w:rPr>
          <w:b/>
          <w:bCs/>
          <w:sz w:val="26"/>
          <w:szCs w:val="26"/>
        </w:rPr>
        <w:t>The India–United Kingdom Comprehensive Economic and Trade Agreement (CETA / India–UK FTA)</w:t>
      </w:r>
    </w:p>
    <w:p w14:paraId="1A234139" w14:textId="77777777" w:rsidR="00861A4D" w:rsidRDefault="00861A4D" w:rsidP="00861A4D">
      <w:pPr>
        <w:spacing w:after="320"/>
        <w:jc w:val="center"/>
      </w:pPr>
      <w:r>
        <w:rPr>
          <w:i/>
          <w:iCs/>
          <w:color w:val="3A4550"/>
          <w:sz w:val="22"/>
          <w:szCs w:val="22"/>
        </w:rPr>
        <w:t>Sector Beneficiaries, Trade Flows and the Legal-Advisory Opportunity Landscape</w:t>
      </w:r>
    </w:p>
    <w:tbl>
      <w:tblPr>
        <w:tblW w:w="9300" w:type="dxa"/>
        <w:tblBorders>
          <w:insideH w:val="single" w:sz="2" w:space="0" w:color="D5DBE1"/>
        </w:tblBorders>
        <w:tblCellMar>
          <w:left w:w="10" w:type="dxa"/>
          <w:right w:w="10" w:type="dxa"/>
        </w:tblCellMar>
        <w:tblLook w:val="04A0" w:firstRow="1" w:lastRow="0" w:firstColumn="1" w:lastColumn="0" w:noHBand="0" w:noVBand="1"/>
      </w:tblPr>
      <w:tblGrid>
        <w:gridCol w:w="1700"/>
        <w:gridCol w:w="7600"/>
      </w:tblGrid>
      <w:tr w:rsidR="00861A4D" w14:paraId="7CFCEAC8" w14:textId="77777777" w:rsidTr="00D156A0">
        <w:tc>
          <w:tcPr>
            <w:tcW w:w="1700" w:type="dxa"/>
            <w:tcMar>
              <w:top w:w="80" w:type="dxa"/>
              <w:left w:w="0" w:type="dxa"/>
              <w:bottom w:w="80" w:type="dxa"/>
              <w:right w:w="120" w:type="dxa"/>
            </w:tcMar>
          </w:tcPr>
          <w:p w14:paraId="5589EB25" w14:textId="77777777" w:rsidR="00861A4D" w:rsidRDefault="00861A4D" w:rsidP="00D156A0">
            <w:r>
              <w:rPr>
                <w:rFonts w:ascii="Calibri" w:eastAsia="Calibri" w:hAnsi="Calibri" w:cs="Calibri"/>
                <w:b/>
                <w:bCs/>
                <w:color w:val="7A2E2E"/>
                <w:sz w:val="18"/>
                <w:szCs w:val="18"/>
              </w:rPr>
              <w:t>TO</w:t>
            </w:r>
          </w:p>
        </w:tc>
        <w:tc>
          <w:tcPr>
            <w:tcW w:w="7600" w:type="dxa"/>
            <w:tcMar>
              <w:top w:w="80" w:type="dxa"/>
              <w:left w:w="0" w:type="dxa"/>
              <w:bottom w:w="80" w:type="dxa"/>
              <w:right w:w="0" w:type="dxa"/>
            </w:tcMar>
          </w:tcPr>
          <w:p w14:paraId="270EC734" w14:textId="77777777" w:rsidR="00861A4D" w:rsidRDefault="00861A4D" w:rsidP="00D156A0">
            <w:pPr>
              <w:spacing w:line="270" w:lineRule="auto"/>
            </w:pPr>
            <w:r>
              <w:rPr>
                <w:sz w:val="19"/>
                <w:szCs w:val="19"/>
              </w:rPr>
              <w:t>Senior Associate (Corporate &amp; International Trade Practice)</w:t>
            </w:r>
          </w:p>
        </w:tc>
      </w:tr>
      <w:tr w:rsidR="00861A4D" w14:paraId="63DC54DE" w14:textId="77777777" w:rsidTr="00D156A0">
        <w:tc>
          <w:tcPr>
            <w:tcW w:w="1700" w:type="dxa"/>
            <w:tcMar>
              <w:top w:w="80" w:type="dxa"/>
              <w:left w:w="0" w:type="dxa"/>
              <w:bottom w:w="80" w:type="dxa"/>
              <w:right w:w="120" w:type="dxa"/>
            </w:tcMar>
          </w:tcPr>
          <w:p w14:paraId="0DC7F325" w14:textId="77777777" w:rsidR="00861A4D" w:rsidRDefault="00861A4D" w:rsidP="00D156A0">
            <w:r>
              <w:rPr>
                <w:rFonts w:ascii="Calibri" w:eastAsia="Calibri" w:hAnsi="Calibri" w:cs="Calibri"/>
                <w:b/>
                <w:bCs/>
                <w:color w:val="7A2E2E"/>
                <w:sz w:val="18"/>
                <w:szCs w:val="18"/>
              </w:rPr>
              <w:t>FROM</w:t>
            </w:r>
          </w:p>
        </w:tc>
        <w:tc>
          <w:tcPr>
            <w:tcW w:w="7600" w:type="dxa"/>
            <w:tcMar>
              <w:top w:w="80" w:type="dxa"/>
              <w:left w:w="0" w:type="dxa"/>
              <w:bottom w:w="80" w:type="dxa"/>
              <w:right w:w="0" w:type="dxa"/>
            </w:tcMar>
          </w:tcPr>
          <w:p w14:paraId="4AC788EA" w14:textId="77777777" w:rsidR="00861A4D" w:rsidRDefault="00861A4D" w:rsidP="00D156A0">
            <w:pPr>
              <w:spacing w:line="270" w:lineRule="auto"/>
            </w:pPr>
            <w:r>
              <w:rPr>
                <w:sz w:val="19"/>
                <w:szCs w:val="19"/>
              </w:rPr>
              <w:t>Legal &amp; Economic Research</w:t>
            </w:r>
          </w:p>
        </w:tc>
      </w:tr>
      <w:tr w:rsidR="00861A4D" w14:paraId="381BD750" w14:textId="77777777" w:rsidTr="00D156A0">
        <w:tc>
          <w:tcPr>
            <w:tcW w:w="1700" w:type="dxa"/>
            <w:tcMar>
              <w:top w:w="80" w:type="dxa"/>
              <w:left w:w="0" w:type="dxa"/>
              <w:bottom w:w="80" w:type="dxa"/>
              <w:right w:w="120" w:type="dxa"/>
            </w:tcMar>
          </w:tcPr>
          <w:p w14:paraId="16B0BD04" w14:textId="77777777" w:rsidR="00861A4D" w:rsidRDefault="00861A4D" w:rsidP="00D156A0">
            <w:r>
              <w:rPr>
                <w:rFonts w:ascii="Calibri" w:eastAsia="Calibri" w:hAnsi="Calibri" w:cs="Calibri"/>
                <w:b/>
                <w:bCs/>
                <w:color w:val="7A2E2E"/>
                <w:sz w:val="18"/>
                <w:szCs w:val="18"/>
              </w:rPr>
              <w:t>RE</w:t>
            </w:r>
          </w:p>
        </w:tc>
        <w:tc>
          <w:tcPr>
            <w:tcW w:w="7600" w:type="dxa"/>
            <w:tcMar>
              <w:top w:w="80" w:type="dxa"/>
              <w:left w:w="0" w:type="dxa"/>
              <w:bottom w:w="80" w:type="dxa"/>
              <w:right w:w="0" w:type="dxa"/>
            </w:tcMar>
          </w:tcPr>
          <w:p w14:paraId="154FF94E" w14:textId="77777777" w:rsidR="00861A4D" w:rsidRDefault="00861A4D" w:rsidP="00D156A0">
            <w:pPr>
              <w:spacing w:line="270" w:lineRule="auto"/>
            </w:pPr>
            <w:r>
              <w:rPr>
                <w:sz w:val="19"/>
                <w:szCs w:val="19"/>
              </w:rPr>
              <w:t>Commercial sectors benefiting from the India–UK CETA; sector-wise trade analysis; and the legal-advisory opportunity matrix</w:t>
            </w:r>
          </w:p>
        </w:tc>
      </w:tr>
      <w:tr w:rsidR="00861A4D" w14:paraId="6194B39B" w14:textId="77777777" w:rsidTr="00D156A0">
        <w:tc>
          <w:tcPr>
            <w:tcW w:w="1700" w:type="dxa"/>
            <w:tcMar>
              <w:top w:w="80" w:type="dxa"/>
              <w:left w:w="0" w:type="dxa"/>
              <w:bottom w:w="80" w:type="dxa"/>
              <w:right w:w="120" w:type="dxa"/>
            </w:tcMar>
          </w:tcPr>
          <w:p w14:paraId="1F1FF7D3" w14:textId="77777777" w:rsidR="00861A4D" w:rsidRDefault="00861A4D" w:rsidP="00D156A0">
            <w:r>
              <w:rPr>
                <w:rFonts w:ascii="Calibri" w:eastAsia="Calibri" w:hAnsi="Calibri" w:cs="Calibri"/>
                <w:b/>
                <w:bCs/>
                <w:color w:val="7A2E2E"/>
                <w:sz w:val="18"/>
                <w:szCs w:val="18"/>
              </w:rPr>
              <w:t>DATE</w:t>
            </w:r>
          </w:p>
        </w:tc>
        <w:tc>
          <w:tcPr>
            <w:tcW w:w="7600" w:type="dxa"/>
            <w:tcMar>
              <w:top w:w="80" w:type="dxa"/>
              <w:left w:w="0" w:type="dxa"/>
              <w:bottom w:w="80" w:type="dxa"/>
              <w:right w:w="0" w:type="dxa"/>
            </w:tcMar>
          </w:tcPr>
          <w:p w14:paraId="28731260" w14:textId="77777777" w:rsidR="00861A4D" w:rsidRDefault="00861A4D" w:rsidP="00D156A0">
            <w:pPr>
              <w:spacing w:line="270" w:lineRule="auto"/>
            </w:pPr>
            <w:r>
              <w:rPr>
                <w:sz w:val="19"/>
                <w:szCs w:val="19"/>
              </w:rPr>
              <w:t>13 July 2026</w:t>
            </w:r>
          </w:p>
        </w:tc>
      </w:tr>
      <w:tr w:rsidR="00861A4D" w14:paraId="0D253179" w14:textId="77777777" w:rsidTr="00D156A0">
        <w:tc>
          <w:tcPr>
            <w:tcW w:w="1700" w:type="dxa"/>
            <w:tcMar>
              <w:top w:w="80" w:type="dxa"/>
              <w:left w:w="0" w:type="dxa"/>
              <w:bottom w:w="80" w:type="dxa"/>
              <w:right w:w="120" w:type="dxa"/>
            </w:tcMar>
          </w:tcPr>
          <w:p w14:paraId="20BB2D22" w14:textId="77777777" w:rsidR="00861A4D" w:rsidRDefault="00861A4D" w:rsidP="00D156A0">
            <w:r>
              <w:rPr>
                <w:rFonts w:ascii="Calibri" w:eastAsia="Calibri" w:hAnsi="Calibri" w:cs="Calibri"/>
                <w:b/>
                <w:bCs/>
                <w:color w:val="7A2E2E"/>
                <w:sz w:val="18"/>
                <w:szCs w:val="18"/>
              </w:rPr>
              <w:t>STATUS</w:t>
            </w:r>
          </w:p>
        </w:tc>
        <w:tc>
          <w:tcPr>
            <w:tcW w:w="7600" w:type="dxa"/>
            <w:tcMar>
              <w:top w:w="80" w:type="dxa"/>
              <w:left w:w="0" w:type="dxa"/>
              <w:bottom w:w="80" w:type="dxa"/>
              <w:right w:w="0" w:type="dxa"/>
            </w:tcMar>
          </w:tcPr>
          <w:p w14:paraId="47BF3370" w14:textId="77777777" w:rsidR="00861A4D" w:rsidRDefault="00861A4D" w:rsidP="00D156A0">
            <w:pPr>
              <w:spacing w:line="270" w:lineRule="auto"/>
            </w:pPr>
            <w:r>
              <w:rPr>
                <w:sz w:val="19"/>
                <w:szCs w:val="19"/>
              </w:rPr>
              <w:t>CETA and the Double Contributions Convention enter into force on 15 July 2026 (two days from the date of this memorandum). Analysis reflects the Agreement as signed and as being implemented, not merely announced.</w:t>
            </w:r>
          </w:p>
        </w:tc>
      </w:tr>
    </w:tbl>
    <w:p w14:paraId="66E7A401" w14:textId="77777777" w:rsidR="00861A4D" w:rsidRDefault="00861A4D" w:rsidP="00861A4D">
      <w:pPr>
        <w:spacing w:before="280"/>
        <w:jc w:val="both"/>
      </w:pPr>
      <w:r>
        <w:rPr>
          <w:b/>
          <w:bCs/>
          <w:color w:val="7A2E2E"/>
          <w:sz w:val="18"/>
          <w:szCs w:val="18"/>
        </w:rPr>
        <w:t xml:space="preserve">Scope note. </w:t>
      </w:r>
      <w:r>
        <w:rPr>
          <w:i/>
          <w:iCs/>
          <w:color w:val="3A4550"/>
          <w:sz w:val="18"/>
          <w:szCs w:val="18"/>
        </w:rPr>
        <w:t>This memorandum is legal and economic research prepared to help the firm identify advisory opportunities. It is not legal advice to any client and does not create a lawyer–client relationship. Trade statistics are drawn from official Indian and UK sources cited in the footnotes and bibliography; where official sector-wise projections do not exist, that absence is stated expressly and the analysis rests on verifiable trade data and reasoned assessment.</w:t>
      </w:r>
    </w:p>
    <w:p w14:paraId="5F8BAB47" w14:textId="77777777" w:rsidR="00861A4D" w:rsidRDefault="00861A4D" w:rsidP="00861A4D">
      <w:r>
        <w:br w:type="page"/>
      </w:r>
    </w:p>
    <w:p w14:paraId="0C36B8BC" w14:textId="77777777" w:rsidR="00861A4D" w:rsidRDefault="00861A4D" w:rsidP="00861A4D">
      <w:pPr>
        <w:pBdr>
          <w:bottom w:val="single" w:sz="12" w:space="4" w:color="7A2E2E"/>
        </w:pBdr>
        <w:spacing w:after="200"/>
      </w:pPr>
      <w:r>
        <w:rPr>
          <w:rFonts w:ascii="Calibri" w:eastAsia="Calibri" w:hAnsi="Calibri" w:cs="Calibri"/>
          <w:b/>
          <w:bCs/>
          <w:color w:val="16324F"/>
          <w:sz w:val="30"/>
          <w:szCs w:val="30"/>
        </w:rPr>
        <w:lastRenderedPageBreak/>
        <w:t>Table of Contents</w:t>
      </w:r>
    </w:p>
    <w:p w14:paraId="2A59B407" w14:textId="77777777" w:rsidR="00861A4D" w:rsidRDefault="00861A4D" w:rsidP="00861A4D">
      <w:pPr>
        <w:tabs>
          <w:tab w:val="right" w:leader="dot" w:pos="9350"/>
        </w:tabs>
        <w:spacing w:after="120" w:line="276" w:lineRule="auto"/>
      </w:pPr>
      <w:r>
        <w:rPr>
          <w:rFonts w:ascii="Calibri" w:eastAsia="Calibri" w:hAnsi="Calibri" w:cs="Calibri"/>
          <w:b/>
          <w:bCs/>
          <w:color w:val="16324F"/>
        </w:rPr>
        <w:t>1</w:t>
      </w:r>
      <w:proofErr w:type="gramStart"/>
      <w:r>
        <w:rPr>
          <w:rFonts w:ascii="Calibri" w:eastAsia="Calibri" w:hAnsi="Calibri" w:cs="Calibri"/>
          <w:b/>
          <w:bCs/>
          <w:color w:val="16324F"/>
        </w:rPr>
        <w:t>.  Executive</w:t>
      </w:r>
      <w:proofErr w:type="gramEnd"/>
      <w:r>
        <w:rPr>
          <w:rFonts w:ascii="Calibri" w:eastAsia="Calibri" w:hAnsi="Calibri" w:cs="Calibri"/>
          <w:b/>
          <w:bCs/>
          <w:color w:val="16324F"/>
        </w:rPr>
        <w:t xml:space="preserve"> Summary</w:t>
      </w:r>
      <w:r>
        <w:rPr>
          <w:rFonts w:ascii="Calibri" w:eastAsia="Calibri" w:hAnsi="Calibri" w:cs="Calibri"/>
        </w:rPr>
        <w:tab/>
      </w:r>
      <w:r>
        <w:rPr>
          <w:rFonts w:ascii="Calibri" w:eastAsia="Calibri" w:hAnsi="Calibri" w:cs="Calibri"/>
          <w:b/>
          <w:bCs/>
          <w:color w:val="16324F"/>
        </w:rPr>
        <w:t>3</w:t>
      </w:r>
    </w:p>
    <w:p w14:paraId="4E5C3F11" w14:textId="77777777" w:rsidR="00861A4D" w:rsidRDefault="00861A4D" w:rsidP="00861A4D">
      <w:pPr>
        <w:tabs>
          <w:tab w:val="right" w:leader="dot" w:pos="9350"/>
        </w:tabs>
        <w:spacing w:after="120" w:line="276" w:lineRule="auto"/>
      </w:pPr>
      <w:r>
        <w:rPr>
          <w:rFonts w:ascii="Calibri" w:eastAsia="Calibri" w:hAnsi="Calibri" w:cs="Calibri"/>
          <w:b/>
          <w:bCs/>
          <w:color w:val="16324F"/>
        </w:rPr>
        <w:t>2.  Overview of the India–UK CETA and Its Objectives</w:t>
      </w:r>
      <w:r>
        <w:rPr>
          <w:rFonts w:ascii="Calibri" w:eastAsia="Calibri" w:hAnsi="Calibri" w:cs="Calibri"/>
        </w:rPr>
        <w:tab/>
      </w:r>
      <w:r>
        <w:rPr>
          <w:rFonts w:ascii="Calibri" w:eastAsia="Calibri" w:hAnsi="Calibri" w:cs="Calibri"/>
          <w:b/>
          <w:bCs/>
          <w:color w:val="16324F"/>
        </w:rPr>
        <w:t>5</w:t>
      </w:r>
    </w:p>
    <w:p w14:paraId="43EC56CD" w14:textId="77777777" w:rsidR="00861A4D" w:rsidRDefault="00861A4D" w:rsidP="00861A4D">
      <w:pPr>
        <w:tabs>
          <w:tab w:val="right" w:leader="dot" w:pos="9350"/>
        </w:tabs>
        <w:spacing w:after="120" w:line="276" w:lineRule="auto"/>
      </w:pPr>
      <w:r>
        <w:rPr>
          <w:rFonts w:ascii="Calibri" w:eastAsia="Calibri" w:hAnsi="Calibri" w:cs="Calibri"/>
          <w:b/>
          <w:bCs/>
          <w:color w:val="16324F"/>
        </w:rPr>
        <w:t>3</w:t>
      </w:r>
      <w:proofErr w:type="gramStart"/>
      <w:r>
        <w:rPr>
          <w:rFonts w:ascii="Calibri" w:eastAsia="Calibri" w:hAnsi="Calibri" w:cs="Calibri"/>
          <w:b/>
          <w:bCs/>
          <w:color w:val="16324F"/>
        </w:rPr>
        <w:t>.  Significant</w:t>
      </w:r>
      <w:proofErr w:type="gramEnd"/>
      <w:r>
        <w:rPr>
          <w:rFonts w:ascii="Calibri" w:eastAsia="Calibri" w:hAnsi="Calibri" w:cs="Calibri"/>
          <w:b/>
          <w:bCs/>
          <w:color w:val="16324F"/>
        </w:rPr>
        <w:t xml:space="preserve"> Chapters and Features of the Agreement</w:t>
      </w:r>
      <w:r>
        <w:rPr>
          <w:rFonts w:ascii="Calibri" w:eastAsia="Calibri" w:hAnsi="Calibri" w:cs="Calibri"/>
        </w:rPr>
        <w:tab/>
      </w:r>
      <w:r>
        <w:rPr>
          <w:rFonts w:ascii="Calibri" w:eastAsia="Calibri" w:hAnsi="Calibri" w:cs="Calibri"/>
          <w:b/>
          <w:bCs/>
          <w:color w:val="16324F"/>
        </w:rPr>
        <w:t>6</w:t>
      </w:r>
    </w:p>
    <w:p w14:paraId="5CCAD854" w14:textId="77777777" w:rsidR="00861A4D" w:rsidRDefault="00861A4D" w:rsidP="00861A4D">
      <w:pPr>
        <w:tabs>
          <w:tab w:val="right" w:leader="dot" w:pos="9350"/>
        </w:tabs>
        <w:spacing w:after="120" w:line="276" w:lineRule="auto"/>
        <w:ind w:left="120"/>
      </w:pPr>
      <w:r>
        <w:rPr>
          <w:rFonts w:ascii="Calibri" w:eastAsia="Calibri" w:hAnsi="Calibri" w:cs="Calibri"/>
          <w:sz w:val="20"/>
          <w:szCs w:val="20"/>
        </w:rPr>
        <w:t xml:space="preserve">      </w:t>
      </w:r>
      <w:proofErr w:type="gramStart"/>
      <w:r>
        <w:rPr>
          <w:rFonts w:ascii="Calibri" w:eastAsia="Calibri" w:hAnsi="Calibri" w:cs="Calibri"/>
          <w:sz w:val="20"/>
          <w:szCs w:val="20"/>
        </w:rPr>
        <w:t>3.1  Tariff</w:t>
      </w:r>
      <w:proofErr w:type="gramEnd"/>
      <w:r>
        <w:rPr>
          <w:rFonts w:ascii="Calibri" w:eastAsia="Calibri" w:hAnsi="Calibri" w:cs="Calibri"/>
          <w:sz w:val="20"/>
          <w:szCs w:val="20"/>
        </w:rPr>
        <w:t xml:space="preserve"> </w:t>
      </w:r>
      <w:proofErr w:type="spellStart"/>
      <w:proofErr w:type="gramStart"/>
      <w:r>
        <w:rPr>
          <w:rFonts w:ascii="Calibri" w:eastAsia="Calibri" w:hAnsi="Calibri" w:cs="Calibri"/>
          <w:sz w:val="20"/>
          <w:szCs w:val="20"/>
        </w:rPr>
        <w:t>Liberalisation</w:t>
      </w:r>
      <w:proofErr w:type="spellEnd"/>
      <w:r>
        <w:rPr>
          <w:rFonts w:ascii="Calibri" w:eastAsia="Calibri" w:hAnsi="Calibri" w:cs="Calibri"/>
          <w:sz w:val="20"/>
          <w:szCs w:val="20"/>
        </w:rPr>
        <w:t xml:space="preserve">  ·</w:t>
      </w:r>
      <w:proofErr w:type="gramEnd"/>
      <w:r>
        <w:rPr>
          <w:rFonts w:ascii="Calibri" w:eastAsia="Calibri" w:hAnsi="Calibri" w:cs="Calibri"/>
          <w:sz w:val="20"/>
          <w:szCs w:val="20"/>
        </w:rPr>
        <w:t xml:space="preserve">  </w:t>
      </w:r>
      <w:proofErr w:type="gramStart"/>
      <w:r>
        <w:rPr>
          <w:rFonts w:ascii="Calibri" w:eastAsia="Calibri" w:hAnsi="Calibri" w:cs="Calibri"/>
          <w:sz w:val="20"/>
          <w:szCs w:val="20"/>
        </w:rPr>
        <w:t>3.2  Rules</w:t>
      </w:r>
      <w:proofErr w:type="gramEnd"/>
      <w:r>
        <w:rPr>
          <w:rFonts w:ascii="Calibri" w:eastAsia="Calibri" w:hAnsi="Calibri" w:cs="Calibri"/>
          <w:sz w:val="20"/>
          <w:szCs w:val="20"/>
        </w:rPr>
        <w:t xml:space="preserve"> of Origin &amp; </w:t>
      </w:r>
      <w:proofErr w:type="gramStart"/>
      <w:r>
        <w:rPr>
          <w:rFonts w:ascii="Calibri" w:eastAsia="Calibri" w:hAnsi="Calibri" w:cs="Calibri"/>
          <w:sz w:val="20"/>
          <w:szCs w:val="20"/>
        </w:rPr>
        <w:t>QVC  ·</w:t>
      </w:r>
      <w:proofErr w:type="gramEnd"/>
      <w:r>
        <w:rPr>
          <w:rFonts w:ascii="Calibri" w:eastAsia="Calibri" w:hAnsi="Calibri" w:cs="Calibri"/>
          <w:sz w:val="20"/>
          <w:szCs w:val="20"/>
        </w:rPr>
        <w:t xml:space="preserve">  </w:t>
      </w:r>
      <w:proofErr w:type="gramStart"/>
      <w:r>
        <w:rPr>
          <w:rFonts w:ascii="Calibri" w:eastAsia="Calibri" w:hAnsi="Calibri" w:cs="Calibri"/>
          <w:sz w:val="20"/>
          <w:szCs w:val="20"/>
        </w:rPr>
        <w:t>3.3  Customs</w:t>
      </w:r>
      <w:proofErr w:type="gramEnd"/>
      <w:r>
        <w:rPr>
          <w:rFonts w:ascii="Calibri" w:eastAsia="Calibri" w:hAnsi="Calibri" w:cs="Calibri"/>
          <w:sz w:val="20"/>
          <w:szCs w:val="20"/>
        </w:rPr>
        <w:t xml:space="preserve"> Facilitation</w:t>
      </w:r>
      <w:r>
        <w:rPr>
          <w:rFonts w:ascii="Calibri" w:eastAsia="Calibri" w:hAnsi="Calibri" w:cs="Calibri"/>
          <w:sz w:val="20"/>
          <w:szCs w:val="20"/>
        </w:rPr>
        <w:tab/>
        <w:t>6</w:t>
      </w:r>
    </w:p>
    <w:p w14:paraId="6CD9F0E5" w14:textId="77777777" w:rsidR="00861A4D" w:rsidRDefault="00861A4D" w:rsidP="00861A4D">
      <w:pPr>
        <w:tabs>
          <w:tab w:val="right" w:leader="dot" w:pos="9350"/>
        </w:tabs>
        <w:spacing w:after="120" w:line="276" w:lineRule="auto"/>
        <w:ind w:left="120"/>
      </w:pPr>
      <w:r>
        <w:rPr>
          <w:rFonts w:ascii="Calibri" w:eastAsia="Calibri" w:hAnsi="Calibri" w:cs="Calibri"/>
          <w:sz w:val="20"/>
          <w:szCs w:val="20"/>
        </w:rPr>
        <w:t xml:space="preserve">      </w:t>
      </w:r>
      <w:proofErr w:type="gramStart"/>
      <w:r>
        <w:rPr>
          <w:rFonts w:ascii="Calibri" w:eastAsia="Calibri" w:hAnsi="Calibri" w:cs="Calibri"/>
          <w:sz w:val="20"/>
          <w:szCs w:val="20"/>
        </w:rPr>
        <w:t>3.4  SPS</w:t>
      </w:r>
      <w:proofErr w:type="gramEnd"/>
      <w:r>
        <w:rPr>
          <w:rFonts w:ascii="Calibri" w:eastAsia="Calibri" w:hAnsi="Calibri" w:cs="Calibri"/>
          <w:sz w:val="20"/>
          <w:szCs w:val="20"/>
        </w:rPr>
        <w:t>/</w:t>
      </w:r>
      <w:proofErr w:type="gramStart"/>
      <w:r>
        <w:rPr>
          <w:rFonts w:ascii="Calibri" w:eastAsia="Calibri" w:hAnsi="Calibri" w:cs="Calibri"/>
          <w:sz w:val="20"/>
          <w:szCs w:val="20"/>
        </w:rPr>
        <w:t>TBT  ·</w:t>
      </w:r>
      <w:proofErr w:type="gramEnd"/>
      <w:r>
        <w:rPr>
          <w:rFonts w:ascii="Calibri" w:eastAsia="Calibri" w:hAnsi="Calibri" w:cs="Calibri"/>
          <w:sz w:val="20"/>
          <w:szCs w:val="20"/>
        </w:rPr>
        <w:t xml:space="preserve">  </w:t>
      </w:r>
      <w:proofErr w:type="gramStart"/>
      <w:r>
        <w:rPr>
          <w:rFonts w:ascii="Calibri" w:eastAsia="Calibri" w:hAnsi="Calibri" w:cs="Calibri"/>
          <w:sz w:val="20"/>
          <w:szCs w:val="20"/>
        </w:rPr>
        <w:t>3.5  Services</w:t>
      </w:r>
      <w:proofErr w:type="gramEnd"/>
      <w:r>
        <w:rPr>
          <w:rFonts w:ascii="Calibri" w:eastAsia="Calibri" w:hAnsi="Calibri" w:cs="Calibri"/>
          <w:sz w:val="20"/>
          <w:szCs w:val="20"/>
        </w:rPr>
        <w:t xml:space="preserve"> &amp; </w:t>
      </w:r>
      <w:proofErr w:type="gramStart"/>
      <w:r>
        <w:rPr>
          <w:rFonts w:ascii="Calibri" w:eastAsia="Calibri" w:hAnsi="Calibri" w:cs="Calibri"/>
          <w:sz w:val="20"/>
          <w:szCs w:val="20"/>
        </w:rPr>
        <w:t>Mobility  ·</w:t>
      </w:r>
      <w:proofErr w:type="gramEnd"/>
      <w:r>
        <w:rPr>
          <w:rFonts w:ascii="Calibri" w:eastAsia="Calibri" w:hAnsi="Calibri" w:cs="Calibri"/>
          <w:sz w:val="20"/>
          <w:szCs w:val="20"/>
        </w:rPr>
        <w:t xml:space="preserve">  </w:t>
      </w:r>
      <w:proofErr w:type="gramStart"/>
      <w:r>
        <w:rPr>
          <w:rFonts w:ascii="Calibri" w:eastAsia="Calibri" w:hAnsi="Calibri" w:cs="Calibri"/>
          <w:sz w:val="20"/>
          <w:szCs w:val="20"/>
        </w:rPr>
        <w:t>3.6  Double</w:t>
      </w:r>
      <w:proofErr w:type="gramEnd"/>
      <w:r>
        <w:rPr>
          <w:rFonts w:ascii="Calibri" w:eastAsia="Calibri" w:hAnsi="Calibri" w:cs="Calibri"/>
          <w:sz w:val="20"/>
          <w:szCs w:val="20"/>
        </w:rPr>
        <w:t xml:space="preserve"> Contributions Convention</w:t>
      </w:r>
      <w:r>
        <w:rPr>
          <w:rFonts w:ascii="Calibri" w:eastAsia="Calibri" w:hAnsi="Calibri" w:cs="Calibri"/>
          <w:sz w:val="20"/>
          <w:szCs w:val="20"/>
        </w:rPr>
        <w:tab/>
        <w:t>7</w:t>
      </w:r>
    </w:p>
    <w:p w14:paraId="7FFB6DFC" w14:textId="77777777" w:rsidR="00861A4D" w:rsidRDefault="00861A4D" w:rsidP="00861A4D">
      <w:pPr>
        <w:tabs>
          <w:tab w:val="right" w:leader="dot" w:pos="9350"/>
        </w:tabs>
        <w:spacing w:after="120" w:line="276" w:lineRule="auto"/>
        <w:ind w:left="120"/>
      </w:pPr>
      <w:r>
        <w:rPr>
          <w:rFonts w:ascii="Calibri" w:eastAsia="Calibri" w:hAnsi="Calibri" w:cs="Calibri"/>
          <w:sz w:val="20"/>
          <w:szCs w:val="20"/>
        </w:rPr>
        <w:t xml:space="preserve">      </w:t>
      </w:r>
      <w:proofErr w:type="gramStart"/>
      <w:r>
        <w:rPr>
          <w:rFonts w:ascii="Calibri" w:eastAsia="Calibri" w:hAnsi="Calibri" w:cs="Calibri"/>
          <w:sz w:val="20"/>
          <w:szCs w:val="20"/>
        </w:rPr>
        <w:t>3.7  Investment</w:t>
      </w:r>
      <w:proofErr w:type="gramEnd"/>
      <w:r>
        <w:rPr>
          <w:rFonts w:ascii="Calibri" w:eastAsia="Calibri" w:hAnsi="Calibri" w:cs="Calibri"/>
          <w:sz w:val="20"/>
          <w:szCs w:val="20"/>
        </w:rPr>
        <w:t xml:space="preserve">  </w:t>
      </w:r>
      <w:proofErr w:type="gramStart"/>
      <w:r>
        <w:rPr>
          <w:rFonts w:ascii="Calibri" w:eastAsia="Calibri" w:hAnsi="Calibri" w:cs="Calibri"/>
          <w:sz w:val="20"/>
          <w:szCs w:val="20"/>
        </w:rPr>
        <w:t>·  3.8</w:t>
      </w:r>
      <w:proofErr w:type="gramEnd"/>
      <w:r>
        <w:rPr>
          <w:rFonts w:ascii="Calibri" w:eastAsia="Calibri" w:hAnsi="Calibri" w:cs="Calibri"/>
          <w:sz w:val="20"/>
          <w:szCs w:val="20"/>
        </w:rPr>
        <w:t xml:space="preserve">  Digital </w:t>
      </w:r>
      <w:proofErr w:type="gramStart"/>
      <w:r>
        <w:rPr>
          <w:rFonts w:ascii="Calibri" w:eastAsia="Calibri" w:hAnsi="Calibri" w:cs="Calibri"/>
          <w:sz w:val="20"/>
          <w:szCs w:val="20"/>
        </w:rPr>
        <w:t>Trade  ·</w:t>
      </w:r>
      <w:proofErr w:type="gramEnd"/>
      <w:r>
        <w:rPr>
          <w:rFonts w:ascii="Calibri" w:eastAsia="Calibri" w:hAnsi="Calibri" w:cs="Calibri"/>
          <w:sz w:val="20"/>
          <w:szCs w:val="20"/>
        </w:rPr>
        <w:t xml:space="preserve">  3.9–3.12 Procurement, IP, Competition, Dispute Settlement</w:t>
      </w:r>
      <w:r>
        <w:rPr>
          <w:rFonts w:ascii="Calibri" w:eastAsia="Calibri" w:hAnsi="Calibri" w:cs="Calibri"/>
          <w:sz w:val="20"/>
          <w:szCs w:val="20"/>
        </w:rPr>
        <w:tab/>
        <w:t>8</w:t>
      </w:r>
    </w:p>
    <w:p w14:paraId="6BB752DB" w14:textId="77777777" w:rsidR="00861A4D" w:rsidRDefault="00861A4D" w:rsidP="00861A4D">
      <w:pPr>
        <w:tabs>
          <w:tab w:val="right" w:leader="dot" w:pos="9350"/>
        </w:tabs>
        <w:spacing w:after="120" w:line="276" w:lineRule="auto"/>
      </w:pPr>
      <w:r>
        <w:rPr>
          <w:rFonts w:ascii="Calibri" w:eastAsia="Calibri" w:hAnsi="Calibri" w:cs="Calibri"/>
          <w:b/>
          <w:bCs/>
          <w:color w:val="16324F"/>
        </w:rPr>
        <w:t>4</w:t>
      </w:r>
      <w:proofErr w:type="gramStart"/>
      <w:r>
        <w:rPr>
          <w:rFonts w:ascii="Calibri" w:eastAsia="Calibri" w:hAnsi="Calibri" w:cs="Calibri"/>
          <w:b/>
          <w:bCs/>
          <w:color w:val="16324F"/>
        </w:rPr>
        <w:t>.  Bilateral</w:t>
      </w:r>
      <w:proofErr w:type="gramEnd"/>
      <w:r>
        <w:rPr>
          <w:rFonts w:ascii="Calibri" w:eastAsia="Calibri" w:hAnsi="Calibri" w:cs="Calibri"/>
          <w:b/>
          <w:bCs/>
          <w:color w:val="16324F"/>
        </w:rPr>
        <w:t xml:space="preserve"> Trade: Data, Methodology and Sector-Wise Tables</w:t>
      </w:r>
      <w:r>
        <w:rPr>
          <w:rFonts w:ascii="Calibri" w:eastAsia="Calibri" w:hAnsi="Calibri" w:cs="Calibri"/>
        </w:rPr>
        <w:tab/>
      </w:r>
      <w:r>
        <w:rPr>
          <w:rFonts w:ascii="Calibri" w:eastAsia="Calibri" w:hAnsi="Calibri" w:cs="Calibri"/>
          <w:b/>
          <w:bCs/>
          <w:color w:val="16324F"/>
        </w:rPr>
        <w:t>10</w:t>
      </w:r>
    </w:p>
    <w:p w14:paraId="72F29491" w14:textId="77777777" w:rsidR="00861A4D" w:rsidRDefault="00861A4D" w:rsidP="00861A4D">
      <w:pPr>
        <w:tabs>
          <w:tab w:val="right" w:leader="dot" w:pos="9350"/>
        </w:tabs>
        <w:spacing w:after="120" w:line="276" w:lineRule="auto"/>
        <w:ind w:left="120"/>
      </w:pPr>
      <w:r>
        <w:rPr>
          <w:rFonts w:ascii="Calibri" w:eastAsia="Calibri" w:hAnsi="Calibri" w:cs="Calibri"/>
          <w:sz w:val="20"/>
          <w:szCs w:val="20"/>
        </w:rPr>
        <w:t xml:space="preserve">      </w:t>
      </w:r>
      <w:proofErr w:type="gramStart"/>
      <w:r>
        <w:rPr>
          <w:rFonts w:ascii="Calibri" w:eastAsia="Calibri" w:hAnsi="Calibri" w:cs="Calibri"/>
          <w:sz w:val="20"/>
          <w:szCs w:val="20"/>
        </w:rPr>
        <w:t>4.3  Table</w:t>
      </w:r>
      <w:proofErr w:type="gramEnd"/>
      <w:r>
        <w:rPr>
          <w:rFonts w:ascii="Calibri" w:eastAsia="Calibri" w:hAnsi="Calibri" w:cs="Calibri"/>
          <w:sz w:val="20"/>
          <w:szCs w:val="20"/>
        </w:rPr>
        <w:t xml:space="preserve"> 1 — India’s exports to the </w:t>
      </w:r>
      <w:proofErr w:type="gramStart"/>
      <w:r>
        <w:rPr>
          <w:rFonts w:ascii="Calibri" w:eastAsia="Calibri" w:hAnsi="Calibri" w:cs="Calibri"/>
          <w:sz w:val="20"/>
          <w:szCs w:val="20"/>
        </w:rPr>
        <w:t>UK  ·</w:t>
      </w:r>
      <w:proofErr w:type="gramEnd"/>
      <w:r>
        <w:rPr>
          <w:rFonts w:ascii="Calibri" w:eastAsia="Calibri" w:hAnsi="Calibri" w:cs="Calibri"/>
          <w:sz w:val="20"/>
          <w:szCs w:val="20"/>
        </w:rPr>
        <w:t xml:space="preserve">  </w:t>
      </w:r>
      <w:proofErr w:type="gramStart"/>
      <w:r>
        <w:rPr>
          <w:rFonts w:ascii="Calibri" w:eastAsia="Calibri" w:hAnsi="Calibri" w:cs="Calibri"/>
          <w:sz w:val="20"/>
          <w:szCs w:val="20"/>
        </w:rPr>
        <w:t>4.4  Table</w:t>
      </w:r>
      <w:proofErr w:type="gramEnd"/>
      <w:r>
        <w:rPr>
          <w:rFonts w:ascii="Calibri" w:eastAsia="Calibri" w:hAnsi="Calibri" w:cs="Calibri"/>
          <w:sz w:val="20"/>
          <w:szCs w:val="20"/>
        </w:rPr>
        <w:t xml:space="preserve"> 2 — UK exports to India</w:t>
      </w:r>
      <w:r>
        <w:rPr>
          <w:rFonts w:ascii="Calibri" w:eastAsia="Calibri" w:hAnsi="Calibri" w:cs="Calibri"/>
          <w:sz w:val="20"/>
          <w:szCs w:val="20"/>
        </w:rPr>
        <w:tab/>
        <w:t>10</w:t>
      </w:r>
    </w:p>
    <w:p w14:paraId="5F3A6600" w14:textId="77777777" w:rsidR="00861A4D" w:rsidRDefault="00861A4D" w:rsidP="00861A4D">
      <w:pPr>
        <w:tabs>
          <w:tab w:val="right" w:leader="dot" w:pos="9350"/>
        </w:tabs>
        <w:spacing w:after="120" w:line="276" w:lineRule="auto"/>
      </w:pPr>
      <w:r>
        <w:rPr>
          <w:rFonts w:ascii="Calibri" w:eastAsia="Calibri" w:hAnsi="Calibri" w:cs="Calibri"/>
          <w:b/>
          <w:bCs/>
          <w:color w:val="16324F"/>
        </w:rPr>
        <w:t>5</w:t>
      </w:r>
      <w:proofErr w:type="gramStart"/>
      <w:r>
        <w:rPr>
          <w:rFonts w:ascii="Calibri" w:eastAsia="Calibri" w:hAnsi="Calibri" w:cs="Calibri"/>
          <w:b/>
          <w:bCs/>
          <w:color w:val="16324F"/>
        </w:rPr>
        <w:t>.  Sector</w:t>
      </w:r>
      <w:proofErr w:type="gramEnd"/>
      <w:r>
        <w:rPr>
          <w:rFonts w:ascii="Calibri" w:eastAsia="Calibri" w:hAnsi="Calibri" w:cs="Calibri"/>
          <w:b/>
          <w:bCs/>
          <w:color w:val="16324F"/>
        </w:rPr>
        <w:t>-Wise Analysis and the Legal Services Required</w:t>
      </w:r>
      <w:r>
        <w:rPr>
          <w:rFonts w:ascii="Calibri" w:eastAsia="Calibri" w:hAnsi="Calibri" w:cs="Calibri"/>
        </w:rPr>
        <w:tab/>
      </w:r>
      <w:r>
        <w:rPr>
          <w:rFonts w:ascii="Calibri" w:eastAsia="Calibri" w:hAnsi="Calibri" w:cs="Calibri"/>
          <w:b/>
          <w:bCs/>
          <w:color w:val="16324F"/>
        </w:rPr>
        <w:t>13</w:t>
      </w:r>
    </w:p>
    <w:p w14:paraId="5E67FA6B" w14:textId="77777777" w:rsidR="00861A4D" w:rsidRDefault="00861A4D" w:rsidP="00861A4D">
      <w:pPr>
        <w:tabs>
          <w:tab w:val="right" w:leader="dot" w:pos="9350"/>
        </w:tabs>
        <w:spacing w:after="120" w:line="276" w:lineRule="auto"/>
      </w:pPr>
      <w:r>
        <w:rPr>
          <w:rFonts w:ascii="Calibri" w:eastAsia="Calibri" w:hAnsi="Calibri" w:cs="Calibri"/>
          <w:b/>
          <w:bCs/>
          <w:color w:val="16324F"/>
        </w:rPr>
        <w:t>6</w:t>
      </w:r>
      <w:proofErr w:type="gramStart"/>
      <w:r>
        <w:rPr>
          <w:rFonts w:ascii="Calibri" w:eastAsia="Calibri" w:hAnsi="Calibri" w:cs="Calibri"/>
          <w:b/>
          <w:bCs/>
          <w:color w:val="16324F"/>
        </w:rPr>
        <w:t>.  Industry</w:t>
      </w:r>
      <w:proofErr w:type="gramEnd"/>
      <w:r>
        <w:rPr>
          <w:rFonts w:ascii="Calibri" w:eastAsia="Calibri" w:hAnsi="Calibri" w:cs="Calibri"/>
          <w:b/>
          <w:bCs/>
          <w:color w:val="16324F"/>
        </w:rPr>
        <w:t>-Wise Legal Opportunity Matrix</w:t>
      </w:r>
      <w:r>
        <w:rPr>
          <w:rFonts w:ascii="Calibri" w:eastAsia="Calibri" w:hAnsi="Calibri" w:cs="Calibri"/>
        </w:rPr>
        <w:tab/>
      </w:r>
      <w:r>
        <w:rPr>
          <w:rFonts w:ascii="Calibri" w:eastAsia="Calibri" w:hAnsi="Calibri" w:cs="Calibri"/>
          <w:b/>
          <w:bCs/>
          <w:color w:val="16324F"/>
        </w:rPr>
        <w:t>17</w:t>
      </w:r>
    </w:p>
    <w:p w14:paraId="55FED4B4" w14:textId="77777777" w:rsidR="00861A4D" w:rsidRDefault="00861A4D" w:rsidP="00861A4D">
      <w:pPr>
        <w:tabs>
          <w:tab w:val="right" w:leader="dot" w:pos="9350"/>
        </w:tabs>
        <w:spacing w:after="120" w:line="276" w:lineRule="auto"/>
      </w:pPr>
      <w:r>
        <w:rPr>
          <w:rFonts w:ascii="Calibri" w:eastAsia="Calibri" w:hAnsi="Calibri" w:cs="Calibri"/>
          <w:b/>
          <w:bCs/>
          <w:color w:val="16324F"/>
        </w:rPr>
        <w:t>7.  Applicable Indian Statutory and Regulatory Framework</w:t>
      </w:r>
      <w:r>
        <w:rPr>
          <w:rFonts w:ascii="Calibri" w:eastAsia="Calibri" w:hAnsi="Calibri" w:cs="Calibri"/>
        </w:rPr>
        <w:tab/>
      </w:r>
      <w:r>
        <w:rPr>
          <w:rFonts w:ascii="Calibri" w:eastAsia="Calibri" w:hAnsi="Calibri" w:cs="Calibri"/>
          <w:b/>
          <w:bCs/>
          <w:color w:val="16324F"/>
        </w:rPr>
        <w:t>18</w:t>
      </w:r>
    </w:p>
    <w:p w14:paraId="2C32E492" w14:textId="77777777" w:rsidR="00861A4D" w:rsidRDefault="00861A4D" w:rsidP="00861A4D">
      <w:pPr>
        <w:tabs>
          <w:tab w:val="right" w:leader="dot" w:pos="9350"/>
        </w:tabs>
        <w:spacing w:after="120" w:line="276" w:lineRule="auto"/>
      </w:pPr>
      <w:r>
        <w:rPr>
          <w:rFonts w:ascii="Calibri" w:eastAsia="Calibri" w:hAnsi="Calibri" w:cs="Calibri"/>
          <w:b/>
          <w:bCs/>
          <w:color w:val="16324F"/>
        </w:rPr>
        <w:t>8</w:t>
      </w:r>
      <w:proofErr w:type="gramStart"/>
      <w:r>
        <w:rPr>
          <w:rFonts w:ascii="Calibri" w:eastAsia="Calibri" w:hAnsi="Calibri" w:cs="Calibri"/>
          <w:b/>
          <w:bCs/>
          <w:color w:val="16324F"/>
        </w:rPr>
        <w:t>.  Legal</w:t>
      </w:r>
      <w:proofErr w:type="gramEnd"/>
      <w:r>
        <w:rPr>
          <w:rFonts w:ascii="Calibri" w:eastAsia="Calibri" w:hAnsi="Calibri" w:cs="Calibri"/>
          <w:b/>
          <w:bCs/>
          <w:color w:val="16324F"/>
        </w:rPr>
        <w:t xml:space="preserve"> Gap Analysis</w:t>
      </w:r>
      <w:r>
        <w:rPr>
          <w:rFonts w:ascii="Calibri" w:eastAsia="Calibri" w:hAnsi="Calibri" w:cs="Calibri"/>
        </w:rPr>
        <w:tab/>
      </w:r>
      <w:r>
        <w:rPr>
          <w:rFonts w:ascii="Calibri" w:eastAsia="Calibri" w:hAnsi="Calibri" w:cs="Calibri"/>
          <w:b/>
          <w:bCs/>
          <w:color w:val="16324F"/>
        </w:rPr>
        <w:t>19</w:t>
      </w:r>
    </w:p>
    <w:p w14:paraId="37776D16" w14:textId="77777777" w:rsidR="00861A4D" w:rsidRDefault="00861A4D" w:rsidP="00861A4D">
      <w:pPr>
        <w:tabs>
          <w:tab w:val="right" w:leader="dot" w:pos="9350"/>
        </w:tabs>
        <w:spacing w:after="120" w:line="276" w:lineRule="auto"/>
      </w:pPr>
      <w:r>
        <w:rPr>
          <w:rFonts w:ascii="Calibri" w:eastAsia="Calibri" w:hAnsi="Calibri" w:cs="Calibri"/>
          <w:b/>
          <w:bCs/>
          <w:color w:val="16324F"/>
        </w:rPr>
        <w:t>9.  Ranking: Sectors by Expected Legal-Advisory Demand (3–5 Years)</w:t>
      </w:r>
      <w:r>
        <w:rPr>
          <w:rFonts w:ascii="Calibri" w:eastAsia="Calibri" w:hAnsi="Calibri" w:cs="Calibri"/>
        </w:rPr>
        <w:tab/>
      </w:r>
      <w:r>
        <w:rPr>
          <w:rFonts w:ascii="Calibri" w:eastAsia="Calibri" w:hAnsi="Calibri" w:cs="Calibri"/>
          <w:b/>
          <w:bCs/>
          <w:color w:val="16324F"/>
        </w:rPr>
        <w:t>21</w:t>
      </w:r>
    </w:p>
    <w:p w14:paraId="7BA0B9BC" w14:textId="77777777" w:rsidR="00861A4D" w:rsidRDefault="00861A4D" w:rsidP="00861A4D">
      <w:pPr>
        <w:tabs>
          <w:tab w:val="right" w:leader="dot" w:pos="9350"/>
        </w:tabs>
        <w:spacing w:after="120" w:line="276" w:lineRule="auto"/>
      </w:pPr>
      <w:r>
        <w:rPr>
          <w:rFonts w:ascii="Calibri" w:eastAsia="Calibri" w:hAnsi="Calibri" w:cs="Calibri"/>
          <w:b/>
          <w:bCs/>
          <w:color w:val="16324F"/>
        </w:rPr>
        <w:t>10</w:t>
      </w:r>
      <w:proofErr w:type="gramStart"/>
      <w:r>
        <w:rPr>
          <w:rFonts w:ascii="Calibri" w:eastAsia="Calibri" w:hAnsi="Calibri" w:cs="Calibri"/>
          <w:b/>
          <w:bCs/>
          <w:color w:val="16324F"/>
        </w:rPr>
        <w:t>.  Bibliography</w:t>
      </w:r>
      <w:proofErr w:type="gramEnd"/>
      <w:r>
        <w:rPr>
          <w:rFonts w:ascii="Calibri" w:eastAsia="Calibri" w:hAnsi="Calibri" w:cs="Calibri"/>
        </w:rPr>
        <w:tab/>
      </w:r>
      <w:r>
        <w:rPr>
          <w:rFonts w:ascii="Calibri" w:eastAsia="Calibri" w:hAnsi="Calibri" w:cs="Calibri"/>
          <w:b/>
          <w:bCs/>
          <w:color w:val="16324F"/>
        </w:rPr>
        <w:t>22</w:t>
      </w:r>
    </w:p>
    <w:p w14:paraId="60024BD8" w14:textId="77777777" w:rsidR="00861A4D" w:rsidRDefault="00861A4D" w:rsidP="00861A4D">
      <w:r>
        <w:br w:type="page"/>
      </w:r>
    </w:p>
    <w:p w14:paraId="532482B2" w14:textId="77777777" w:rsidR="00861A4D" w:rsidRDefault="00861A4D" w:rsidP="00861A4D">
      <w:pPr>
        <w:pStyle w:val="Heading1"/>
        <w:pBdr>
          <w:bottom w:val="single" w:sz="12" w:space="4" w:color="7A2E2E"/>
        </w:pBdr>
        <w:spacing w:before="320" w:after="160"/>
      </w:pPr>
      <w:r>
        <w:lastRenderedPageBreak/>
        <w:t>1</w:t>
      </w:r>
      <w:proofErr w:type="gramStart"/>
      <w:r>
        <w:t>.  Executive</w:t>
      </w:r>
      <w:proofErr w:type="gramEnd"/>
      <w:r>
        <w:t xml:space="preserve"> Summary</w:t>
      </w:r>
    </w:p>
    <w:p w14:paraId="3AB6CFB7" w14:textId="77777777" w:rsidR="00861A4D" w:rsidRDefault="00861A4D" w:rsidP="00861A4D">
      <w:pPr>
        <w:spacing w:after="160" w:line="288" w:lineRule="auto"/>
        <w:jc w:val="both"/>
      </w:pPr>
      <w:r>
        <w:t xml:space="preserve">The India–United Kingdom Comprehensive Economic and Trade Agreement (“CETA”, popularly the India–UK FTA) was signed in London on 24 July 2025 and </w:t>
      </w:r>
      <w:r>
        <w:rPr>
          <w:b/>
          <w:bCs/>
        </w:rPr>
        <w:t>enters into force on 15 July 2026</w:t>
      </w:r>
      <w:r>
        <w:t xml:space="preserve">, having completed domestic ratification in both countries. The operative implementing instruments are already in place: the Central Board of Indirect Taxes and Customs (“CBIC”) notified the Rules of Origin through Notification No. 62/2026-Customs (N.T.) dated 3 July 2026, effective 15 July 2026, and the Directorate General of Foreign Trade (“DGFT”) notified the tariff-rate-quota (“TRQ”) procedure for UK vehicle imports on 10 July 2026. </w:t>
      </w:r>
      <w:r>
        <w:rPr>
          <w:rStyle w:val="FootnoteReference"/>
        </w:rPr>
        <w:footnoteReference w:id="1"/>
      </w:r>
      <w:r>
        <w:t>For the firm this matters because the advisory market does not open on announcement; it opens on the notified rules, and those rules are now live.</w:t>
      </w:r>
    </w:p>
    <w:p w14:paraId="124B6C49" w14:textId="77777777" w:rsidR="00861A4D" w:rsidRDefault="00861A4D" w:rsidP="00861A4D">
      <w:pPr>
        <w:spacing w:after="160" w:line="288" w:lineRule="auto"/>
        <w:jc w:val="both"/>
      </w:pPr>
      <w:r>
        <w:t xml:space="preserve">CETA is a 30-chapter, next-generation agreement. On goods, the UK removes duties on 99% of tariff lines (covering effectively 100% of India’s current export value to the UK), while India </w:t>
      </w:r>
      <w:proofErr w:type="spellStart"/>
      <w:r>
        <w:t>liberalises</w:t>
      </w:r>
      <w:proofErr w:type="spellEnd"/>
      <w:r>
        <w:t xml:space="preserve"> 89.5% of its tariff lines covering roughly 91% of UK exports, with only about a quarter of UK exports obtaining </w:t>
      </w:r>
      <w:r>
        <w:rPr>
          <w:i/>
          <w:iCs/>
        </w:rPr>
        <w:t>immediate</w:t>
      </w:r>
      <w:r>
        <w:t xml:space="preserve"> duty-free access and the balance phased over 5, 7 and 10 years. </w:t>
      </w:r>
      <w:r>
        <w:rPr>
          <w:rStyle w:val="FootnoteReference"/>
        </w:rPr>
        <w:footnoteReference w:id="2"/>
      </w:r>
      <w:r>
        <w:t xml:space="preserve">Sensitive Indian sectors — dairy, cereals, millets, pulses, apples, gold, silver, lab-grown diamonds, smartphones, optic </w:t>
      </w:r>
      <w:proofErr w:type="spellStart"/>
      <w:r>
        <w:t>fibre</w:t>
      </w:r>
      <w:proofErr w:type="spellEnd"/>
      <w:r>
        <w:t xml:space="preserve"> and certain polymers — are excluded or protected. The Agreement extends well beyond tariffs into services, professional mobility, digital trade, government procurement, intellectual property, competition, </w:t>
      </w:r>
      <w:proofErr w:type="spellStart"/>
      <w:r>
        <w:t>labour</w:t>
      </w:r>
      <w:proofErr w:type="spellEnd"/>
      <w:r>
        <w:t>, environment and an accompanying Double Contributions Convention (“DCC”) on social security.</w:t>
      </w:r>
    </w:p>
    <w:p w14:paraId="7285E6F6" w14:textId="77777777" w:rsidR="00861A4D" w:rsidRDefault="00861A4D" w:rsidP="00861A4D">
      <w:pPr>
        <w:spacing w:after="160" w:line="288" w:lineRule="auto"/>
        <w:jc w:val="both"/>
      </w:pPr>
      <w:r>
        <w:t xml:space="preserve">On the latest official data, UK–India total trade in goods and services reached </w:t>
      </w:r>
      <w:r>
        <w:rPr>
          <w:b/>
          <w:bCs/>
        </w:rPr>
        <w:t>£47.9 billion in the 12 months to end-Q4 2025 (up 10.0% year-on-year)</w:t>
      </w:r>
      <w:r>
        <w:t xml:space="preserve">, per the UK Department for Business and Trade factsheet of 23 June 2026. </w:t>
      </w:r>
      <w:r>
        <w:rPr>
          <w:rStyle w:val="FootnoteReference"/>
        </w:rPr>
        <w:footnoteReference w:id="3"/>
      </w:r>
      <w:r>
        <w:t xml:space="preserve">India’s own Department of Commerce data record bilateral merchandise trade of USD 25.12 billion in FY 2025-26, up 8.62%. </w:t>
      </w:r>
      <w:r>
        <w:rPr>
          <w:rStyle w:val="FootnoteReference"/>
        </w:rPr>
        <w:footnoteReference w:id="4"/>
      </w:r>
      <w:r>
        <w:t xml:space="preserve">The two datasets differ because the UK figure includes services and non-monetary gold and </w:t>
      </w:r>
      <w:proofErr w:type="gramStart"/>
      <w:r>
        <w:t>is</w:t>
      </w:r>
      <w:proofErr w:type="gramEnd"/>
      <w:r>
        <w:t xml:space="preserve"> denominated in sterling; both are cited to preserve source integrity.</w:t>
      </w:r>
    </w:p>
    <w:p w14:paraId="15FA5F49" w14:textId="77777777" w:rsidR="00861A4D" w:rsidRDefault="00861A4D" w:rsidP="00861A4D">
      <w:pPr>
        <w:pStyle w:val="Heading3"/>
        <w:spacing w:before="180" w:after="100"/>
      </w:pPr>
      <w:r>
        <w:rPr>
          <w:rFonts w:ascii="Calibri" w:eastAsia="Calibri" w:hAnsi="Calibri" w:cs="Calibri"/>
          <w:b/>
          <w:bCs/>
          <w:color w:val="16324F"/>
          <w:sz w:val="21"/>
          <w:szCs w:val="21"/>
        </w:rPr>
        <w:t>Headline conclusions</w:t>
      </w:r>
    </w:p>
    <w:p w14:paraId="412626FF" w14:textId="77777777" w:rsidR="00861A4D" w:rsidRDefault="00861A4D" w:rsidP="00861A4D">
      <w:pPr>
        <w:pStyle w:val="ListParagraph"/>
        <w:numPr>
          <w:ilvl w:val="0"/>
          <w:numId w:val="1"/>
        </w:numPr>
        <w:spacing w:after="90" w:line="282" w:lineRule="auto"/>
        <w:contextualSpacing w:val="0"/>
        <w:jc w:val="both"/>
      </w:pPr>
      <w:r>
        <w:t xml:space="preserve">Highest legal-advisory demand will come not from the largest trade flows but from the sectors combining high tariff change, high regulatory friction and MSME fragmentation. </w:t>
      </w:r>
      <w:r>
        <w:rPr>
          <w:b/>
          <w:bCs/>
        </w:rPr>
        <w:t xml:space="preserve">Textiles &amp; apparel, gems &amp; </w:t>
      </w:r>
      <w:proofErr w:type="spellStart"/>
      <w:r>
        <w:rPr>
          <w:b/>
          <w:bCs/>
        </w:rPr>
        <w:t>jewellery</w:t>
      </w:r>
      <w:proofErr w:type="spellEnd"/>
      <w:r>
        <w:rPr>
          <w:b/>
          <w:bCs/>
        </w:rPr>
        <w:t>, engineering goods/auto-components, pharmaceuticals &amp; medical devices, and IT/professional services rank at the top.</w:t>
      </w:r>
    </w:p>
    <w:p w14:paraId="6FB2D64E" w14:textId="77777777" w:rsidR="00861A4D" w:rsidRDefault="00861A4D" w:rsidP="00861A4D">
      <w:pPr>
        <w:pStyle w:val="ListParagraph"/>
        <w:numPr>
          <w:ilvl w:val="0"/>
          <w:numId w:val="1"/>
        </w:numPr>
        <w:spacing w:after="90" w:line="282" w:lineRule="auto"/>
        <w:contextualSpacing w:val="0"/>
        <w:jc w:val="both"/>
      </w:pPr>
      <w:r>
        <w:t>Rules of Origin (“</w:t>
      </w:r>
      <w:proofErr w:type="spellStart"/>
      <w:r>
        <w:t>RoO</w:t>
      </w:r>
      <w:proofErr w:type="spellEnd"/>
      <w:r>
        <w:t>”) compliance is the single largest near-term advisory driver. Qualifying Value Content thresholds, cumulation, self-certification and CBIC verification powers create documentation, audit and dispute work across virtually every exporting sector from Day 1.</w:t>
      </w:r>
    </w:p>
    <w:p w14:paraId="3AD46E17" w14:textId="77777777" w:rsidR="00861A4D" w:rsidRDefault="00861A4D" w:rsidP="00861A4D">
      <w:pPr>
        <w:pStyle w:val="ListParagraph"/>
        <w:numPr>
          <w:ilvl w:val="0"/>
          <w:numId w:val="1"/>
        </w:numPr>
        <w:spacing w:after="90" w:line="282" w:lineRule="auto"/>
        <w:contextualSpacing w:val="0"/>
        <w:jc w:val="both"/>
      </w:pPr>
      <w:r>
        <w:t>On the import side, the whisky/spirits and automobile TRQ regimes generate discrete, high-value FEMA, DGFT licensing, excise and distribution-contract work for a smaller set of clients.</w:t>
      </w:r>
    </w:p>
    <w:p w14:paraId="029036A9" w14:textId="77777777" w:rsidR="00861A4D" w:rsidRDefault="00861A4D" w:rsidP="00861A4D">
      <w:pPr>
        <w:pStyle w:val="ListParagraph"/>
        <w:numPr>
          <w:ilvl w:val="0"/>
          <w:numId w:val="1"/>
        </w:numPr>
        <w:spacing w:after="90" w:line="282" w:lineRule="auto"/>
        <w:contextualSpacing w:val="0"/>
        <w:jc w:val="both"/>
      </w:pPr>
      <w:r>
        <w:lastRenderedPageBreak/>
        <w:t xml:space="preserve">The most commercially significant legal gap is the absence of a bilateral investment treaty and of meaningful legal-services market access; CETA excludes taxation and largely preserves the status quo on data </w:t>
      </w:r>
      <w:proofErr w:type="spellStart"/>
      <w:r>
        <w:t>localisation</w:t>
      </w:r>
      <w:proofErr w:type="spellEnd"/>
      <w:r>
        <w:t xml:space="preserve"> and ISDS. These gaps are themselves advisory opportunities — investment structuring, arbitration seat planning and regulatory monitoring.</w:t>
      </w:r>
    </w:p>
    <w:p w14:paraId="718D9DC0" w14:textId="77777777" w:rsidR="00861A4D" w:rsidRDefault="00861A4D" w:rsidP="00861A4D">
      <w:r>
        <w:br w:type="page"/>
      </w:r>
    </w:p>
    <w:p w14:paraId="60E9BCF8" w14:textId="77777777" w:rsidR="00861A4D" w:rsidRDefault="00861A4D" w:rsidP="00861A4D">
      <w:pPr>
        <w:pStyle w:val="Heading1"/>
        <w:pBdr>
          <w:bottom w:val="single" w:sz="12" w:space="4" w:color="7A2E2E"/>
        </w:pBdr>
        <w:spacing w:before="320" w:after="160"/>
      </w:pPr>
      <w:r>
        <w:lastRenderedPageBreak/>
        <w:t>2.  Overview of the India–UK CETA and Its Objectives</w:t>
      </w:r>
    </w:p>
    <w:p w14:paraId="02036E5C" w14:textId="77777777" w:rsidR="00861A4D" w:rsidRDefault="00861A4D" w:rsidP="00861A4D">
      <w:pPr>
        <w:spacing w:after="160" w:line="288" w:lineRule="auto"/>
        <w:jc w:val="both"/>
      </w:pPr>
      <w:r>
        <w:t xml:space="preserve">CETA is India’s most comprehensive trade agreement with a G-7 economy and the UK’s most significant bilateral FTA since leaving the European Union. It was concluded in principle on 6 May 2025 after fourteen negotiating rounds spanning three years, signed on 24 July 2025, and enters into force on 15 July 2026. </w:t>
      </w:r>
      <w:r>
        <w:rPr>
          <w:rStyle w:val="FootnoteReference"/>
        </w:rPr>
        <w:footnoteReference w:id="5"/>
      </w:r>
      <w:r>
        <w:t>It is built on the 2021 Enhanced Trade Partnership and the India–UK Roadmap 2030, and is accompanied by “Vision 2035”, a strategic framework across technology, investment, financial services, education and innovation.</w:t>
      </w:r>
    </w:p>
    <w:p w14:paraId="58AD60FD" w14:textId="77777777" w:rsidR="00861A4D" w:rsidRDefault="00861A4D" w:rsidP="00861A4D">
      <w:pPr>
        <w:pStyle w:val="Heading3"/>
        <w:spacing w:before="180" w:after="100"/>
      </w:pPr>
      <w:r>
        <w:rPr>
          <w:rFonts w:ascii="Calibri" w:eastAsia="Calibri" w:hAnsi="Calibri" w:cs="Calibri"/>
          <w:b/>
          <w:bCs/>
          <w:color w:val="16324F"/>
          <w:sz w:val="21"/>
          <w:szCs w:val="21"/>
        </w:rPr>
        <w:t>Stated objectives</w:t>
      </w:r>
    </w:p>
    <w:p w14:paraId="0E6EB224" w14:textId="77777777" w:rsidR="00861A4D" w:rsidRDefault="00861A4D" w:rsidP="00861A4D">
      <w:pPr>
        <w:pStyle w:val="ListParagraph"/>
        <w:numPr>
          <w:ilvl w:val="0"/>
          <w:numId w:val="2"/>
        </w:numPr>
        <w:spacing w:after="90" w:line="282" w:lineRule="auto"/>
        <w:contextualSpacing w:val="0"/>
        <w:jc w:val="both"/>
      </w:pPr>
      <w:r>
        <w:rPr>
          <w:b/>
          <w:bCs/>
        </w:rPr>
        <w:t>Doubling bilateral trade to approximately USD 120 billion by 2030</w:t>
      </w:r>
      <w:r>
        <w:t xml:space="preserve"> from a base of roughly USD 56 billion (the Governments’ combined goods-and-services figure).</w:t>
      </w:r>
    </w:p>
    <w:p w14:paraId="47B4CC98" w14:textId="77777777" w:rsidR="00861A4D" w:rsidRDefault="00861A4D" w:rsidP="00861A4D">
      <w:pPr>
        <w:pStyle w:val="ListParagraph"/>
        <w:numPr>
          <w:ilvl w:val="0"/>
          <w:numId w:val="2"/>
        </w:numPr>
        <w:spacing w:after="90" w:line="282" w:lineRule="auto"/>
        <w:contextualSpacing w:val="0"/>
        <w:jc w:val="both"/>
      </w:pPr>
      <w:r>
        <w:t xml:space="preserve">Duty-free access for 99% of Indian exports to the UK, supporting </w:t>
      </w:r>
      <w:proofErr w:type="spellStart"/>
      <w:r>
        <w:t>labour-intensive</w:t>
      </w:r>
      <w:proofErr w:type="spellEnd"/>
      <w:r>
        <w:t xml:space="preserve"> and MSME-heavy sectors (textiles, leather, marine, gems &amp; </w:t>
      </w:r>
      <w:proofErr w:type="spellStart"/>
      <w:r>
        <w:t>jewellery</w:t>
      </w:r>
      <w:proofErr w:type="spellEnd"/>
      <w:r>
        <w:t>, toys) and high-growth sectors (engineering goods, auto components, organic chemicals).</w:t>
      </w:r>
    </w:p>
    <w:p w14:paraId="7E19C1ED" w14:textId="77777777" w:rsidR="00861A4D" w:rsidRDefault="00861A4D" w:rsidP="00861A4D">
      <w:pPr>
        <w:pStyle w:val="ListParagraph"/>
        <w:numPr>
          <w:ilvl w:val="0"/>
          <w:numId w:val="2"/>
        </w:numPr>
        <w:spacing w:after="90" w:line="282" w:lineRule="auto"/>
        <w:contextualSpacing w:val="0"/>
        <w:jc w:val="both"/>
      </w:pPr>
      <w:r>
        <w:t>Deep services and professional-mobility commitments — described by the UK as one of the most ambitious services packages in any FTA it has signed, with market access across 137 sub-sectors.</w:t>
      </w:r>
    </w:p>
    <w:p w14:paraId="3D3191B7" w14:textId="77777777" w:rsidR="00861A4D" w:rsidRDefault="00861A4D" w:rsidP="00861A4D">
      <w:pPr>
        <w:pStyle w:val="ListParagraph"/>
        <w:numPr>
          <w:ilvl w:val="0"/>
          <w:numId w:val="2"/>
        </w:numPr>
        <w:spacing w:after="90" w:line="282" w:lineRule="auto"/>
        <w:contextualSpacing w:val="0"/>
        <w:jc w:val="both"/>
      </w:pPr>
      <w:r>
        <w:t xml:space="preserve">Modern disciplines on digital trade, IP, competition, government procurement, </w:t>
      </w:r>
      <w:proofErr w:type="spellStart"/>
      <w:r>
        <w:t>labour</w:t>
      </w:r>
      <w:proofErr w:type="spellEnd"/>
      <w:r>
        <w:t>, environment, gender and SMEs, plus institutional machinery (a Joint Committee, sub-committees and working groups).</w:t>
      </w:r>
    </w:p>
    <w:p w14:paraId="31AFF39F" w14:textId="77777777" w:rsidR="00861A4D" w:rsidRDefault="00861A4D" w:rsidP="00861A4D">
      <w:pPr>
        <w:spacing w:after="160" w:line="288" w:lineRule="auto"/>
        <w:jc w:val="both"/>
      </w:pPr>
      <w:r>
        <w:t xml:space="preserve">Two framing points are important for advisory positioning. First, the projected macro-gains are </w:t>
      </w:r>
      <w:r>
        <w:rPr>
          <w:b/>
          <w:bCs/>
        </w:rPr>
        <w:t>official government estimates, not treaty guarantees</w:t>
      </w:r>
      <w:r>
        <w:t xml:space="preserve">: the UK forecasts a long-run bilateral trade uplift of about £25.5 billion annually, a £4.8 billion boost to UK GDP and £5.1 billion to India’s GDP. </w:t>
      </w:r>
      <w:r>
        <w:rPr>
          <w:rStyle w:val="FootnoteReference"/>
        </w:rPr>
        <w:footnoteReference w:id="6"/>
      </w:r>
      <w:r>
        <w:t>Second, several “wins” reported in the press are phased or quota-bound; the commercial reality for clients depends on staging categories and TRQ administration, which is where legal precision earns fees.</w:t>
      </w:r>
    </w:p>
    <w:p w14:paraId="4621E1F2" w14:textId="77777777" w:rsidR="00861A4D" w:rsidRDefault="00861A4D" w:rsidP="00861A4D">
      <w:r>
        <w:br w:type="page"/>
      </w:r>
    </w:p>
    <w:p w14:paraId="1CE5C9D2" w14:textId="77777777" w:rsidR="00861A4D" w:rsidRDefault="00861A4D" w:rsidP="00861A4D">
      <w:pPr>
        <w:pStyle w:val="Heading1"/>
        <w:pBdr>
          <w:bottom w:val="single" w:sz="12" w:space="4" w:color="7A2E2E"/>
        </w:pBdr>
        <w:spacing w:before="320" w:after="160"/>
      </w:pPr>
      <w:r>
        <w:lastRenderedPageBreak/>
        <w:t>3</w:t>
      </w:r>
      <w:proofErr w:type="gramStart"/>
      <w:r>
        <w:t>.  Significant</w:t>
      </w:r>
      <w:proofErr w:type="gramEnd"/>
      <w:r>
        <w:t xml:space="preserve"> Chapters and Features of the Agreement</w:t>
      </w:r>
    </w:p>
    <w:p w14:paraId="367C4D04" w14:textId="77777777" w:rsidR="00861A4D" w:rsidRDefault="00861A4D" w:rsidP="00861A4D">
      <w:pPr>
        <w:spacing w:after="160" w:line="288" w:lineRule="auto"/>
        <w:jc w:val="both"/>
      </w:pPr>
      <w:r>
        <w:t xml:space="preserve">CETA comprises 30 chapters. </w:t>
      </w:r>
      <w:r>
        <w:rPr>
          <w:rStyle w:val="FootnoteReference"/>
        </w:rPr>
        <w:footnoteReference w:id="7"/>
      </w:r>
      <w:r>
        <w:t xml:space="preserve">The </w:t>
      </w:r>
      <w:proofErr w:type="gramStart"/>
      <w:r>
        <w:t>chapters</w:t>
      </w:r>
      <w:proofErr w:type="gramEnd"/>
      <w:r>
        <w:t xml:space="preserve"> most relevant to advisory work are </w:t>
      </w:r>
      <w:proofErr w:type="spellStart"/>
      <w:r>
        <w:t>summarised</w:t>
      </w:r>
      <w:proofErr w:type="spellEnd"/>
      <w:r>
        <w:t xml:space="preserve"> below, distinguishing binding provisions from mechanisms whose effect depends on notified rules.</w:t>
      </w:r>
    </w:p>
    <w:p w14:paraId="59A3501E" w14:textId="77777777" w:rsidR="00861A4D" w:rsidRDefault="00861A4D" w:rsidP="00861A4D">
      <w:pPr>
        <w:pStyle w:val="Heading2"/>
        <w:spacing w:before="240" w:after="120"/>
      </w:pPr>
      <w:proofErr w:type="gramStart"/>
      <w:r>
        <w:t>3.1  Tariff</w:t>
      </w:r>
      <w:proofErr w:type="gramEnd"/>
      <w:r>
        <w:t xml:space="preserve"> </w:t>
      </w:r>
      <w:proofErr w:type="spellStart"/>
      <w:r>
        <w:t>Liberalisation</w:t>
      </w:r>
      <w:proofErr w:type="spellEnd"/>
      <w:r>
        <w:t xml:space="preserve"> (Trade in Goods)</w:t>
      </w:r>
    </w:p>
    <w:p w14:paraId="69457B8B" w14:textId="77777777" w:rsidR="00861A4D" w:rsidRDefault="00861A4D" w:rsidP="00861A4D">
      <w:pPr>
        <w:spacing w:after="160" w:line="288" w:lineRule="auto"/>
        <w:jc w:val="both"/>
      </w:pPr>
      <w:r>
        <w:t xml:space="preserve">The UK eliminates customs duties on 100% of its tariff lines over a seven-year path, with 99% of Indian tariff lines duty-free from entry into force — covering approximately 99.6% of Indian export value. </w:t>
      </w:r>
      <w:r>
        <w:rPr>
          <w:rStyle w:val="FootnoteReference"/>
        </w:rPr>
        <w:footnoteReference w:id="8"/>
      </w:r>
      <w:r>
        <w:t xml:space="preserve">India </w:t>
      </w:r>
      <w:proofErr w:type="spellStart"/>
      <w:r>
        <w:t>liberalises</w:t>
      </w:r>
      <w:proofErr w:type="spellEnd"/>
      <w:r>
        <w:t xml:space="preserve"> more than 80% of UK tariff lines over up to ten years, representing roughly 70% of its imports from the UK, with only about a quarter obtaining immediate duty-free access. Chapter-wise, most industrial goods (textiles Ch. 50–63, footwear Ch. 64, gems &amp; </w:t>
      </w:r>
      <w:proofErr w:type="spellStart"/>
      <w:r>
        <w:t>jewellery</w:t>
      </w:r>
      <w:proofErr w:type="spellEnd"/>
      <w:r>
        <w:t xml:space="preserve"> Ch. 71, base metals Ch. 72–81, machinery/electronics Ch. 82–86) enter the UK at zero duty from Day 1.</w:t>
      </w:r>
    </w:p>
    <w:p w14:paraId="29A16BDF" w14:textId="77777777" w:rsidR="00861A4D" w:rsidRDefault="00861A4D" w:rsidP="00861A4D">
      <w:pPr>
        <w:pStyle w:val="Heading2"/>
        <w:spacing w:before="240" w:after="120"/>
      </w:pPr>
      <w:proofErr w:type="gramStart"/>
      <w:r>
        <w:t>3.2  Rules</w:t>
      </w:r>
      <w:proofErr w:type="gramEnd"/>
      <w:r>
        <w:t xml:space="preserve"> of Origin and the Qualifying Value Content Regime</w:t>
      </w:r>
    </w:p>
    <w:p w14:paraId="30B424D3" w14:textId="77777777" w:rsidR="00861A4D" w:rsidRDefault="00861A4D" w:rsidP="00861A4D">
      <w:pPr>
        <w:spacing w:after="160" w:line="288" w:lineRule="auto"/>
        <w:jc w:val="both"/>
      </w:pPr>
      <w:proofErr w:type="spellStart"/>
      <w:proofErr w:type="gramStart"/>
      <w:r>
        <w:t>RoO</w:t>
      </w:r>
      <w:proofErr w:type="spellEnd"/>
      <w:proofErr w:type="gramEnd"/>
      <w:r>
        <w:t xml:space="preserve"> are the compliance heart of CETA and the largest single advisory driver. A good qualifies as originating if it is wholly obtained, produced entirely from originating materials, or produced from non-originating inputs while satisfying a product-specific rule. </w:t>
      </w:r>
      <w:r>
        <w:rPr>
          <w:rStyle w:val="FootnoteReference"/>
        </w:rPr>
        <w:footnoteReference w:id="9"/>
      </w:r>
      <w:r>
        <w:t xml:space="preserve">Standard Qualifying Value Content (“QVC”) is 40% of ex-works price or 45% of FOB value under the build-down method and 35% under the build-up method; gems and </w:t>
      </w:r>
      <w:proofErr w:type="spellStart"/>
      <w:r>
        <w:t>jewellery</w:t>
      </w:r>
      <w:proofErr w:type="spellEnd"/>
      <w:r>
        <w:t xml:space="preserve"> carry a much lower QVC (approximately 3–7% for most precious-metal </w:t>
      </w:r>
      <w:proofErr w:type="spellStart"/>
      <w:r>
        <w:t>jewellery</w:t>
      </w:r>
      <w:proofErr w:type="spellEnd"/>
      <w:r>
        <w:t xml:space="preserve">). Bilateral cumulation allows inputs originating in one Party to count as originating in the other. Minimal operations — simple repackaging, </w:t>
      </w:r>
      <w:proofErr w:type="spellStart"/>
      <w:r>
        <w:t>relabelling</w:t>
      </w:r>
      <w:proofErr w:type="spellEnd"/>
      <w:r>
        <w:t>, washing, sorting, polishing and simple assembly — do not confer origin.</w:t>
      </w:r>
    </w:p>
    <w:p w14:paraId="09F59231" w14:textId="77777777" w:rsidR="00861A4D" w:rsidRDefault="00861A4D" w:rsidP="00861A4D">
      <w:pPr>
        <w:spacing w:after="160" w:line="288" w:lineRule="auto"/>
        <w:jc w:val="both"/>
      </w:pPr>
      <w:r>
        <w:t xml:space="preserve">Certification is by exporter self-certification or importer’s knowledge; the UK waives proof of origin for e-commerce consignments below £1,000. </w:t>
      </w:r>
      <w:r>
        <w:rPr>
          <w:rStyle w:val="FootnoteReference"/>
        </w:rPr>
        <w:footnoteReference w:id="10"/>
      </w:r>
      <w:r>
        <w:t>Critically, CBIC has verification powers to audit origin claims and deny preference — creating recurring compliance, audit-</w:t>
      </w:r>
      <w:proofErr w:type="spellStart"/>
      <w:r>
        <w:t>defence</w:t>
      </w:r>
      <w:proofErr w:type="spellEnd"/>
      <w:r>
        <w:t xml:space="preserve"> and dispute work.</w:t>
      </w:r>
    </w:p>
    <w:p w14:paraId="2CF6059E" w14:textId="77777777" w:rsidR="00861A4D" w:rsidRDefault="00861A4D" w:rsidP="00861A4D">
      <w:pPr>
        <w:pStyle w:val="Heading2"/>
        <w:spacing w:before="240" w:after="120"/>
      </w:pPr>
      <w:proofErr w:type="gramStart"/>
      <w:r>
        <w:t>3.3  Customs</w:t>
      </w:r>
      <w:proofErr w:type="gramEnd"/>
      <w:r>
        <w:t xml:space="preserve"> and Trade Facilitation</w:t>
      </w:r>
    </w:p>
    <w:p w14:paraId="7542517E" w14:textId="77777777" w:rsidR="00861A4D" w:rsidRDefault="00861A4D" w:rsidP="00861A4D">
      <w:pPr>
        <w:spacing w:after="160" w:line="288" w:lineRule="auto"/>
        <w:jc w:val="both"/>
      </w:pPr>
      <w:r>
        <w:t xml:space="preserve">CETA commits both Parties to simplified, transparent and largely paperless customs procedures, single-window clearance, and expedited treatment (fewer inspections, faster release) for traders enrolled in </w:t>
      </w:r>
      <w:proofErr w:type="spellStart"/>
      <w:r>
        <w:t>Authorised</w:t>
      </w:r>
      <w:proofErr w:type="spellEnd"/>
      <w:r>
        <w:t xml:space="preserve"> Economic Operator (“AEO”) </w:t>
      </w:r>
      <w:proofErr w:type="spellStart"/>
      <w:r>
        <w:t>programmes</w:t>
      </w:r>
      <w:proofErr w:type="spellEnd"/>
      <w:r>
        <w:t>. Advance rulings and release-before-final-determination provisions reduce clearance friction but add process that clients must be advised to use.</w:t>
      </w:r>
    </w:p>
    <w:p w14:paraId="0C3D397A" w14:textId="77777777" w:rsidR="00861A4D" w:rsidRDefault="00861A4D" w:rsidP="00861A4D">
      <w:pPr>
        <w:pStyle w:val="Heading2"/>
        <w:spacing w:before="240" w:after="120"/>
      </w:pPr>
      <w:proofErr w:type="gramStart"/>
      <w:r>
        <w:lastRenderedPageBreak/>
        <w:t>3.4  SPS</w:t>
      </w:r>
      <w:proofErr w:type="gramEnd"/>
      <w:r>
        <w:t xml:space="preserve"> and TBT Measures</w:t>
      </w:r>
    </w:p>
    <w:p w14:paraId="23D2A39C" w14:textId="77777777" w:rsidR="00861A4D" w:rsidRDefault="00861A4D" w:rsidP="00861A4D">
      <w:pPr>
        <w:spacing w:after="160" w:line="288" w:lineRule="auto"/>
        <w:jc w:val="both"/>
      </w:pPr>
      <w:r>
        <w:t xml:space="preserve">The Sanitary and Phytosanitary (“SPS”) chapter is directed at agri-food market access: the UK is to </w:t>
      </w:r>
      <w:proofErr w:type="spellStart"/>
      <w:r>
        <w:t>recognise</w:t>
      </w:r>
      <w:proofErr w:type="spellEnd"/>
      <w:r>
        <w:t xml:space="preserve"> Indian certification and inspection systems for products such as basmati rice, grapes, mangoes, seafood and buffalo meat, with pre-listing of facilities in place of batch-by-batch inspection, and a bilateral SPS Committee meeting at least twice yearly. </w:t>
      </w:r>
      <w:r>
        <w:rPr>
          <w:rStyle w:val="FootnoteReference"/>
        </w:rPr>
        <w:footnoteReference w:id="11"/>
      </w:r>
      <w:r>
        <w:t>The Technical Barriers to Trade (“TBT”) chapter provides for 60-day advance notification of new technical regulations, stakeholder comment, and recognition of Indian conformity-assessment bodies. These disciplines reduce — but do not remove — the need to meet UK product standards, keeping standards and certification advice live.</w:t>
      </w:r>
    </w:p>
    <w:p w14:paraId="62DB6A8A" w14:textId="77777777" w:rsidR="00861A4D" w:rsidRDefault="00861A4D" w:rsidP="00861A4D">
      <w:pPr>
        <w:pStyle w:val="Heading2"/>
        <w:spacing w:before="240" w:after="120"/>
      </w:pPr>
      <w:proofErr w:type="gramStart"/>
      <w:r>
        <w:t>3.5  Trade</w:t>
      </w:r>
      <w:proofErr w:type="gramEnd"/>
      <w:r>
        <w:t xml:space="preserve"> in Services and Mobility of Professionals</w:t>
      </w:r>
    </w:p>
    <w:p w14:paraId="16932C4B" w14:textId="77777777" w:rsidR="00861A4D" w:rsidRDefault="00861A4D" w:rsidP="00861A4D">
      <w:pPr>
        <w:spacing w:after="160" w:line="288" w:lineRule="auto"/>
        <w:jc w:val="both"/>
      </w:pPr>
      <w:r>
        <w:t xml:space="preserve">Services are a core Indian strength — the sector is roughly 54–55% of India’s Gross Value Added, and India recorded services exports to the UK of about USD 19.8–21.6 billion (2023–2024). </w:t>
      </w:r>
      <w:r>
        <w:rPr>
          <w:rStyle w:val="FootnoteReference"/>
        </w:rPr>
        <w:footnoteReference w:id="12"/>
      </w:r>
      <w:r>
        <w:t>The UK grants deep access across 137 sub-sectors including IT/</w:t>
      </w:r>
      <w:proofErr w:type="spellStart"/>
      <w:r>
        <w:t>ITeS</w:t>
      </w:r>
      <w:proofErr w:type="spellEnd"/>
      <w:r>
        <w:t xml:space="preserve">, financial, professional, </w:t>
      </w:r>
      <w:proofErr w:type="gramStart"/>
      <w:r>
        <w:t>business-consulting</w:t>
      </w:r>
      <w:proofErr w:type="gramEnd"/>
      <w:r>
        <w:t xml:space="preserve">, education, telecom, architecture and engineering. Mobility commitments include short-term business visitors (up to 90 days, no </w:t>
      </w:r>
      <w:proofErr w:type="spellStart"/>
      <w:r>
        <w:t>labour</w:t>
      </w:r>
      <w:proofErr w:type="spellEnd"/>
      <w:r>
        <w:t xml:space="preserve">-market test), intra-corporate transferees (up to 3 years, renewable for two), and contractual service suppliers/independent professionals under defined quotas, with an overall allocation of 20,000 annual UK service-supplier visas for Indian nationals, 3,000 post-study work places, and 1,800 slots for chefs, yoga instructors and classical musicians. India has removed the economic-needs test for UK firms establishing branch offices. </w:t>
      </w:r>
    </w:p>
    <w:p w14:paraId="2716EBE6" w14:textId="77777777" w:rsidR="00861A4D" w:rsidRDefault="00861A4D" w:rsidP="00861A4D">
      <w:pPr>
        <w:spacing w:after="160" w:line="288" w:lineRule="auto"/>
        <w:jc w:val="both"/>
      </w:pPr>
      <w:r>
        <w:t xml:space="preserve">Caveat for the firm: independent UK parliamentary evidence stresses that CETA grants </w:t>
      </w:r>
      <w:r>
        <w:rPr>
          <w:b/>
          <w:bCs/>
        </w:rPr>
        <w:t>relatively little genuinely new services market access</w:t>
      </w:r>
      <w:r>
        <w:t xml:space="preserve"> — many commitments bind the existing position rather than expand it, and no new UK visa routes were created. </w:t>
      </w:r>
      <w:r>
        <w:rPr>
          <w:rStyle w:val="FootnoteReference"/>
        </w:rPr>
        <w:footnoteReference w:id="13"/>
      </w:r>
      <w:r>
        <w:t>The commercial upside is certainty, not expansion — a point clients should hear plainly.</w:t>
      </w:r>
    </w:p>
    <w:p w14:paraId="3564A84D" w14:textId="77777777" w:rsidR="00861A4D" w:rsidRDefault="00861A4D" w:rsidP="00861A4D">
      <w:pPr>
        <w:pStyle w:val="Heading2"/>
        <w:spacing w:before="240" w:after="120"/>
      </w:pPr>
      <w:proofErr w:type="gramStart"/>
      <w:r>
        <w:t>3.6  Double</w:t>
      </w:r>
      <w:proofErr w:type="gramEnd"/>
      <w:r>
        <w:t xml:space="preserve"> Contributions Convention (Social Security)</w:t>
      </w:r>
    </w:p>
    <w:p w14:paraId="71997254" w14:textId="77777777" w:rsidR="00861A4D" w:rsidRDefault="00861A4D" w:rsidP="00861A4D">
      <w:pPr>
        <w:spacing w:after="160" w:line="288" w:lineRule="auto"/>
        <w:jc w:val="both"/>
      </w:pPr>
      <w:r>
        <w:t xml:space="preserve">The DCC, signed 10 February 2026 and entering into force with CETA on 15 July 2026, exempts Indian employees and their employers from UK social-security (National Insurance) contributions during temporary UK assignments, with the exemption period extended from three to five years. </w:t>
      </w:r>
      <w:r>
        <w:rPr>
          <w:rStyle w:val="FootnoteReference"/>
        </w:rPr>
        <w:footnoteReference w:id="14"/>
      </w:r>
      <w:r>
        <w:t>Employers must obtain a Certificate of Coverage from the home authority. India estimates over 75,000 professionals and more than 900 companies will benefit. For IT and consulting clients this is immediate payroll, tax-</w:t>
      </w:r>
      <w:proofErr w:type="spellStart"/>
      <w:r>
        <w:t>equalisation</w:t>
      </w:r>
      <w:proofErr w:type="spellEnd"/>
      <w:r>
        <w:t xml:space="preserve"> and secondment-contract work.</w:t>
      </w:r>
    </w:p>
    <w:p w14:paraId="26C3F0FC" w14:textId="77777777" w:rsidR="00861A4D" w:rsidRDefault="00861A4D" w:rsidP="00861A4D">
      <w:pPr>
        <w:pStyle w:val="Heading2"/>
        <w:spacing w:before="240" w:after="120"/>
      </w:pPr>
      <w:proofErr w:type="gramStart"/>
      <w:r>
        <w:lastRenderedPageBreak/>
        <w:t>3.7  Investment</w:t>
      </w:r>
      <w:proofErr w:type="gramEnd"/>
    </w:p>
    <w:p w14:paraId="4600BFC0" w14:textId="77777777" w:rsidR="00861A4D" w:rsidRDefault="00861A4D" w:rsidP="00861A4D">
      <w:pPr>
        <w:spacing w:after="160" w:line="288" w:lineRule="auto"/>
        <w:jc w:val="both"/>
      </w:pPr>
      <w:r>
        <w:t xml:space="preserve">The investment chapter provides non-discrimination, fair-and-equitable-treatment standards and protection against uncompensated expropriation. </w:t>
      </w:r>
      <w:r>
        <w:rPr>
          <w:rStyle w:val="FootnoteReference"/>
        </w:rPr>
        <w:footnoteReference w:id="15"/>
      </w:r>
      <w:r>
        <w:t xml:space="preserve">However — a material gap addressed in Part 8 — CETA does </w:t>
      </w:r>
      <w:r>
        <w:rPr>
          <w:b/>
          <w:bCs/>
          <w:i/>
          <w:iCs/>
        </w:rPr>
        <w:t>not</w:t>
      </w:r>
      <w:r>
        <w:t xml:space="preserve"> contain a full investor-State dispute settlement (“ISDS”) mechanism of the kind found in a bilateral investment treaty; the 1994 UK–India Investment Promotion and Protection Agreement was terminated by India in 2016–17, and a new Bilateral Investment Treaty is being negotiated separately.</w:t>
      </w:r>
    </w:p>
    <w:p w14:paraId="25C8F82D" w14:textId="77777777" w:rsidR="00861A4D" w:rsidRDefault="00861A4D" w:rsidP="00861A4D">
      <w:pPr>
        <w:pStyle w:val="Heading2"/>
        <w:spacing w:before="240" w:after="120"/>
      </w:pPr>
      <w:proofErr w:type="gramStart"/>
      <w:r>
        <w:t>3.8  Digital</w:t>
      </w:r>
      <w:proofErr w:type="gramEnd"/>
      <w:r>
        <w:t xml:space="preserve"> Trade</w:t>
      </w:r>
    </w:p>
    <w:p w14:paraId="29E59E81" w14:textId="77777777" w:rsidR="00861A4D" w:rsidRDefault="00861A4D" w:rsidP="00861A4D">
      <w:pPr>
        <w:spacing w:after="160" w:line="288" w:lineRule="auto"/>
        <w:jc w:val="both"/>
      </w:pPr>
      <w:r>
        <w:t xml:space="preserve">CETA carries one of India’s most advanced digital-trade frameworks to date: legal equivalence for electronic contracts, signatures and authentication; permitted cross-border data flows subject to public-security, health and financial-stability exceptions; and a prohibition on forced disclosure of source code or proprietary algorithms. </w:t>
      </w:r>
      <w:r>
        <w:rPr>
          <w:rStyle w:val="FootnoteReference"/>
        </w:rPr>
        <w:footnoteReference w:id="16"/>
      </w:r>
      <w:r>
        <w:t>The Parties commit to cooperation on AI, cybersecurity, digital identity and e-governance. Because CETA does not override India’s Digital Personal Data Protection Act, 2023, cross-border data advice remains a growth area (Part 8).</w:t>
      </w:r>
    </w:p>
    <w:p w14:paraId="68FE91A1" w14:textId="77777777" w:rsidR="00861A4D" w:rsidRDefault="00861A4D" w:rsidP="00861A4D">
      <w:pPr>
        <w:pStyle w:val="Heading2"/>
        <w:spacing w:before="240" w:after="120"/>
      </w:pPr>
      <w:proofErr w:type="gramStart"/>
      <w:r>
        <w:t>3.9  Government</w:t>
      </w:r>
      <w:proofErr w:type="gramEnd"/>
      <w:r>
        <w:t xml:space="preserve"> Procurement</w:t>
      </w:r>
    </w:p>
    <w:p w14:paraId="0925B45E" w14:textId="77777777" w:rsidR="00861A4D" w:rsidRDefault="00861A4D" w:rsidP="00861A4D">
      <w:pPr>
        <w:spacing w:after="160" w:line="288" w:lineRule="auto"/>
        <w:jc w:val="both"/>
      </w:pPr>
      <w:r>
        <w:t xml:space="preserve">CETA contains India’s first comprehensive government-procurement chapter in an FTA. UK suppliers gain access to Indian central procurement, and Indian suppliers gain access to the UK central-government procurement market (estimated above USD 135 billion annually), with UK tenders above roughly USD 270,880 (goods/services) and USD 2.03 million (construction) open to Indian suppliers on transparent terms. </w:t>
      </w:r>
      <w:r>
        <w:rPr>
          <w:rStyle w:val="FootnoteReference"/>
        </w:rPr>
        <w:footnoteReference w:id="17"/>
      </w:r>
      <w:r>
        <w:t xml:space="preserve">This is a novel and technical area of Indian trade law, </w:t>
      </w:r>
      <w:proofErr w:type="spellStart"/>
      <w:r>
        <w:t>favouring</w:t>
      </w:r>
      <w:proofErr w:type="spellEnd"/>
      <w:r>
        <w:t xml:space="preserve"> firms that build early procurement-compliance capability.</w:t>
      </w:r>
    </w:p>
    <w:p w14:paraId="06853CB0" w14:textId="77777777" w:rsidR="00861A4D" w:rsidRDefault="00861A4D" w:rsidP="00861A4D">
      <w:pPr>
        <w:pStyle w:val="Heading2"/>
        <w:spacing w:before="240" w:after="120"/>
      </w:pPr>
      <w:proofErr w:type="gramStart"/>
      <w:r>
        <w:t>3.10  Intellectual</w:t>
      </w:r>
      <w:proofErr w:type="gramEnd"/>
      <w:r>
        <w:t xml:space="preserve"> Property</w:t>
      </w:r>
    </w:p>
    <w:p w14:paraId="4075EACD" w14:textId="77777777" w:rsidR="00861A4D" w:rsidRDefault="00861A4D" w:rsidP="00861A4D">
      <w:pPr>
        <w:spacing w:after="160" w:line="288" w:lineRule="auto"/>
        <w:jc w:val="both"/>
      </w:pPr>
      <w:r>
        <w:t>The IP chapter aims at balanced protection and enforcement rather than TRIPS-plus escalation on pharmaceuticals. Notably, India did not concede data exclusivity or patent-term-extension provisions that would delay generics; the chapter includes copyright commitments (UK creative-sector protection of at least 60 years) and cooperation on enforcement. For Indian pharma this is a defensive win worth explaining to clients; for creative-industry and technology clients it raises licensing and enforcement work.</w:t>
      </w:r>
    </w:p>
    <w:p w14:paraId="06BDA387" w14:textId="77777777" w:rsidR="00861A4D" w:rsidRDefault="00861A4D" w:rsidP="00861A4D">
      <w:pPr>
        <w:pStyle w:val="Heading2"/>
        <w:spacing w:before="240" w:after="120"/>
      </w:pPr>
      <w:proofErr w:type="gramStart"/>
      <w:r>
        <w:t>3.11  Competition</w:t>
      </w:r>
      <w:proofErr w:type="gramEnd"/>
      <w:r>
        <w:t xml:space="preserve">, </w:t>
      </w:r>
      <w:proofErr w:type="spellStart"/>
      <w:r>
        <w:t>Labour</w:t>
      </w:r>
      <w:proofErr w:type="spellEnd"/>
      <w:r>
        <w:t>, Environment, Gender and SMEs</w:t>
      </w:r>
    </w:p>
    <w:p w14:paraId="3437187B" w14:textId="77777777" w:rsidR="00861A4D" w:rsidRDefault="00861A4D" w:rsidP="00861A4D">
      <w:pPr>
        <w:pStyle w:val="ListParagraph"/>
        <w:numPr>
          <w:ilvl w:val="0"/>
          <w:numId w:val="2"/>
        </w:numPr>
        <w:spacing w:after="90" w:line="282" w:lineRule="auto"/>
        <w:contextualSpacing w:val="0"/>
        <w:jc w:val="both"/>
      </w:pPr>
      <w:r>
        <w:rPr>
          <w:b/>
          <w:bCs/>
        </w:rPr>
        <w:t xml:space="preserve">Competition: </w:t>
      </w:r>
      <w:r>
        <w:t>commitments to maintain competition law and cooperate on enforcement; preserves each Party’s regulatory autonomy.</w:t>
      </w:r>
    </w:p>
    <w:p w14:paraId="40B3077E" w14:textId="77777777" w:rsidR="00861A4D" w:rsidRDefault="00861A4D" w:rsidP="00861A4D">
      <w:pPr>
        <w:pStyle w:val="ListParagraph"/>
        <w:numPr>
          <w:ilvl w:val="0"/>
          <w:numId w:val="2"/>
        </w:numPr>
        <w:spacing w:after="90" w:line="282" w:lineRule="auto"/>
        <w:contextualSpacing w:val="0"/>
        <w:jc w:val="both"/>
      </w:pPr>
      <w:proofErr w:type="spellStart"/>
      <w:r>
        <w:rPr>
          <w:b/>
          <w:bCs/>
        </w:rPr>
        <w:t>Labour</w:t>
      </w:r>
      <w:proofErr w:type="spellEnd"/>
      <w:r>
        <w:rPr>
          <w:b/>
          <w:bCs/>
        </w:rPr>
        <w:t xml:space="preserve">: </w:t>
      </w:r>
      <w:r>
        <w:t xml:space="preserve">reaffirmation of ILO core conventions, non-regression, and gender-equality/non-discrimination provisions; each Party retains the right to regulate its own </w:t>
      </w:r>
      <w:proofErr w:type="spellStart"/>
      <w:r>
        <w:t>labour</w:t>
      </w:r>
      <w:proofErr w:type="spellEnd"/>
      <w:r>
        <w:t xml:space="preserve"> market.</w:t>
      </w:r>
    </w:p>
    <w:p w14:paraId="2F333A53" w14:textId="77777777" w:rsidR="00861A4D" w:rsidRDefault="00861A4D" w:rsidP="00861A4D">
      <w:pPr>
        <w:pStyle w:val="ListParagraph"/>
        <w:numPr>
          <w:ilvl w:val="0"/>
          <w:numId w:val="2"/>
        </w:numPr>
        <w:spacing w:after="90" w:line="282" w:lineRule="auto"/>
        <w:contextualSpacing w:val="0"/>
        <w:jc w:val="both"/>
      </w:pPr>
      <w:r>
        <w:rPr>
          <w:b/>
          <w:bCs/>
        </w:rPr>
        <w:lastRenderedPageBreak/>
        <w:t xml:space="preserve">Environment: </w:t>
      </w:r>
      <w:r>
        <w:t>sustainable-development and sustainable-forest-management provisions; relevant to ESG and supply-chain due-diligence advice.</w:t>
      </w:r>
    </w:p>
    <w:p w14:paraId="5B515BEA" w14:textId="77777777" w:rsidR="00861A4D" w:rsidRDefault="00861A4D" w:rsidP="00861A4D">
      <w:pPr>
        <w:pStyle w:val="ListParagraph"/>
        <w:numPr>
          <w:ilvl w:val="0"/>
          <w:numId w:val="2"/>
        </w:numPr>
        <w:spacing w:after="90" w:line="282" w:lineRule="auto"/>
        <w:contextualSpacing w:val="0"/>
        <w:jc w:val="both"/>
      </w:pPr>
      <w:r>
        <w:rPr>
          <w:b/>
          <w:bCs/>
        </w:rPr>
        <w:t xml:space="preserve">SMEs: </w:t>
      </w:r>
      <w:r>
        <w:t>a dedicated standalone chapter with an SME contact point, transparency and information-sharing — significant because SMEs contributed about 45.8% of India’s exports in 2024-25.</w:t>
      </w:r>
    </w:p>
    <w:p w14:paraId="5B401113" w14:textId="77777777" w:rsidR="00861A4D" w:rsidRDefault="00861A4D" w:rsidP="00861A4D">
      <w:pPr>
        <w:spacing w:before="60" w:after="200"/>
      </w:pPr>
      <w:r>
        <w:rPr>
          <w:rFonts w:ascii="Calibri" w:eastAsia="Calibri" w:hAnsi="Calibri" w:cs="Calibri"/>
          <w:i/>
          <w:iCs/>
          <w:color w:val="5A6570"/>
          <w:sz w:val="15"/>
          <w:szCs w:val="15"/>
        </w:rPr>
        <w:t xml:space="preserve">Sources: PIB Backgrounder (SME export share); CMS INDUSLAW / </w:t>
      </w:r>
      <w:proofErr w:type="spellStart"/>
      <w:r>
        <w:rPr>
          <w:rFonts w:ascii="Calibri" w:eastAsia="Calibri" w:hAnsi="Calibri" w:cs="Calibri"/>
          <w:i/>
          <w:iCs/>
          <w:color w:val="5A6570"/>
          <w:sz w:val="15"/>
          <w:szCs w:val="15"/>
        </w:rPr>
        <w:t>Mondaq</w:t>
      </w:r>
      <w:proofErr w:type="spellEnd"/>
      <w:r>
        <w:rPr>
          <w:rFonts w:ascii="Calibri" w:eastAsia="Calibri" w:hAnsi="Calibri" w:cs="Calibri"/>
          <w:i/>
          <w:iCs/>
          <w:color w:val="5A6570"/>
          <w:sz w:val="15"/>
          <w:szCs w:val="15"/>
        </w:rPr>
        <w:t>; Department of Commerce chapter text. Reporting year for SME export share: FY 2024-25.</w:t>
      </w:r>
    </w:p>
    <w:p w14:paraId="43DBE36A" w14:textId="77777777" w:rsidR="00861A4D" w:rsidRDefault="00861A4D" w:rsidP="00861A4D">
      <w:pPr>
        <w:pStyle w:val="Heading2"/>
        <w:spacing w:before="240" w:after="120"/>
      </w:pPr>
      <w:proofErr w:type="gramStart"/>
      <w:r>
        <w:t>3.12  Mutual</w:t>
      </w:r>
      <w:proofErr w:type="gramEnd"/>
      <w:r>
        <w:t xml:space="preserve"> Recognition, Dispute Settlement and Institutional Machinery</w:t>
      </w:r>
    </w:p>
    <w:p w14:paraId="65B0275B" w14:textId="77777777" w:rsidR="00861A4D" w:rsidRDefault="00861A4D" w:rsidP="00861A4D">
      <w:pPr>
        <w:spacing w:after="160" w:line="288" w:lineRule="auto"/>
        <w:jc w:val="both"/>
      </w:pPr>
      <w:r>
        <w:t xml:space="preserve">Mutual recognition of professional qualifications is to be </w:t>
      </w:r>
      <w:proofErr w:type="spellStart"/>
      <w:r>
        <w:t>operationalised</w:t>
      </w:r>
      <w:proofErr w:type="spellEnd"/>
      <w:r>
        <w:t xml:space="preserve"> through a dedicated working group rather than being self-executing. State-to-State dispute </w:t>
      </w:r>
      <w:proofErr w:type="gramStart"/>
      <w:r>
        <w:t>settlement</w:t>
      </w:r>
      <w:proofErr w:type="gramEnd"/>
      <w:r>
        <w:t xml:space="preserve"> applies, but national security, taxation and public-health measures are excluded from dispute coverage; the Agreement provides for five-yearly reviews, amendment by mutual consent (effective 60 days after confirmation of domestic approvals), and accession by additional territories. </w:t>
      </w:r>
      <w:r>
        <w:rPr>
          <w:rStyle w:val="FootnoteReference"/>
        </w:rPr>
        <w:footnoteReference w:id="18"/>
      </w:r>
      <w:r>
        <w:t>Governance runs through a Joint Committee, sectoral sub-committees and multiple working groups.</w:t>
      </w:r>
    </w:p>
    <w:p w14:paraId="31E2C3B2" w14:textId="77777777" w:rsidR="00861A4D" w:rsidRDefault="00861A4D" w:rsidP="00861A4D">
      <w:r>
        <w:br w:type="page"/>
      </w:r>
    </w:p>
    <w:p w14:paraId="637A643F" w14:textId="77777777" w:rsidR="00861A4D" w:rsidRDefault="00861A4D" w:rsidP="00861A4D">
      <w:pPr>
        <w:pStyle w:val="Heading1"/>
        <w:pBdr>
          <w:bottom w:val="single" w:sz="12" w:space="4" w:color="7A2E2E"/>
        </w:pBdr>
        <w:spacing w:before="320" w:after="160"/>
      </w:pPr>
      <w:r>
        <w:lastRenderedPageBreak/>
        <w:t>4</w:t>
      </w:r>
      <w:proofErr w:type="gramStart"/>
      <w:r>
        <w:t>.  Bilateral</w:t>
      </w:r>
      <w:proofErr w:type="gramEnd"/>
      <w:r>
        <w:t xml:space="preserve"> Trade: Data, Methodology and Sector-Wise Tables</w:t>
      </w:r>
    </w:p>
    <w:p w14:paraId="6964A3E5" w14:textId="77777777" w:rsidR="00861A4D" w:rsidRDefault="00861A4D" w:rsidP="00861A4D">
      <w:pPr>
        <w:pStyle w:val="Heading2"/>
        <w:spacing w:before="240" w:after="120"/>
      </w:pPr>
      <w:proofErr w:type="gramStart"/>
      <w:r>
        <w:t>4.1  Headline</w:t>
      </w:r>
      <w:proofErr w:type="gramEnd"/>
      <w:r>
        <w:t xml:space="preserve"> position (latest official data)</w:t>
      </w:r>
    </w:p>
    <w:p w14:paraId="54F06E51" w14:textId="77777777" w:rsidR="00861A4D" w:rsidRDefault="00861A4D" w:rsidP="00861A4D">
      <w:pPr>
        <w:spacing w:after="160" w:line="288" w:lineRule="auto"/>
        <w:jc w:val="both"/>
      </w:pPr>
      <w:r>
        <w:t xml:space="preserve">The two authoritative datasets do not match, and the firm should use each for its own purpose. The UK Department for Business and Trade factsheet (released 23 June 2026, ONS data, four quarters to end-Q4 2025) reports total UK–India trade in goods and services of </w:t>
      </w:r>
      <w:r>
        <w:rPr>
          <w:b/>
          <w:bCs/>
        </w:rPr>
        <w:t>£47.9 billion, up 10.0% year-on-year</w:t>
      </w:r>
      <w:r>
        <w:t xml:space="preserve">. </w:t>
      </w:r>
      <w:r>
        <w:rPr>
          <w:rStyle w:val="FootnoteReference"/>
        </w:rPr>
        <w:footnoteReference w:id="19"/>
      </w:r>
      <w:r>
        <w:t xml:space="preserve">India’s Department of Commerce records bilateral </w:t>
      </w:r>
      <w:r>
        <w:rPr>
          <w:i/>
          <w:iCs/>
        </w:rPr>
        <w:t>merchandise</w:t>
      </w:r>
      <w:r>
        <w:t xml:space="preserve"> trade of USD 25.12 billion in FY 2025-26 (up 8.62%). </w:t>
      </w:r>
      <w:r>
        <w:rPr>
          <w:rStyle w:val="FootnoteReference"/>
        </w:rPr>
        <w:footnoteReference w:id="20"/>
      </w:r>
      <w:r>
        <w:t>The gap is explained by scope (the UK figure includes services and non-monetary gold), currency and reporting basis. Both are official and both are cited.</w:t>
      </w:r>
    </w:p>
    <w:p w14:paraId="26C5095F" w14:textId="77777777" w:rsidR="00861A4D" w:rsidRDefault="00861A4D" w:rsidP="00861A4D">
      <w:pPr>
        <w:pStyle w:val="Heading2"/>
        <w:spacing w:before="240" w:after="120"/>
      </w:pPr>
      <w:proofErr w:type="gramStart"/>
      <w:r>
        <w:t>4.2  Methodology</w:t>
      </w:r>
      <w:proofErr w:type="gramEnd"/>
      <w:r>
        <w:t xml:space="preserve"> for sector-wise shares</w:t>
      </w:r>
    </w:p>
    <w:p w14:paraId="70054339" w14:textId="77777777" w:rsidR="00861A4D" w:rsidRDefault="00861A4D" w:rsidP="00861A4D">
      <w:pPr>
        <w:spacing w:after="160" w:line="288" w:lineRule="auto"/>
        <w:jc w:val="both"/>
      </w:pPr>
      <w:r>
        <w:t xml:space="preserve">Where official sector-wise percentage shares are published (as in the UK factsheet’s commodity tables), they are reproduced with the source’s own reporting year. Where they are not, shares in the tables below are </w:t>
      </w:r>
      <w:r>
        <w:rPr>
          <w:b/>
          <w:bCs/>
        </w:rPr>
        <w:t>calculated by the author</w:t>
      </w:r>
      <w:r>
        <w:t xml:space="preserve"> as the commodity value divided by total goods trade in the same dataset and reporting </w:t>
      </w:r>
      <w:proofErr w:type="gramStart"/>
      <w:r>
        <w:t>period, and</w:t>
      </w:r>
      <w:proofErr w:type="gramEnd"/>
      <w:r>
        <w:t xml:space="preserve"> are marked “calc.”. Because the UK reports by SITC commodity classes and India by ITC-HS chapters, the two tables are </w:t>
      </w:r>
      <w:r>
        <w:rPr>
          <w:i/>
          <w:iCs/>
        </w:rPr>
        <w:t>not</w:t>
      </w:r>
      <w:r>
        <w:t xml:space="preserve"> directly additive; each table states its source and reporting year. No sector-wise value has been invented: where a </w:t>
      </w:r>
      <w:proofErr w:type="gramStart"/>
      <w:r>
        <w:t>Government</w:t>
      </w:r>
      <w:proofErr w:type="gramEnd"/>
      <w:r>
        <w:t xml:space="preserve"> projection exists it is labelled as a projection; where none exists, that is stated.</w:t>
      </w:r>
    </w:p>
    <w:p w14:paraId="14F0C703" w14:textId="77777777" w:rsidR="00861A4D" w:rsidRDefault="00861A4D" w:rsidP="00861A4D">
      <w:pPr>
        <w:pStyle w:val="Heading2"/>
        <w:spacing w:before="240" w:after="120"/>
      </w:pPr>
      <w:proofErr w:type="gramStart"/>
      <w:r>
        <w:t>4.3  Table</w:t>
      </w:r>
      <w:proofErr w:type="gramEnd"/>
      <w:r>
        <w:t xml:space="preserve"> 1 — India’s exports to the UK (UK-reported imports from India), top commodities</w:t>
      </w:r>
    </w:p>
    <w:tbl>
      <w:tblPr>
        <w:tblW w:w="9300" w:type="dxa"/>
        <w:tblBorders>
          <w:top w:val="single" w:sz="4" w:space="0" w:color="9AA5B1"/>
          <w:bottom w:val="single" w:sz="4" w:space="0" w:color="9AA5B1"/>
          <w:insideH w:val="single" w:sz="2" w:space="0" w:color="D5DBE1"/>
        </w:tblBorders>
        <w:tblCellMar>
          <w:left w:w="10" w:type="dxa"/>
          <w:right w:w="10" w:type="dxa"/>
        </w:tblCellMar>
        <w:tblLook w:val="04A0" w:firstRow="1" w:lastRow="0" w:firstColumn="1" w:lastColumn="0" w:noHBand="0" w:noVBand="1"/>
      </w:tblPr>
      <w:tblGrid>
        <w:gridCol w:w="2500"/>
        <w:gridCol w:w="1550"/>
        <w:gridCol w:w="1350"/>
        <w:gridCol w:w="1500"/>
        <w:gridCol w:w="2400"/>
      </w:tblGrid>
      <w:tr w:rsidR="00861A4D" w14:paraId="657850B2" w14:textId="77777777" w:rsidTr="00D156A0">
        <w:trPr>
          <w:tblHeader/>
        </w:trPr>
        <w:tc>
          <w:tcPr>
            <w:tcW w:w="2500" w:type="dxa"/>
            <w:shd w:val="clear" w:color="auto" w:fill="16324F"/>
            <w:tcMar>
              <w:top w:w="60" w:type="dxa"/>
              <w:left w:w="80" w:type="dxa"/>
              <w:bottom w:w="60" w:type="dxa"/>
              <w:right w:w="80" w:type="dxa"/>
            </w:tcMar>
            <w:vAlign w:val="center"/>
          </w:tcPr>
          <w:p w14:paraId="740F87BE" w14:textId="77777777" w:rsidR="00861A4D" w:rsidRDefault="00861A4D" w:rsidP="00D156A0">
            <w:pPr>
              <w:spacing w:line="252" w:lineRule="auto"/>
            </w:pPr>
            <w:r>
              <w:rPr>
                <w:rFonts w:ascii="Calibri" w:eastAsia="Calibri" w:hAnsi="Calibri" w:cs="Calibri"/>
                <w:b/>
                <w:bCs/>
                <w:color w:val="FFFFFF"/>
                <w:sz w:val="18"/>
                <w:szCs w:val="18"/>
              </w:rPr>
              <w:t>Commodity (SITC class, UK-reported)</w:t>
            </w:r>
          </w:p>
        </w:tc>
        <w:tc>
          <w:tcPr>
            <w:tcW w:w="1550" w:type="dxa"/>
            <w:shd w:val="clear" w:color="auto" w:fill="16324F"/>
            <w:tcMar>
              <w:top w:w="60" w:type="dxa"/>
              <w:left w:w="80" w:type="dxa"/>
              <w:bottom w:w="60" w:type="dxa"/>
              <w:right w:w="80" w:type="dxa"/>
            </w:tcMar>
            <w:vAlign w:val="center"/>
          </w:tcPr>
          <w:p w14:paraId="12D77312" w14:textId="77777777" w:rsidR="00861A4D" w:rsidRDefault="00861A4D" w:rsidP="00D156A0">
            <w:pPr>
              <w:spacing w:line="252" w:lineRule="auto"/>
              <w:jc w:val="center"/>
            </w:pPr>
            <w:r>
              <w:rPr>
                <w:rFonts w:ascii="Calibri" w:eastAsia="Calibri" w:hAnsi="Calibri" w:cs="Calibri"/>
                <w:b/>
                <w:bCs/>
                <w:color w:val="FFFFFF"/>
                <w:sz w:val="18"/>
                <w:szCs w:val="18"/>
              </w:rPr>
              <w:t>Value (12m to Q4 2025)</w:t>
            </w:r>
          </w:p>
        </w:tc>
        <w:tc>
          <w:tcPr>
            <w:tcW w:w="1350" w:type="dxa"/>
            <w:shd w:val="clear" w:color="auto" w:fill="16324F"/>
            <w:tcMar>
              <w:top w:w="60" w:type="dxa"/>
              <w:left w:w="80" w:type="dxa"/>
              <w:bottom w:w="60" w:type="dxa"/>
              <w:right w:w="80" w:type="dxa"/>
            </w:tcMar>
            <w:vAlign w:val="center"/>
          </w:tcPr>
          <w:p w14:paraId="6E663481" w14:textId="77777777" w:rsidR="00861A4D" w:rsidRDefault="00861A4D" w:rsidP="00D156A0">
            <w:pPr>
              <w:spacing w:line="252" w:lineRule="auto"/>
              <w:jc w:val="center"/>
            </w:pPr>
            <w:r>
              <w:rPr>
                <w:rFonts w:ascii="Calibri" w:eastAsia="Calibri" w:hAnsi="Calibri" w:cs="Calibri"/>
                <w:b/>
                <w:bCs/>
                <w:color w:val="FFFFFF"/>
                <w:sz w:val="18"/>
                <w:szCs w:val="18"/>
              </w:rPr>
              <w:t>Share of UK goods imports from India</w:t>
            </w:r>
          </w:p>
        </w:tc>
        <w:tc>
          <w:tcPr>
            <w:tcW w:w="1500" w:type="dxa"/>
            <w:shd w:val="clear" w:color="auto" w:fill="16324F"/>
            <w:tcMar>
              <w:top w:w="60" w:type="dxa"/>
              <w:left w:w="80" w:type="dxa"/>
              <w:bottom w:w="60" w:type="dxa"/>
              <w:right w:w="80" w:type="dxa"/>
            </w:tcMar>
            <w:vAlign w:val="center"/>
          </w:tcPr>
          <w:p w14:paraId="61F93731" w14:textId="77777777" w:rsidR="00861A4D" w:rsidRDefault="00861A4D" w:rsidP="00D156A0">
            <w:pPr>
              <w:spacing w:line="252" w:lineRule="auto"/>
              <w:jc w:val="center"/>
            </w:pPr>
            <w:r>
              <w:rPr>
                <w:rFonts w:ascii="Calibri" w:eastAsia="Calibri" w:hAnsi="Calibri" w:cs="Calibri"/>
                <w:b/>
                <w:bCs/>
                <w:color w:val="FFFFFF"/>
                <w:sz w:val="18"/>
                <w:szCs w:val="18"/>
              </w:rPr>
              <w:t>YoY change</w:t>
            </w:r>
          </w:p>
        </w:tc>
        <w:tc>
          <w:tcPr>
            <w:tcW w:w="2400" w:type="dxa"/>
            <w:shd w:val="clear" w:color="auto" w:fill="16324F"/>
            <w:tcMar>
              <w:top w:w="60" w:type="dxa"/>
              <w:left w:w="80" w:type="dxa"/>
              <w:bottom w:w="60" w:type="dxa"/>
              <w:right w:w="80" w:type="dxa"/>
            </w:tcMar>
            <w:vAlign w:val="center"/>
          </w:tcPr>
          <w:p w14:paraId="30C7363B" w14:textId="77777777" w:rsidR="00861A4D" w:rsidRDefault="00861A4D" w:rsidP="00D156A0">
            <w:pPr>
              <w:spacing w:line="252" w:lineRule="auto"/>
              <w:jc w:val="center"/>
            </w:pPr>
            <w:r>
              <w:rPr>
                <w:rFonts w:ascii="Calibri" w:eastAsia="Calibri" w:hAnsi="Calibri" w:cs="Calibri"/>
                <w:b/>
                <w:bCs/>
                <w:color w:val="FFFFFF"/>
                <w:sz w:val="18"/>
                <w:szCs w:val="18"/>
              </w:rPr>
              <w:t>CETA tariff position</w:t>
            </w:r>
          </w:p>
        </w:tc>
      </w:tr>
      <w:tr w:rsidR="00861A4D" w14:paraId="6EE3E917" w14:textId="77777777" w:rsidTr="00D156A0">
        <w:tc>
          <w:tcPr>
            <w:tcW w:w="2500" w:type="dxa"/>
            <w:tcMar>
              <w:top w:w="60" w:type="dxa"/>
              <w:left w:w="80" w:type="dxa"/>
              <w:bottom w:w="60" w:type="dxa"/>
              <w:right w:w="80" w:type="dxa"/>
            </w:tcMar>
            <w:vAlign w:val="center"/>
          </w:tcPr>
          <w:p w14:paraId="53BC9FA5" w14:textId="77777777" w:rsidR="00861A4D" w:rsidRDefault="00861A4D" w:rsidP="00D156A0">
            <w:pPr>
              <w:spacing w:line="252" w:lineRule="auto"/>
            </w:pPr>
            <w:r>
              <w:rPr>
                <w:rFonts w:ascii="Calibri" w:eastAsia="Calibri" w:hAnsi="Calibri" w:cs="Calibri"/>
                <w:sz w:val="18"/>
                <w:szCs w:val="18"/>
              </w:rPr>
              <w:t>Mechanical power generators (intermediate)</w:t>
            </w:r>
          </w:p>
        </w:tc>
        <w:tc>
          <w:tcPr>
            <w:tcW w:w="1550" w:type="dxa"/>
            <w:tcMar>
              <w:top w:w="60" w:type="dxa"/>
              <w:left w:w="80" w:type="dxa"/>
              <w:bottom w:w="60" w:type="dxa"/>
              <w:right w:w="80" w:type="dxa"/>
            </w:tcMar>
            <w:vAlign w:val="center"/>
          </w:tcPr>
          <w:p w14:paraId="064554C3" w14:textId="77777777" w:rsidR="00861A4D" w:rsidRDefault="00861A4D" w:rsidP="00D156A0">
            <w:pPr>
              <w:spacing w:line="252" w:lineRule="auto"/>
              <w:jc w:val="center"/>
            </w:pPr>
            <w:r>
              <w:rPr>
                <w:rFonts w:ascii="Calibri" w:eastAsia="Calibri" w:hAnsi="Calibri" w:cs="Calibri"/>
                <w:sz w:val="18"/>
                <w:szCs w:val="18"/>
              </w:rPr>
              <w:t>£1.0 bn</w:t>
            </w:r>
          </w:p>
        </w:tc>
        <w:tc>
          <w:tcPr>
            <w:tcW w:w="1350" w:type="dxa"/>
            <w:tcMar>
              <w:top w:w="60" w:type="dxa"/>
              <w:left w:w="80" w:type="dxa"/>
              <w:bottom w:w="60" w:type="dxa"/>
              <w:right w:w="80" w:type="dxa"/>
            </w:tcMar>
            <w:vAlign w:val="center"/>
          </w:tcPr>
          <w:p w14:paraId="2CD16BD2" w14:textId="77777777" w:rsidR="00861A4D" w:rsidRDefault="00861A4D" w:rsidP="00D156A0">
            <w:pPr>
              <w:spacing w:line="252" w:lineRule="auto"/>
              <w:jc w:val="center"/>
            </w:pPr>
            <w:r>
              <w:rPr>
                <w:rFonts w:ascii="Calibri" w:eastAsia="Calibri" w:hAnsi="Calibri" w:cs="Calibri"/>
                <w:sz w:val="18"/>
                <w:szCs w:val="18"/>
              </w:rPr>
              <w:t>9.2%</w:t>
            </w:r>
          </w:p>
        </w:tc>
        <w:tc>
          <w:tcPr>
            <w:tcW w:w="1500" w:type="dxa"/>
            <w:tcMar>
              <w:top w:w="60" w:type="dxa"/>
              <w:left w:w="80" w:type="dxa"/>
              <w:bottom w:w="60" w:type="dxa"/>
              <w:right w:w="80" w:type="dxa"/>
            </w:tcMar>
            <w:vAlign w:val="center"/>
          </w:tcPr>
          <w:p w14:paraId="79222CDB" w14:textId="77777777" w:rsidR="00861A4D" w:rsidRDefault="00861A4D" w:rsidP="00D156A0">
            <w:pPr>
              <w:spacing w:line="252" w:lineRule="auto"/>
              <w:jc w:val="center"/>
            </w:pPr>
            <w:r>
              <w:rPr>
                <w:rFonts w:ascii="Calibri" w:eastAsia="Calibri" w:hAnsi="Calibri" w:cs="Calibri"/>
                <w:sz w:val="18"/>
                <w:szCs w:val="18"/>
              </w:rPr>
              <w:t>+86.7%</w:t>
            </w:r>
          </w:p>
        </w:tc>
        <w:tc>
          <w:tcPr>
            <w:tcW w:w="2400" w:type="dxa"/>
            <w:tcMar>
              <w:top w:w="60" w:type="dxa"/>
              <w:left w:w="80" w:type="dxa"/>
              <w:bottom w:w="60" w:type="dxa"/>
              <w:right w:w="80" w:type="dxa"/>
            </w:tcMar>
            <w:vAlign w:val="center"/>
          </w:tcPr>
          <w:p w14:paraId="2F1FB808" w14:textId="77777777" w:rsidR="00861A4D" w:rsidRDefault="00861A4D" w:rsidP="00D156A0">
            <w:pPr>
              <w:spacing w:line="252" w:lineRule="auto"/>
              <w:jc w:val="center"/>
            </w:pPr>
            <w:r>
              <w:rPr>
                <w:rFonts w:ascii="Calibri" w:eastAsia="Calibri" w:hAnsi="Calibri" w:cs="Calibri"/>
                <w:sz w:val="18"/>
                <w:szCs w:val="18"/>
              </w:rPr>
              <w:t>Zero (Ch. 84–85 lines) from entry into force</w:t>
            </w:r>
          </w:p>
        </w:tc>
      </w:tr>
      <w:tr w:rsidR="00861A4D" w14:paraId="17DE17DC" w14:textId="77777777" w:rsidTr="00D156A0">
        <w:tc>
          <w:tcPr>
            <w:tcW w:w="2500" w:type="dxa"/>
            <w:shd w:val="clear" w:color="auto" w:fill="EEF2F6"/>
            <w:tcMar>
              <w:top w:w="60" w:type="dxa"/>
              <w:left w:w="80" w:type="dxa"/>
              <w:bottom w:w="60" w:type="dxa"/>
              <w:right w:w="80" w:type="dxa"/>
            </w:tcMar>
            <w:vAlign w:val="center"/>
          </w:tcPr>
          <w:p w14:paraId="3871FD8F" w14:textId="77777777" w:rsidR="00861A4D" w:rsidRDefault="00861A4D" w:rsidP="00D156A0">
            <w:pPr>
              <w:spacing w:line="252" w:lineRule="auto"/>
            </w:pPr>
            <w:r>
              <w:rPr>
                <w:rFonts w:ascii="Calibri" w:eastAsia="Calibri" w:hAnsi="Calibri" w:cs="Calibri"/>
                <w:sz w:val="18"/>
                <w:szCs w:val="18"/>
              </w:rPr>
              <w:t>Refined oil (petroleum products)</w:t>
            </w:r>
          </w:p>
        </w:tc>
        <w:tc>
          <w:tcPr>
            <w:tcW w:w="1550" w:type="dxa"/>
            <w:shd w:val="clear" w:color="auto" w:fill="EEF2F6"/>
            <w:tcMar>
              <w:top w:w="60" w:type="dxa"/>
              <w:left w:w="80" w:type="dxa"/>
              <w:bottom w:w="60" w:type="dxa"/>
              <w:right w:w="80" w:type="dxa"/>
            </w:tcMar>
            <w:vAlign w:val="center"/>
          </w:tcPr>
          <w:p w14:paraId="08192780" w14:textId="77777777" w:rsidR="00861A4D" w:rsidRDefault="00861A4D" w:rsidP="00D156A0">
            <w:pPr>
              <w:spacing w:line="252" w:lineRule="auto"/>
              <w:jc w:val="center"/>
            </w:pPr>
            <w:r>
              <w:rPr>
                <w:rFonts w:ascii="Calibri" w:eastAsia="Calibri" w:hAnsi="Calibri" w:cs="Calibri"/>
                <w:sz w:val="18"/>
                <w:szCs w:val="18"/>
              </w:rPr>
              <w:t xml:space="preserve">£987.2 </w:t>
            </w:r>
            <w:proofErr w:type="spellStart"/>
            <w:r>
              <w:rPr>
                <w:rFonts w:ascii="Calibri" w:eastAsia="Calibri" w:hAnsi="Calibri" w:cs="Calibri"/>
                <w:sz w:val="18"/>
                <w:szCs w:val="18"/>
              </w:rPr>
              <w:t>mn</w:t>
            </w:r>
            <w:proofErr w:type="spellEnd"/>
          </w:p>
        </w:tc>
        <w:tc>
          <w:tcPr>
            <w:tcW w:w="1350" w:type="dxa"/>
            <w:shd w:val="clear" w:color="auto" w:fill="EEF2F6"/>
            <w:tcMar>
              <w:top w:w="60" w:type="dxa"/>
              <w:left w:w="80" w:type="dxa"/>
              <w:bottom w:w="60" w:type="dxa"/>
              <w:right w:w="80" w:type="dxa"/>
            </w:tcMar>
            <w:vAlign w:val="center"/>
          </w:tcPr>
          <w:p w14:paraId="480D1717" w14:textId="77777777" w:rsidR="00861A4D" w:rsidRDefault="00861A4D" w:rsidP="00D156A0">
            <w:pPr>
              <w:spacing w:line="252" w:lineRule="auto"/>
              <w:jc w:val="center"/>
            </w:pPr>
            <w:r>
              <w:rPr>
                <w:rFonts w:ascii="Calibri" w:eastAsia="Calibri" w:hAnsi="Calibri" w:cs="Calibri"/>
                <w:sz w:val="18"/>
                <w:szCs w:val="18"/>
              </w:rPr>
              <w:t>8.8%</w:t>
            </w:r>
          </w:p>
        </w:tc>
        <w:tc>
          <w:tcPr>
            <w:tcW w:w="1500" w:type="dxa"/>
            <w:shd w:val="clear" w:color="auto" w:fill="EEF2F6"/>
            <w:tcMar>
              <w:top w:w="60" w:type="dxa"/>
              <w:left w:w="80" w:type="dxa"/>
              <w:bottom w:w="60" w:type="dxa"/>
              <w:right w:w="80" w:type="dxa"/>
            </w:tcMar>
            <w:vAlign w:val="center"/>
          </w:tcPr>
          <w:p w14:paraId="393BB309" w14:textId="77777777" w:rsidR="00861A4D" w:rsidRDefault="00861A4D" w:rsidP="00D156A0">
            <w:pPr>
              <w:spacing w:line="252" w:lineRule="auto"/>
              <w:jc w:val="center"/>
            </w:pPr>
            <w:r>
              <w:rPr>
                <w:rFonts w:ascii="Calibri" w:eastAsia="Calibri" w:hAnsi="Calibri" w:cs="Calibri"/>
                <w:sz w:val="18"/>
                <w:szCs w:val="18"/>
              </w:rPr>
              <w:t>−25.1%</w:t>
            </w:r>
          </w:p>
        </w:tc>
        <w:tc>
          <w:tcPr>
            <w:tcW w:w="2400" w:type="dxa"/>
            <w:shd w:val="clear" w:color="auto" w:fill="EEF2F6"/>
            <w:tcMar>
              <w:top w:w="60" w:type="dxa"/>
              <w:left w:w="80" w:type="dxa"/>
              <w:bottom w:w="60" w:type="dxa"/>
              <w:right w:w="80" w:type="dxa"/>
            </w:tcMar>
            <w:vAlign w:val="center"/>
          </w:tcPr>
          <w:p w14:paraId="42502667" w14:textId="77777777" w:rsidR="00861A4D" w:rsidRDefault="00861A4D" w:rsidP="00D156A0">
            <w:pPr>
              <w:spacing w:line="252" w:lineRule="auto"/>
              <w:jc w:val="center"/>
            </w:pPr>
            <w:r>
              <w:rPr>
                <w:rFonts w:ascii="Calibri" w:eastAsia="Calibri" w:hAnsi="Calibri" w:cs="Calibri"/>
                <w:sz w:val="18"/>
                <w:szCs w:val="18"/>
              </w:rPr>
              <w:t xml:space="preserve">Largely </w:t>
            </w:r>
            <w:proofErr w:type="spellStart"/>
            <w:r>
              <w:rPr>
                <w:rFonts w:ascii="Calibri" w:eastAsia="Calibri" w:hAnsi="Calibri" w:cs="Calibri"/>
                <w:sz w:val="18"/>
                <w:szCs w:val="18"/>
              </w:rPr>
              <w:t>liberalised</w:t>
            </w:r>
            <w:proofErr w:type="spellEnd"/>
            <w:r>
              <w:rPr>
                <w:rFonts w:ascii="Calibri" w:eastAsia="Calibri" w:hAnsi="Calibri" w:cs="Calibri"/>
                <w:sz w:val="18"/>
                <w:szCs w:val="18"/>
              </w:rPr>
              <w:t>; some energy lines excluded</w:t>
            </w:r>
          </w:p>
        </w:tc>
      </w:tr>
      <w:tr w:rsidR="00861A4D" w14:paraId="7958EEEC" w14:textId="77777777" w:rsidTr="00D156A0">
        <w:tc>
          <w:tcPr>
            <w:tcW w:w="2500" w:type="dxa"/>
            <w:tcMar>
              <w:top w:w="60" w:type="dxa"/>
              <w:left w:w="80" w:type="dxa"/>
              <w:bottom w:w="60" w:type="dxa"/>
              <w:right w:w="80" w:type="dxa"/>
            </w:tcMar>
            <w:vAlign w:val="center"/>
          </w:tcPr>
          <w:p w14:paraId="3E460F9D" w14:textId="77777777" w:rsidR="00861A4D" w:rsidRDefault="00861A4D" w:rsidP="00D156A0">
            <w:pPr>
              <w:spacing w:line="252" w:lineRule="auto"/>
            </w:pPr>
            <w:r>
              <w:rPr>
                <w:rFonts w:ascii="Calibri" w:eastAsia="Calibri" w:hAnsi="Calibri" w:cs="Calibri"/>
                <w:sz w:val="18"/>
                <w:szCs w:val="18"/>
              </w:rPr>
              <w:t>Clothing</w:t>
            </w:r>
          </w:p>
        </w:tc>
        <w:tc>
          <w:tcPr>
            <w:tcW w:w="1550" w:type="dxa"/>
            <w:tcMar>
              <w:top w:w="60" w:type="dxa"/>
              <w:left w:w="80" w:type="dxa"/>
              <w:bottom w:w="60" w:type="dxa"/>
              <w:right w:w="80" w:type="dxa"/>
            </w:tcMar>
            <w:vAlign w:val="center"/>
          </w:tcPr>
          <w:p w14:paraId="20D1D8D2" w14:textId="77777777" w:rsidR="00861A4D" w:rsidRDefault="00861A4D" w:rsidP="00D156A0">
            <w:pPr>
              <w:spacing w:line="252" w:lineRule="auto"/>
              <w:jc w:val="center"/>
            </w:pPr>
            <w:r>
              <w:rPr>
                <w:rFonts w:ascii="Calibri" w:eastAsia="Calibri" w:hAnsi="Calibri" w:cs="Calibri"/>
                <w:sz w:val="18"/>
                <w:szCs w:val="18"/>
              </w:rPr>
              <w:t xml:space="preserve">£952.5 </w:t>
            </w:r>
            <w:proofErr w:type="spellStart"/>
            <w:r>
              <w:rPr>
                <w:rFonts w:ascii="Calibri" w:eastAsia="Calibri" w:hAnsi="Calibri" w:cs="Calibri"/>
                <w:sz w:val="18"/>
                <w:szCs w:val="18"/>
              </w:rPr>
              <w:t>mn</w:t>
            </w:r>
            <w:proofErr w:type="spellEnd"/>
          </w:p>
        </w:tc>
        <w:tc>
          <w:tcPr>
            <w:tcW w:w="1350" w:type="dxa"/>
            <w:tcMar>
              <w:top w:w="60" w:type="dxa"/>
              <w:left w:w="80" w:type="dxa"/>
              <w:bottom w:w="60" w:type="dxa"/>
              <w:right w:w="80" w:type="dxa"/>
            </w:tcMar>
            <w:vAlign w:val="center"/>
          </w:tcPr>
          <w:p w14:paraId="2D77C183" w14:textId="77777777" w:rsidR="00861A4D" w:rsidRDefault="00861A4D" w:rsidP="00D156A0">
            <w:pPr>
              <w:spacing w:line="252" w:lineRule="auto"/>
              <w:jc w:val="center"/>
            </w:pPr>
            <w:r>
              <w:rPr>
                <w:rFonts w:ascii="Calibri" w:eastAsia="Calibri" w:hAnsi="Calibri" w:cs="Calibri"/>
                <w:sz w:val="18"/>
                <w:szCs w:val="18"/>
              </w:rPr>
              <w:t>8.5%</w:t>
            </w:r>
          </w:p>
        </w:tc>
        <w:tc>
          <w:tcPr>
            <w:tcW w:w="1500" w:type="dxa"/>
            <w:tcMar>
              <w:top w:w="60" w:type="dxa"/>
              <w:left w:w="80" w:type="dxa"/>
              <w:bottom w:w="60" w:type="dxa"/>
              <w:right w:w="80" w:type="dxa"/>
            </w:tcMar>
            <w:vAlign w:val="center"/>
          </w:tcPr>
          <w:p w14:paraId="66479488" w14:textId="77777777" w:rsidR="00861A4D" w:rsidRDefault="00861A4D" w:rsidP="00D156A0">
            <w:pPr>
              <w:spacing w:line="252" w:lineRule="auto"/>
              <w:jc w:val="center"/>
            </w:pPr>
            <w:r>
              <w:rPr>
                <w:rFonts w:ascii="Calibri" w:eastAsia="Calibri" w:hAnsi="Calibri" w:cs="Calibri"/>
                <w:sz w:val="18"/>
                <w:szCs w:val="18"/>
              </w:rPr>
              <w:t>+8.7%</w:t>
            </w:r>
          </w:p>
        </w:tc>
        <w:tc>
          <w:tcPr>
            <w:tcW w:w="2400" w:type="dxa"/>
            <w:tcMar>
              <w:top w:w="60" w:type="dxa"/>
              <w:left w:w="80" w:type="dxa"/>
              <w:bottom w:w="60" w:type="dxa"/>
              <w:right w:w="80" w:type="dxa"/>
            </w:tcMar>
            <w:vAlign w:val="center"/>
          </w:tcPr>
          <w:p w14:paraId="631A0C5B" w14:textId="77777777" w:rsidR="00861A4D" w:rsidRDefault="00861A4D" w:rsidP="00D156A0">
            <w:pPr>
              <w:spacing w:line="252" w:lineRule="auto"/>
              <w:jc w:val="center"/>
            </w:pPr>
            <w:r>
              <w:rPr>
                <w:rFonts w:ascii="Calibri" w:eastAsia="Calibri" w:hAnsi="Calibri" w:cs="Calibri"/>
                <w:sz w:val="18"/>
                <w:szCs w:val="18"/>
              </w:rPr>
              <w:t>Zero from Day 1 (was up to 12%)</w:t>
            </w:r>
          </w:p>
        </w:tc>
      </w:tr>
      <w:tr w:rsidR="00861A4D" w14:paraId="0710A3FE" w14:textId="77777777" w:rsidTr="00D156A0">
        <w:tc>
          <w:tcPr>
            <w:tcW w:w="2500" w:type="dxa"/>
            <w:shd w:val="clear" w:color="auto" w:fill="EEF2F6"/>
            <w:tcMar>
              <w:top w:w="60" w:type="dxa"/>
              <w:left w:w="80" w:type="dxa"/>
              <w:bottom w:w="60" w:type="dxa"/>
              <w:right w:w="80" w:type="dxa"/>
            </w:tcMar>
            <w:vAlign w:val="center"/>
          </w:tcPr>
          <w:p w14:paraId="63D2DB34" w14:textId="77777777" w:rsidR="00861A4D" w:rsidRDefault="00861A4D" w:rsidP="00D156A0">
            <w:pPr>
              <w:spacing w:line="252" w:lineRule="auto"/>
            </w:pPr>
            <w:r>
              <w:rPr>
                <w:rFonts w:ascii="Calibri" w:eastAsia="Calibri" w:hAnsi="Calibri" w:cs="Calibri"/>
                <w:sz w:val="18"/>
                <w:szCs w:val="18"/>
              </w:rPr>
              <w:t>Medicinal &amp; pharmaceutical products</w:t>
            </w:r>
          </w:p>
        </w:tc>
        <w:tc>
          <w:tcPr>
            <w:tcW w:w="1550" w:type="dxa"/>
            <w:shd w:val="clear" w:color="auto" w:fill="EEF2F6"/>
            <w:tcMar>
              <w:top w:w="60" w:type="dxa"/>
              <w:left w:w="80" w:type="dxa"/>
              <w:bottom w:w="60" w:type="dxa"/>
              <w:right w:w="80" w:type="dxa"/>
            </w:tcMar>
            <w:vAlign w:val="center"/>
          </w:tcPr>
          <w:p w14:paraId="2B304351" w14:textId="77777777" w:rsidR="00861A4D" w:rsidRDefault="00861A4D" w:rsidP="00D156A0">
            <w:pPr>
              <w:spacing w:line="252" w:lineRule="auto"/>
              <w:jc w:val="center"/>
            </w:pPr>
            <w:r>
              <w:rPr>
                <w:rFonts w:ascii="Calibri" w:eastAsia="Calibri" w:hAnsi="Calibri" w:cs="Calibri"/>
                <w:sz w:val="18"/>
                <w:szCs w:val="18"/>
              </w:rPr>
              <w:t xml:space="preserve">£704.3 </w:t>
            </w:r>
            <w:proofErr w:type="spellStart"/>
            <w:r>
              <w:rPr>
                <w:rFonts w:ascii="Calibri" w:eastAsia="Calibri" w:hAnsi="Calibri" w:cs="Calibri"/>
                <w:sz w:val="18"/>
                <w:szCs w:val="18"/>
              </w:rPr>
              <w:t>mn</w:t>
            </w:r>
            <w:proofErr w:type="spellEnd"/>
          </w:p>
        </w:tc>
        <w:tc>
          <w:tcPr>
            <w:tcW w:w="1350" w:type="dxa"/>
            <w:shd w:val="clear" w:color="auto" w:fill="EEF2F6"/>
            <w:tcMar>
              <w:top w:w="60" w:type="dxa"/>
              <w:left w:w="80" w:type="dxa"/>
              <w:bottom w:w="60" w:type="dxa"/>
              <w:right w:w="80" w:type="dxa"/>
            </w:tcMar>
            <w:vAlign w:val="center"/>
          </w:tcPr>
          <w:p w14:paraId="759343B4" w14:textId="77777777" w:rsidR="00861A4D" w:rsidRDefault="00861A4D" w:rsidP="00D156A0">
            <w:pPr>
              <w:spacing w:line="252" w:lineRule="auto"/>
              <w:jc w:val="center"/>
            </w:pPr>
            <w:r>
              <w:rPr>
                <w:rFonts w:ascii="Calibri" w:eastAsia="Calibri" w:hAnsi="Calibri" w:cs="Calibri"/>
                <w:sz w:val="18"/>
                <w:szCs w:val="18"/>
              </w:rPr>
              <w:t>6.3%</w:t>
            </w:r>
          </w:p>
        </w:tc>
        <w:tc>
          <w:tcPr>
            <w:tcW w:w="1500" w:type="dxa"/>
            <w:shd w:val="clear" w:color="auto" w:fill="EEF2F6"/>
            <w:tcMar>
              <w:top w:w="60" w:type="dxa"/>
              <w:left w:w="80" w:type="dxa"/>
              <w:bottom w:w="60" w:type="dxa"/>
              <w:right w:w="80" w:type="dxa"/>
            </w:tcMar>
            <w:vAlign w:val="center"/>
          </w:tcPr>
          <w:p w14:paraId="2D9942F5" w14:textId="77777777" w:rsidR="00861A4D" w:rsidRDefault="00861A4D" w:rsidP="00D156A0">
            <w:pPr>
              <w:spacing w:line="252" w:lineRule="auto"/>
              <w:jc w:val="center"/>
            </w:pPr>
            <w:r>
              <w:rPr>
                <w:rFonts w:ascii="Calibri" w:eastAsia="Calibri" w:hAnsi="Calibri" w:cs="Calibri"/>
                <w:sz w:val="18"/>
                <w:szCs w:val="18"/>
              </w:rPr>
              <w:t>+5.0%</w:t>
            </w:r>
          </w:p>
        </w:tc>
        <w:tc>
          <w:tcPr>
            <w:tcW w:w="2400" w:type="dxa"/>
            <w:shd w:val="clear" w:color="auto" w:fill="EEF2F6"/>
            <w:tcMar>
              <w:top w:w="60" w:type="dxa"/>
              <w:left w:w="80" w:type="dxa"/>
              <w:bottom w:w="60" w:type="dxa"/>
              <w:right w:w="80" w:type="dxa"/>
            </w:tcMar>
            <w:vAlign w:val="center"/>
          </w:tcPr>
          <w:p w14:paraId="6BAA8080" w14:textId="77777777" w:rsidR="00861A4D" w:rsidRDefault="00861A4D" w:rsidP="00D156A0">
            <w:pPr>
              <w:spacing w:line="252" w:lineRule="auto"/>
              <w:jc w:val="center"/>
            </w:pPr>
            <w:r>
              <w:rPr>
                <w:rFonts w:ascii="Calibri" w:eastAsia="Calibri" w:hAnsi="Calibri" w:cs="Calibri"/>
                <w:sz w:val="18"/>
                <w:szCs w:val="18"/>
              </w:rPr>
              <w:t>Zero from Day 1 (was up to 8%)</w:t>
            </w:r>
          </w:p>
        </w:tc>
      </w:tr>
      <w:tr w:rsidR="00861A4D" w14:paraId="4B996BA0" w14:textId="77777777" w:rsidTr="00D156A0">
        <w:tc>
          <w:tcPr>
            <w:tcW w:w="2500" w:type="dxa"/>
            <w:tcMar>
              <w:top w:w="60" w:type="dxa"/>
              <w:left w:w="80" w:type="dxa"/>
              <w:bottom w:w="60" w:type="dxa"/>
              <w:right w:w="80" w:type="dxa"/>
            </w:tcMar>
            <w:vAlign w:val="center"/>
          </w:tcPr>
          <w:p w14:paraId="246FF38F" w14:textId="77777777" w:rsidR="00861A4D" w:rsidRDefault="00861A4D" w:rsidP="00D156A0">
            <w:pPr>
              <w:spacing w:line="252" w:lineRule="auto"/>
            </w:pPr>
            <w:r>
              <w:rPr>
                <w:rFonts w:ascii="Calibri" w:eastAsia="Calibri" w:hAnsi="Calibri" w:cs="Calibri"/>
                <w:sz w:val="18"/>
                <w:szCs w:val="18"/>
              </w:rPr>
              <w:t>Organic chemicals</w:t>
            </w:r>
          </w:p>
        </w:tc>
        <w:tc>
          <w:tcPr>
            <w:tcW w:w="1550" w:type="dxa"/>
            <w:tcMar>
              <w:top w:w="60" w:type="dxa"/>
              <w:left w:w="80" w:type="dxa"/>
              <w:bottom w:w="60" w:type="dxa"/>
              <w:right w:w="80" w:type="dxa"/>
            </w:tcMar>
            <w:vAlign w:val="center"/>
          </w:tcPr>
          <w:p w14:paraId="75DF75D6" w14:textId="77777777" w:rsidR="00861A4D" w:rsidRDefault="00861A4D" w:rsidP="00D156A0">
            <w:pPr>
              <w:spacing w:line="252" w:lineRule="auto"/>
              <w:jc w:val="center"/>
            </w:pPr>
            <w:r>
              <w:rPr>
                <w:rFonts w:ascii="Calibri" w:eastAsia="Calibri" w:hAnsi="Calibri" w:cs="Calibri"/>
                <w:sz w:val="18"/>
                <w:szCs w:val="18"/>
              </w:rPr>
              <w:t xml:space="preserve">£600.9 </w:t>
            </w:r>
            <w:proofErr w:type="spellStart"/>
            <w:r>
              <w:rPr>
                <w:rFonts w:ascii="Calibri" w:eastAsia="Calibri" w:hAnsi="Calibri" w:cs="Calibri"/>
                <w:sz w:val="18"/>
                <w:szCs w:val="18"/>
              </w:rPr>
              <w:t>mn</w:t>
            </w:r>
            <w:proofErr w:type="spellEnd"/>
          </w:p>
        </w:tc>
        <w:tc>
          <w:tcPr>
            <w:tcW w:w="1350" w:type="dxa"/>
            <w:tcMar>
              <w:top w:w="60" w:type="dxa"/>
              <w:left w:w="80" w:type="dxa"/>
              <w:bottom w:w="60" w:type="dxa"/>
              <w:right w:w="80" w:type="dxa"/>
            </w:tcMar>
            <w:vAlign w:val="center"/>
          </w:tcPr>
          <w:p w14:paraId="18B8781F" w14:textId="77777777" w:rsidR="00861A4D" w:rsidRDefault="00861A4D" w:rsidP="00D156A0">
            <w:pPr>
              <w:spacing w:line="252" w:lineRule="auto"/>
              <w:jc w:val="center"/>
            </w:pPr>
            <w:r>
              <w:rPr>
                <w:rFonts w:ascii="Calibri" w:eastAsia="Calibri" w:hAnsi="Calibri" w:cs="Calibri"/>
                <w:sz w:val="18"/>
                <w:szCs w:val="18"/>
              </w:rPr>
              <w:t>5.4%</w:t>
            </w:r>
          </w:p>
        </w:tc>
        <w:tc>
          <w:tcPr>
            <w:tcW w:w="1500" w:type="dxa"/>
            <w:tcMar>
              <w:top w:w="60" w:type="dxa"/>
              <w:left w:w="80" w:type="dxa"/>
              <w:bottom w:w="60" w:type="dxa"/>
              <w:right w:w="80" w:type="dxa"/>
            </w:tcMar>
            <w:vAlign w:val="center"/>
          </w:tcPr>
          <w:p w14:paraId="77E50DF5" w14:textId="77777777" w:rsidR="00861A4D" w:rsidRDefault="00861A4D" w:rsidP="00D156A0">
            <w:pPr>
              <w:spacing w:line="252" w:lineRule="auto"/>
              <w:jc w:val="center"/>
            </w:pPr>
            <w:r>
              <w:rPr>
                <w:rFonts w:ascii="Calibri" w:eastAsia="Calibri" w:hAnsi="Calibri" w:cs="Calibri"/>
                <w:sz w:val="18"/>
                <w:szCs w:val="18"/>
              </w:rPr>
              <w:t>−10.5%</w:t>
            </w:r>
          </w:p>
        </w:tc>
        <w:tc>
          <w:tcPr>
            <w:tcW w:w="2400" w:type="dxa"/>
            <w:tcMar>
              <w:top w:w="60" w:type="dxa"/>
              <w:left w:w="80" w:type="dxa"/>
              <w:bottom w:w="60" w:type="dxa"/>
              <w:right w:w="80" w:type="dxa"/>
            </w:tcMar>
            <w:vAlign w:val="center"/>
          </w:tcPr>
          <w:p w14:paraId="295561E6" w14:textId="77777777" w:rsidR="00861A4D" w:rsidRDefault="00861A4D" w:rsidP="00D156A0">
            <w:pPr>
              <w:spacing w:line="252" w:lineRule="auto"/>
              <w:jc w:val="center"/>
            </w:pPr>
            <w:r>
              <w:rPr>
                <w:rFonts w:ascii="Calibri" w:eastAsia="Calibri" w:hAnsi="Calibri" w:cs="Calibri"/>
                <w:sz w:val="18"/>
                <w:szCs w:val="18"/>
              </w:rPr>
              <w:t>Zero from Day 1 (was up to 8%)</w:t>
            </w:r>
          </w:p>
        </w:tc>
      </w:tr>
    </w:tbl>
    <w:p w14:paraId="57C2C65F" w14:textId="77777777" w:rsidR="00861A4D" w:rsidRDefault="00861A4D" w:rsidP="00861A4D">
      <w:pPr>
        <w:spacing w:before="60" w:after="200"/>
      </w:pPr>
      <w:r>
        <w:rPr>
          <w:rFonts w:ascii="Calibri" w:eastAsia="Calibri" w:hAnsi="Calibri" w:cs="Calibri"/>
          <w:i/>
          <w:iCs/>
          <w:color w:val="5A6570"/>
          <w:sz w:val="15"/>
          <w:szCs w:val="15"/>
        </w:rPr>
        <w:lastRenderedPageBreak/>
        <w:t xml:space="preserve">Source: UK Department for Business and Trade, “Trade and investment factsheet: India” (23 June 2026), ONS trade-in-goods-by-commodity, non-seasonally adjusted; reporting period 12 months to end-December 2025. Shares are as published by ONS. Tariff positions cross-checked against PIB Backgrounder and FIEO chapter-wise concession </w:t>
      </w:r>
      <w:proofErr w:type="gramStart"/>
      <w:r>
        <w:rPr>
          <w:rFonts w:ascii="Calibri" w:eastAsia="Calibri" w:hAnsi="Calibri" w:cs="Calibri"/>
          <w:i/>
          <w:iCs/>
          <w:color w:val="5A6570"/>
          <w:sz w:val="15"/>
          <w:szCs w:val="15"/>
        </w:rPr>
        <w:t>note</w:t>
      </w:r>
      <w:proofErr w:type="gramEnd"/>
      <w:r>
        <w:rPr>
          <w:rFonts w:ascii="Calibri" w:eastAsia="Calibri" w:hAnsi="Calibri" w:cs="Calibri"/>
          <w:i/>
          <w:iCs/>
          <w:color w:val="5A6570"/>
          <w:sz w:val="15"/>
          <w:szCs w:val="15"/>
        </w:rPr>
        <w:t>.</w:t>
      </w:r>
    </w:p>
    <w:p w14:paraId="6640FDE8" w14:textId="77777777" w:rsidR="00861A4D" w:rsidRDefault="00861A4D" w:rsidP="00861A4D">
      <w:pPr>
        <w:spacing w:after="160" w:line="288" w:lineRule="auto"/>
        <w:jc w:val="both"/>
      </w:pPr>
      <w:r>
        <w:t xml:space="preserve">For total UK goods imports from India of </w:t>
      </w:r>
      <w:r>
        <w:rPr>
          <w:b/>
          <w:bCs/>
        </w:rPr>
        <w:t>£11.2 billion</w:t>
      </w:r>
      <w:r>
        <w:t xml:space="preserve"> and total services imports of </w:t>
      </w:r>
      <w:r>
        <w:rPr>
          <w:b/>
          <w:bCs/>
        </w:rPr>
        <w:t>£17.5 billion</w:t>
      </w:r>
      <w:r>
        <w:t xml:space="preserve"> (61% of the bilateral import basket), services dominate: Other Business Services alone were £11.7 billion (66.7% of services imports), telecommunications/computer/information services £2.3 billion (13.3%), and travel £2.3 billion (13.1%). </w:t>
      </w:r>
      <w:r>
        <w:rPr>
          <w:rStyle w:val="FootnoteReference"/>
        </w:rPr>
        <w:footnoteReference w:id="21"/>
      </w:r>
      <w:r>
        <w:t>This confirms that the India-to-UK relationship is, in value terms, primarily a services relationship — a point that reshapes the advisory ranking in Part 9.</w:t>
      </w:r>
    </w:p>
    <w:p w14:paraId="66598D7D" w14:textId="77777777" w:rsidR="00861A4D" w:rsidRDefault="00861A4D" w:rsidP="00861A4D">
      <w:r>
        <w:br w:type="page"/>
      </w:r>
    </w:p>
    <w:p w14:paraId="1495D6F2" w14:textId="77777777" w:rsidR="00861A4D" w:rsidRDefault="00861A4D" w:rsidP="00861A4D">
      <w:pPr>
        <w:pStyle w:val="Heading2"/>
        <w:spacing w:before="240" w:after="120"/>
      </w:pPr>
      <w:proofErr w:type="gramStart"/>
      <w:r>
        <w:lastRenderedPageBreak/>
        <w:t>4.4  Table</w:t>
      </w:r>
      <w:proofErr w:type="gramEnd"/>
      <w:r>
        <w:t xml:space="preserve"> 2 — The UK’s exports to India (India’s imports from the UK), top commodities</w:t>
      </w:r>
    </w:p>
    <w:tbl>
      <w:tblPr>
        <w:tblW w:w="9300" w:type="dxa"/>
        <w:tblBorders>
          <w:top w:val="single" w:sz="4" w:space="0" w:color="9AA5B1"/>
          <w:bottom w:val="single" w:sz="4" w:space="0" w:color="9AA5B1"/>
          <w:insideH w:val="single" w:sz="2" w:space="0" w:color="D5DBE1"/>
        </w:tblBorders>
        <w:tblCellMar>
          <w:left w:w="10" w:type="dxa"/>
          <w:right w:w="10" w:type="dxa"/>
        </w:tblCellMar>
        <w:tblLook w:val="04A0" w:firstRow="1" w:lastRow="0" w:firstColumn="1" w:lastColumn="0" w:noHBand="0" w:noVBand="1"/>
      </w:tblPr>
      <w:tblGrid>
        <w:gridCol w:w="2500"/>
        <w:gridCol w:w="1550"/>
        <w:gridCol w:w="1350"/>
        <w:gridCol w:w="1500"/>
        <w:gridCol w:w="2400"/>
      </w:tblGrid>
      <w:tr w:rsidR="00861A4D" w14:paraId="52AF3E69" w14:textId="77777777" w:rsidTr="00D156A0">
        <w:trPr>
          <w:tblHeader/>
        </w:trPr>
        <w:tc>
          <w:tcPr>
            <w:tcW w:w="2500" w:type="dxa"/>
            <w:shd w:val="clear" w:color="auto" w:fill="16324F"/>
            <w:tcMar>
              <w:top w:w="60" w:type="dxa"/>
              <w:left w:w="80" w:type="dxa"/>
              <w:bottom w:w="60" w:type="dxa"/>
              <w:right w:w="80" w:type="dxa"/>
            </w:tcMar>
            <w:vAlign w:val="center"/>
          </w:tcPr>
          <w:p w14:paraId="5363AFEB" w14:textId="77777777" w:rsidR="00861A4D" w:rsidRDefault="00861A4D" w:rsidP="00D156A0">
            <w:pPr>
              <w:spacing w:line="252" w:lineRule="auto"/>
            </w:pPr>
            <w:r>
              <w:rPr>
                <w:rFonts w:ascii="Calibri" w:eastAsia="Calibri" w:hAnsi="Calibri" w:cs="Calibri"/>
                <w:b/>
                <w:bCs/>
                <w:color w:val="FFFFFF"/>
                <w:sz w:val="18"/>
                <w:szCs w:val="18"/>
              </w:rPr>
              <w:t>Commodity (SITC class, UK-reported)</w:t>
            </w:r>
          </w:p>
        </w:tc>
        <w:tc>
          <w:tcPr>
            <w:tcW w:w="1550" w:type="dxa"/>
            <w:shd w:val="clear" w:color="auto" w:fill="16324F"/>
            <w:tcMar>
              <w:top w:w="60" w:type="dxa"/>
              <w:left w:w="80" w:type="dxa"/>
              <w:bottom w:w="60" w:type="dxa"/>
              <w:right w:w="80" w:type="dxa"/>
            </w:tcMar>
            <w:vAlign w:val="center"/>
          </w:tcPr>
          <w:p w14:paraId="3260B871" w14:textId="77777777" w:rsidR="00861A4D" w:rsidRDefault="00861A4D" w:rsidP="00D156A0">
            <w:pPr>
              <w:spacing w:line="252" w:lineRule="auto"/>
              <w:jc w:val="center"/>
            </w:pPr>
            <w:r>
              <w:rPr>
                <w:rFonts w:ascii="Calibri" w:eastAsia="Calibri" w:hAnsi="Calibri" w:cs="Calibri"/>
                <w:b/>
                <w:bCs/>
                <w:color w:val="FFFFFF"/>
                <w:sz w:val="18"/>
                <w:szCs w:val="18"/>
              </w:rPr>
              <w:t>Value (12m to Q4 2025)</w:t>
            </w:r>
          </w:p>
        </w:tc>
        <w:tc>
          <w:tcPr>
            <w:tcW w:w="1350" w:type="dxa"/>
            <w:shd w:val="clear" w:color="auto" w:fill="16324F"/>
            <w:tcMar>
              <w:top w:w="60" w:type="dxa"/>
              <w:left w:w="80" w:type="dxa"/>
              <w:bottom w:w="60" w:type="dxa"/>
              <w:right w:w="80" w:type="dxa"/>
            </w:tcMar>
            <w:vAlign w:val="center"/>
          </w:tcPr>
          <w:p w14:paraId="43909A5F" w14:textId="77777777" w:rsidR="00861A4D" w:rsidRDefault="00861A4D" w:rsidP="00D156A0">
            <w:pPr>
              <w:spacing w:line="252" w:lineRule="auto"/>
              <w:jc w:val="center"/>
            </w:pPr>
            <w:r>
              <w:rPr>
                <w:rFonts w:ascii="Calibri" w:eastAsia="Calibri" w:hAnsi="Calibri" w:cs="Calibri"/>
                <w:b/>
                <w:bCs/>
                <w:color w:val="FFFFFF"/>
                <w:sz w:val="18"/>
                <w:szCs w:val="18"/>
              </w:rPr>
              <w:t>Share of UK goods exports to India</w:t>
            </w:r>
          </w:p>
        </w:tc>
        <w:tc>
          <w:tcPr>
            <w:tcW w:w="1500" w:type="dxa"/>
            <w:shd w:val="clear" w:color="auto" w:fill="16324F"/>
            <w:tcMar>
              <w:top w:w="60" w:type="dxa"/>
              <w:left w:w="80" w:type="dxa"/>
              <w:bottom w:w="60" w:type="dxa"/>
              <w:right w:w="80" w:type="dxa"/>
            </w:tcMar>
            <w:vAlign w:val="center"/>
          </w:tcPr>
          <w:p w14:paraId="1D7F07C1" w14:textId="77777777" w:rsidR="00861A4D" w:rsidRDefault="00861A4D" w:rsidP="00D156A0">
            <w:pPr>
              <w:spacing w:line="252" w:lineRule="auto"/>
              <w:jc w:val="center"/>
            </w:pPr>
            <w:r>
              <w:rPr>
                <w:rFonts w:ascii="Calibri" w:eastAsia="Calibri" w:hAnsi="Calibri" w:cs="Calibri"/>
                <w:b/>
                <w:bCs/>
                <w:color w:val="FFFFFF"/>
                <w:sz w:val="18"/>
                <w:szCs w:val="18"/>
              </w:rPr>
              <w:t>YoY change</w:t>
            </w:r>
          </w:p>
        </w:tc>
        <w:tc>
          <w:tcPr>
            <w:tcW w:w="2400" w:type="dxa"/>
            <w:shd w:val="clear" w:color="auto" w:fill="16324F"/>
            <w:tcMar>
              <w:top w:w="60" w:type="dxa"/>
              <w:left w:w="80" w:type="dxa"/>
              <w:bottom w:w="60" w:type="dxa"/>
              <w:right w:w="80" w:type="dxa"/>
            </w:tcMar>
            <w:vAlign w:val="center"/>
          </w:tcPr>
          <w:p w14:paraId="2D593767" w14:textId="77777777" w:rsidR="00861A4D" w:rsidRDefault="00861A4D" w:rsidP="00D156A0">
            <w:pPr>
              <w:spacing w:line="252" w:lineRule="auto"/>
              <w:jc w:val="center"/>
            </w:pPr>
            <w:r>
              <w:rPr>
                <w:rFonts w:ascii="Calibri" w:eastAsia="Calibri" w:hAnsi="Calibri" w:cs="Calibri"/>
                <w:b/>
                <w:bCs/>
                <w:color w:val="FFFFFF"/>
                <w:sz w:val="18"/>
                <w:szCs w:val="18"/>
              </w:rPr>
              <w:t>CETA tariff position (India side)</w:t>
            </w:r>
          </w:p>
        </w:tc>
      </w:tr>
      <w:tr w:rsidR="00861A4D" w14:paraId="345DC6A5" w14:textId="77777777" w:rsidTr="00D156A0">
        <w:tc>
          <w:tcPr>
            <w:tcW w:w="2500" w:type="dxa"/>
            <w:tcMar>
              <w:top w:w="60" w:type="dxa"/>
              <w:left w:w="80" w:type="dxa"/>
              <w:bottom w:w="60" w:type="dxa"/>
              <w:right w:w="80" w:type="dxa"/>
            </w:tcMar>
            <w:vAlign w:val="center"/>
          </w:tcPr>
          <w:p w14:paraId="27FA33BD" w14:textId="77777777" w:rsidR="00861A4D" w:rsidRDefault="00861A4D" w:rsidP="00D156A0">
            <w:pPr>
              <w:spacing w:line="252" w:lineRule="auto"/>
            </w:pPr>
            <w:r>
              <w:rPr>
                <w:rFonts w:ascii="Calibri" w:eastAsia="Calibri" w:hAnsi="Calibri" w:cs="Calibri"/>
                <w:sz w:val="18"/>
                <w:szCs w:val="18"/>
              </w:rPr>
              <w:t>Metal ores &amp; scrap</w:t>
            </w:r>
          </w:p>
        </w:tc>
        <w:tc>
          <w:tcPr>
            <w:tcW w:w="1550" w:type="dxa"/>
            <w:tcMar>
              <w:top w:w="60" w:type="dxa"/>
              <w:left w:w="80" w:type="dxa"/>
              <w:bottom w:w="60" w:type="dxa"/>
              <w:right w:w="80" w:type="dxa"/>
            </w:tcMar>
            <w:vAlign w:val="center"/>
          </w:tcPr>
          <w:p w14:paraId="449F9B39" w14:textId="77777777" w:rsidR="00861A4D" w:rsidRDefault="00861A4D" w:rsidP="00D156A0">
            <w:pPr>
              <w:spacing w:line="252" w:lineRule="auto"/>
              <w:jc w:val="center"/>
            </w:pPr>
            <w:r>
              <w:rPr>
                <w:rFonts w:ascii="Calibri" w:eastAsia="Calibri" w:hAnsi="Calibri" w:cs="Calibri"/>
                <w:sz w:val="18"/>
                <w:szCs w:val="18"/>
              </w:rPr>
              <w:t xml:space="preserve">£815.9 </w:t>
            </w:r>
            <w:proofErr w:type="spellStart"/>
            <w:r>
              <w:rPr>
                <w:rFonts w:ascii="Calibri" w:eastAsia="Calibri" w:hAnsi="Calibri" w:cs="Calibri"/>
                <w:sz w:val="18"/>
                <w:szCs w:val="18"/>
              </w:rPr>
              <w:t>mn</w:t>
            </w:r>
            <w:proofErr w:type="spellEnd"/>
          </w:p>
        </w:tc>
        <w:tc>
          <w:tcPr>
            <w:tcW w:w="1350" w:type="dxa"/>
            <w:tcMar>
              <w:top w:w="60" w:type="dxa"/>
              <w:left w:w="80" w:type="dxa"/>
              <w:bottom w:w="60" w:type="dxa"/>
              <w:right w:w="80" w:type="dxa"/>
            </w:tcMar>
            <w:vAlign w:val="center"/>
          </w:tcPr>
          <w:p w14:paraId="3A12B113" w14:textId="77777777" w:rsidR="00861A4D" w:rsidRDefault="00861A4D" w:rsidP="00D156A0">
            <w:pPr>
              <w:spacing w:line="252" w:lineRule="auto"/>
              <w:jc w:val="center"/>
            </w:pPr>
            <w:r>
              <w:rPr>
                <w:rFonts w:ascii="Calibri" w:eastAsia="Calibri" w:hAnsi="Calibri" w:cs="Calibri"/>
                <w:sz w:val="18"/>
                <w:szCs w:val="18"/>
              </w:rPr>
              <w:t>13.8%</w:t>
            </w:r>
          </w:p>
        </w:tc>
        <w:tc>
          <w:tcPr>
            <w:tcW w:w="1500" w:type="dxa"/>
            <w:tcMar>
              <w:top w:w="60" w:type="dxa"/>
              <w:left w:w="80" w:type="dxa"/>
              <w:bottom w:w="60" w:type="dxa"/>
              <w:right w:w="80" w:type="dxa"/>
            </w:tcMar>
            <w:vAlign w:val="center"/>
          </w:tcPr>
          <w:p w14:paraId="7A1FF7CC" w14:textId="77777777" w:rsidR="00861A4D" w:rsidRDefault="00861A4D" w:rsidP="00D156A0">
            <w:pPr>
              <w:spacing w:line="252" w:lineRule="auto"/>
              <w:jc w:val="center"/>
            </w:pPr>
            <w:r>
              <w:rPr>
                <w:rFonts w:ascii="Calibri" w:eastAsia="Calibri" w:hAnsi="Calibri" w:cs="Calibri"/>
                <w:sz w:val="18"/>
                <w:szCs w:val="18"/>
              </w:rPr>
              <w:t>−5.9%</w:t>
            </w:r>
          </w:p>
        </w:tc>
        <w:tc>
          <w:tcPr>
            <w:tcW w:w="2400" w:type="dxa"/>
            <w:tcMar>
              <w:top w:w="60" w:type="dxa"/>
              <w:left w:w="80" w:type="dxa"/>
              <w:bottom w:w="60" w:type="dxa"/>
              <w:right w:w="80" w:type="dxa"/>
            </w:tcMar>
            <w:vAlign w:val="center"/>
          </w:tcPr>
          <w:p w14:paraId="37723B68" w14:textId="77777777" w:rsidR="00861A4D" w:rsidRDefault="00861A4D" w:rsidP="00D156A0">
            <w:pPr>
              <w:spacing w:line="252" w:lineRule="auto"/>
              <w:jc w:val="center"/>
            </w:pPr>
            <w:r>
              <w:rPr>
                <w:rFonts w:ascii="Calibri" w:eastAsia="Calibri" w:hAnsi="Calibri" w:cs="Calibri"/>
                <w:sz w:val="18"/>
                <w:szCs w:val="18"/>
              </w:rPr>
              <w:t xml:space="preserve">Phased / mostly </w:t>
            </w:r>
            <w:proofErr w:type="spellStart"/>
            <w:r>
              <w:rPr>
                <w:rFonts w:ascii="Calibri" w:eastAsia="Calibri" w:hAnsi="Calibri" w:cs="Calibri"/>
                <w:sz w:val="18"/>
                <w:szCs w:val="18"/>
              </w:rPr>
              <w:t>liberalised</w:t>
            </w:r>
            <w:proofErr w:type="spellEnd"/>
          </w:p>
        </w:tc>
      </w:tr>
      <w:tr w:rsidR="00861A4D" w14:paraId="1089C45A" w14:textId="77777777" w:rsidTr="00D156A0">
        <w:tc>
          <w:tcPr>
            <w:tcW w:w="2500" w:type="dxa"/>
            <w:shd w:val="clear" w:color="auto" w:fill="EEF2F6"/>
            <w:tcMar>
              <w:top w:w="60" w:type="dxa"/>
              <w:left w:w="80" w:type="dxa"/>
              <w:bottom w:w="60" w:type="dxa"/>
              <w:right w:w="80" w:type="dxa"/>
            </w:tcMar>
            <w:vAlign w:val="center"/>
          </w:tcPr>
          <w:p w14:paraId="0C9A74D2" w14:textId="77777777" w:rsidR="00861A4D" w:rsidRDefault="00861A4D" w:rsidP="00D156A0">
            <w:pPr>
              <w:spacing w:line="252" w:lineRule="auto"/>
            </w:pPr>
            <w:r>
              <w:rPr>
                <w:rFonts w:ascii="Calibri" w:eastAsia="Calibri" w:hAnsi="Calibri" w:cs="Calibri"/>
                <w:sz w:val="18"/>
                <w:szCs w:val="18"/>
              </w:rPr>
              <w:t>Mechanical power generators (intermediate)</w:t>
            </w:r>
          </w:p>
        </w:tc>
        <w:tc>
          <w:tcPr>
            <w:tcW w:w="1550" w:type="dxa"/>
            <w:shd w:val="clear" w:color="auto" w:fill="EEF2F6"/>
            <w:tcMar>
              <w:top w:w="60" w:type="dxa"/>
              <w:left w:w="80" w:type="dxa"/>
              <w:bottom w:w="60" w:type="dxa"/>
              <w:right w:w="80" w:type="dxa"/>
            </w:tcMar>
            <w:vAlign w:val="center"/>
          </w:tcPr>
          <w:p w14:paraId="1C805DB4" w14:textId="77777777" w:rsidR="00861A4D" w:rsidRDefault="00861A4D" w:rsidP="00D156A0">
            <w:pPr>
              <w:spacing w:line="252" w:lineRule="auto"/>
              <w:jc w:val="center"/>
            </w:pPr>
            <w:r>
              <w:rPr>
                <w:rFonts w:ascii="Calibri" w:eastAsia="Calibri" w:hAnsi="Calibri" w:cs="Calibri"/>
                <w:sz w:val="18"/>
                <w:szCs w:val="18"/>
              </w:rPr>
              <w:t xml:space="preserve">£680.8 </w:t>
            </w:r>
            <w:proofErr w:type="spellStart"/>
            <w:r>
              <w:rPr>
                <w:rFonts w:ascii="Calibri" w:eastAsia="Calibri" w:hAnsi="Calibri" w:cs="Calibri"/>
                <w:sz w:val="18"/>
                <w:szCs w:val="18"/>
              </w:rPr>
              <w:t>mn</w:t>
            </w:r>
            <w:proofErr w:type="spellEnd"/>
          </w:p>
        </w:tc>
        <w:tc>
          <w:tcPr>
            <w:tcW w:w="1350" w:type="dxa"/>
            <w:shd w:val="clear" w:color="auto" w:fill="EEF2F6"/>
            <w:tcMar>
              <w:top w:w="60" w:type="dxa"/>
              <w:left w:w="80" w:type="dxa"/>
              <w:bottom w:w="60" w:type="dxa"/>
              <w:right w:w="80" w:type="dxa"/>
            </w:tcMar>
            <w:vAlign w:val="center"/>
          </w:tcPr>
          <w:p w14:paraId="03978BD3" w14:textId="77777777" w:rsidR="00861A4D" w:rsidRDefault="00861A4D" w:rsidP="00D156A0">
            <w:pPr>
              <w:spacing w:line="252" w:lineRule="auto"/>
              <w:jc w:val="center"/>
            </w:pPr>
            <w:r>
              <w:rPr>
                <w:rFonts w:ascii="Calibri" w:eastAsia="Calibri" w:hAnsi="Calibri" w:cs="Calibri"/>
                <w:sz w:val="18"/>
                <w:szCs w:val="18"/>
              </w:rPr>
              <w:t>11.5%</w:t>
            </w:r>
          </w:p>
        </w:tc>
        <w:tc>
          <w:tcPr>
            <w:tcW w:w="1500" w:type="dxa"/>
            <w:shd w:val="clear" w:color="auto" w:fill="EEF2F6"/>
            <w:tcMar>
              <w:top w:w="60" w:type="dxa"/>
              <w:left w:w="80" w:type="dxa"/>
              <w:bottom w:w="60" w:type="dxa"/>
              <w:right w:w="80" w:type="dxa"/>
            </w:tcMar>
            <w:vAlign w:val="center"/>
          </w:tcPr>
          <w:p w14:paraId="67DBD16D" w14:textId="77777777" w:rsidR="00861A4D" w:rsidRDefault="00861A4D" w:rsidP="00D156A0">
            <w:pPr>
              <w:spacing w:line="252" w:lineRule="auto"/>
              <w:jc w:val="center"/>
            </w:pPr>
            <w:r>
              <w:rPr>
                <w:rFonts w:ascii="Calibri" w:eastAsia="Calibri" w:hAnsi="Calibri" w:cs="Calibri"/>
                <w:sz w:val="18"/>
                <w:szCs w:val="18"/>
              </w:rPr>
              <w:t>+5.2%</w:t>
            </w:r>
          </w:p>
        </w:tc>
        <w:tc>
          <w:tcPr>
            <w:tcW w:w="2400" w:type="dxa"/>
            <w:shd w:val="clear" w:color="auto" w:fill="EEF2F6"/>
            <w:tcMar>
              <w:top w:w="60" w:type="dxa"/>
              <w:left w:w="80" w:type="dxa"/>
              <w:bottom w:w="60" w:type="dxa"/>
              <w:right w:w="80" w:type="dxa"/>
            </w:tcMar>
            <w:vAlign w:val="center"/>
          </w:tcPr>
          <w:p w14:paraId="76FE3024" w14:textId="77777777" w:rsidR="00861A4D" w:rsidRDefault="00861A4D" w:rsidP="00D156A0">
            <w:pPr>
              <w:spacing w:line="252" w:lineRule="auto"/>
              <w:jc w:val="center"/>
            </w:pPr>
            <w:r>
              <w:rPr>
                <w:rFonts w:ascii="Calibri" w:eastAsia="Calibri" w:hAnsi="Calibri" w:cs="Calibri"/>
                <w:sz w:val="18"/>
                <w:szCs w:val="18"/>
              </w:rPr>
              <w:t>Phased reduction (5/7/10 yr)</w:t>
            </w:r>
          </w:p>
        </w:tc>
      </w:tr>
      <w:tr w:rsidR="00861A4D" w14:paraId="150FFC47" w14:textId="77777777" w:rsidTr="00D156A0">
        <w:tc>
          <w:tcPr>
            <w:tcW w:w="2500" w:type="dxa"/>
            <w:tcMar>
              <w:top w:w="60" w:type="dxa"/>
              <w:left w:w="80" w:type="dxa"/>
              <w:bottom w:w="60" w:type="dxa"/>
              <w:right w:w="80" w:type="dxa"/>
            </w:tcMar>
            <w:vAlign w:val="center"/>
          </w:tcPr>
          <w:p w14:paraId="103E5A22" w14:textId="77777777" w:rsidR="00861A4D" w:rsidRDefault="00861A4D" w:rsidP="00D156A0">
            <w:pPr>
              <w:spacing w:line="252" w:lineRule="auto"/>
            </w:pPr>
            <w:r>
              <w:rPr>
                <w:rFonts w:ascii="Calibri" w:eastAsia="Calibri" w:hAnsi="Calibri" w:cs="Calibri"/>
                <w:sz w:val="18"/>
                <w:szCs w:val="18"/>
              </w:rPr>
              <w:t>Non-ferrous metals</w:t>
            </w:r>
          </w:p>
        </w:tc>
        <w:tc>
          <w:tcPr>
            <w:tcW w:w="1550" w:type="dxa"/>
            <w:tcMar>
              <w:top w:w="60" w:type="dxa"/>
              <w:left w:w="80" w:type="dxa"/>
              <w:bottom w:w="60" w:type="dxa"/>
              <w:right w:w="80" w:type="dxa"/>
            </w:tcMar>
            <w:vAlign w:val="center"/>
          </w:tcPr>
          <w:p w14:paraId="43148EFC" w14:textId="77777777" w:rsidR="00861A4D" w:rsidRDefault="00861A4D" w:rsidP="00D156A0">
            <w:pPr>
              <w:spacing w:line="252" w:lineRule="auto"/>
              <w:jc w:val="center"/>
            </w:pPr>
            <w:r>
              <w:rPr>
                <w:rFonts w:ascii="Calibri" w:eastAsia="Calibri" w:hAnsi="Calibri" w:cs="Calibri"/>
                <w:sz w:val="18"/>
                <w:szCs w:val="18"/>
              </w:rPr>
              <w:t xml:space="preserve">£556.7 </w:t>
            </w:r>
            <w:proofErr w:type="spellStart"/>
            <w:r>
              <w:rPr>
                <w:rFonts w:ascii="Calibri" w:eastAsia="Calibri" w:hAnsi="Calibri" w:cs="Calibri"/>
                <w:sz w:val="18"/>
                <w:szCs w:val="18"/>
              </w:rPr>
              <w:t>mn</w:t>
            </w:r>
            <w:proofErr w:type="spellEnd"/>
          </w:p>
        </w:tc>
        <w:tc>
          <w:tcPr>
            <w:tcW w:w="1350" w:type="dxa"/>
            <w:tcMar>
              <w:top w:w="60" w:type="dxa"/>
              <w:left w:w="80" w:type="dxa"/>
              <w:bottom w:w="60" w:type="dxa"/>
              <w:right w:w="80" w:type="dxa"/>
            </w:tcMar>
            <w:vAlign w:val="center"/>
          </w:tcPr>
          <w:p w14:paraId="06BE4213" w14:textId="77777777" w:rsidR="00861A4D" w:rsidRDefault="00861A4D" w:rsidP="00D156A0">
            <w:pPr>
              <w:spacing w:line="252" w:lineRule="auto"/>
              <w:jc w:val="center"/>
            </w:pPr>
            <w:r>
              <w:rPr>
                <w:rFonts w:ascii="Calibri" w:eastAsia="Calibri" w:hAnsi="Calibri" w:cs="Calibri"/>
                <w:sz w:val="18"/>
                <w:szCs w:val="18"/>
              </w:rPr>
              <w:t>9.4%</w:t>
            </w:r>
          </w:p>
        </w:tc>
        <w:tc>
          <w:tcPr>
            <w:tcW w:w="1500" w:type="dxa"/>
            <w:tcMar>
              <w:top w:w="60" w:type="dxa"/>
              <w:left w:w="80" w:type="dxa"/>
              <w:bottom w:w="60" w:type="dxa"/>
              <w:right w:w="80" w:type="dxa"/>
            </w:tcMar>
            <w:vAlign w:val="center"/>
          </w:tcPr>
          <w:p w14:paraId="4BF9954A" w14:textId="77777777" w:rsidR="00861A4D" w:rsidRDefault="00861A4D" w:rsidP="00D156A0">
            <w:pPr>
              <w:spacing w:line="252" w:lineRule="auto"/>
              <w:jc w:val="center"/>
            </w:pPr>
            <w:r>
              <w:rPr>
                <w:rFonts w:ascii="Calibri" w:eastAsia="Calibri" w:hAnsi="Calibri" w:cs="Calibri"/>
                <w:sz w:val="18"/>
                <w:szCs w:val="18"/>
              </w:rPr>
              <w:t>−41.2%</w:t>
            </w:r>
          </w:p>
        </w:tc>
        <w:tc>
          <w:tcPr>
            <w:tcW w:w="2400" w:type="dxa"/>
            <w:tcMar>
              <w:top w:w="60" w:type="dxa"/>
              <w:left w:w="80" w:type="dxa"/>
              <w:bottom w:w="60" w:type="dxa"/>
              <w:right w:w="80" w:type="dxa"/>
            </w:tcMar>
            <w:vAlign w:val="center"/>
          </w:tcPr>
          <w:p w14:paraId="40E10F2D" w14:textId="77777777" w:rsidR="00861A4D" w:rsidRDefault="00861A4D" w:rsidP="00D156A0">
            <w:pPr>
              <w:spacing w:line="252" w:lineRule="auto"/>
              <w:jc w:val="center"/>
            </w:pPr>
            <w:r>
              <w:rPr>
                <w:rFonts w:ascii="Calibri" w:eastAsia="Calibri" w:hAnsi="Calibri" w:cs="Calibri"/>
                <w:sz w:val="18"/>
                <w:szCs w:val="18"/>
              </w:rPr>
              <w:t>Phased reduction</w:t>
            </w:r>
          </w:p>
        </w:tc>
      </w:tr>
      <w:tr w:rsidR="00861A4D" w14:paraId="2649C133" w14:textId="77777777" w:rsidTr="00D156A0">
        <w:tc>
          <w:tcPr>
            <w:tcW w:w="2500" w:type="dxa"/>
            <w:shd w:val="clear" w:color="auto" w:fill="EEF2F6"/>
            <w:tcMar>
              <w:top w:w="60" w:type="dxa"/>
              <w:left w:w="80" w:type="dxa"/>
              <w:bottom w:w="60" w:type="dxa"/>
              <w:right w:w="80" w:type="dxa"/>
            </w:tcMar>
            <w:vAlign w:val="center"/>
          </w:tcPr>
          <w:p w14:paraId="214DFBD9" w14:textId="77777777" w:rsidR="00861A4D" w:rsidRDefault="00861A4D" w:rsidP="00D156A0">
            <w:pPr>
              <w:spacing w:line="252" w:lineRule="auto"/>
            </w:pPr>
            <w:r>
              <w:rPr>
                <w:rFonts w:ascii="Calibri" w:eastAsia="Calibri" w:hAnsi="Calibri" w:cs="Calibri"/>
                <w:sz w:val="18"/>
                <w:szCs w:val="18"/>
              </w:rPr>
              <w:t>Beverages &amp; tobacco (incl. Scotch whisky)</w:t>
            </w:r>
          </w:p>
        </w:tc>
        <w:tc>
          <w:tcPr>
            <w:tcW w:w="1550" w:type="dxa"/>
            <w:shd w:val="clear" w:color="auto" w:fill="EEF2F6"/>
            <w:tcMar>
              <w:top w:w="60" w:type="dxa"/>
              <w:left w:w="80" w:type="dxa"/>
              <w:bottom w:w="60" w:type="dxa"/>
              <w:right w:w="80" w:type="dxa"/>
            </w:tcMar>
            <w:vAlign w:val="center"/>
          </w:tcPr>
          <w:p w14:paraId="47C37552" w14:textId="77777777" w:rsidR="00861A4D" w:rsidRDefault="00861A4D" w:rsidP="00D156A0">
            <w:pPr>
              <w:spacing w:line="252" w:lineRule="auto"/>
              <w:jc w:val="center"/>
            </w:pPr>
            <w:r>
              <w:rPr>
                <w:rFonts w:ascii="Calibri" w:eastAsia="Calibri" w:hAnsi="Calibri" w:cs="Calibri"/>
                <w:sz w:val="18"/>
                <w:szCs w:val="18"/>
              </w:rPr>
              <w:t xml:space="preserve">£302.2 </w:t>
            </w:r>
            <w:proofErr w:type="spellStart"/>
            <w:r>
              <w:rPr>
                <w:rFonts w:ascii="Calibri" w:eastAsia="Calibri" w:hAnsi="Calibri" w:cs="Calibri"/>
                <w:sz w:val="18"/>
                <w:szCs w:val="18"/>
              </w:rPr>
              <w:t>mn</w:t>
            </w:r>
            <w:proofErr w:type="spellEnd"/>
          </w:p>
        </w:tc>
        <w:tc>
          <w:tcPr>
            <w:tcW w:w="1350" w:type="dxa"/>
            <w:shd w:val="clear" w:color="auto" w:fill="EEF2F6"/>
            <w:tcMar>
              <w:top w:w="60" w:type="dxa"/>
              <w:left w:w="80" w:type="dxa"/>
              <w:bottom w:w="60" w:type="dxa"/>
              <w:right w:w="80" w:type="dxa"/>
            </w:tcMar>
            <w:vAlign w:val="center"/>
          </w:tcPr>
          <w:p w14:paraId="30789B30" w14:textId="77777777" w:rsidR="00861A4D" w:rsidRDefault="00861A4D" w:rsidP="00D156A0">
            <w:pPr>
              <w:spacing w:line="252" w:lineRule="auto"/>
              <w:jc w:val="center"/>
            </w:pPr>
            <w:r>
              <w:rPr>
                <w:rFonts w:ascii="Calibri" w:eastAsia="Calibri" w:hAnsi="Calibri" w:cs="Calibri"/>
                <w:sz w:val="18"/>
                <w:szCs w:val="18"/>
              </w:rPr>
              <w:t>5.1%</w:t>
            </w:r>
          </w:p>
        </w:tc>
        <w:tc>
          <w:tcPr>
            <w:tcW w:w="1500" w:type="dxa"/>
            <w:shd w:val="clear" w:color="auto" w:fill="EEF2F6"/>
            <w:tcMar>
              <w:top w:w="60" w:type="dxa"/>
              <w:left w:w="80" w:type="dxa"/>
              <w:bottom w:w="60" w:type="dxa"/>
              <w:right w:w="80" w:type="dxa"/>
            </w:tcMar>
            <w:vAlign w:val="center"/>
          </w:tcPr>
          <w:p w14:paraId="1DE65675" w14:textId="77777777" w:rsidR="00861A4D" w:rsidRDefault="00861A4D" w:rsidP="00D156A0">
            <w:pPr>
              <w:spacing w:line="252" w:lineRule="auto"/>
              <w:jc w:val="center"/>
            </w:pPr>
            <w:r>
              <w:rPr>
                <w:rFonts w:ascii="Calibri" w:eastAsia="Calibri" w:hAnsi="Calibri" w:cs="Calibri"/>
                <w:sz w:val="18"/>
                <w:szCs w:val="18"/>
              </w:rPr>
              <w:t>+16.5%</w:t>
            </w:r>
          </w:p>
        </w:tc>
        <w:tc>
          <w:tcPr>
            <w:tcW w:w="2400" w:type="dxa"/>
            <w:shd w:val="clear" w:color="auto" w:fill="EEF2F6"/>
            <w:tcMar>
              <w:top w:w="60" w:type="dxa"/>
              <w:left w:w="80" w:type="dxa"/>
              <w:bottom w:w="60" w:type="dxa"/>
              <w:right w:w="80" w:type="dxa"/>
            </w:tcMar>
            <w:vAlign w:val="center"/>
          </w:tcPr>
          <w:p w14:paraId="288F8E10" w14:textId="77777777" w:rsidR="00861A4D" w:rsidRDefault="00861A4D" w:rsidP="00D156A0">
            <w:pPr>
              <w:spacing w:line="252" w:lineRule="auto"/>
              <w:jc w:val="center"/>
            </w:pPr>
            <w:r>
              <w:rPr>
                <w:rFonts w:ascii="Calibri" w:eastAsia="Calibri" w:hAnsi="Calibri" w:cs="Calibri"/>
                <w:sz w:val="18"/>
                <w:szCs w:val="18"/>
              </w:rPr>
              <w:t>Whisky/gin 150% → 75% Day 1, → 40% over 10 yr</w:t>
            </w:r>
          </w:p>
        </w:tc>
      </w:tr>
      <w:tr w:rsidR="00861A4D" w14:paraId="27891548" w14:textId="77777777" w:rsidTr="00D156A0">
        <w:tc>
          <w:tcPr>
            <w:tcW w:w="2500" w:type="dxa"/>
            <w:tcMar>
              <w:top w:w="60" w:type="dxa"/>
              <w:left w:w="80" w:type="dxa"/>
              <w:bottom w:w="60" w:type="dxa"/>
              <w:right w:w="80" w:type="dxa"/>
            </w:tcMar>
            <w:vAlign w:val="center"/>
          </w:tcPr>
          <w:p w14:paraId="76857CA5" w14:textId="77777777" w:rsidR="00861A4D" w:rsidRDefault="00861A4D" w:rsidP="00D156A0">
            <w:pPr>
              <w:spacing w:line="252" w:lineRule="auto"/>
            </w:pPr>
            <w:r>
              <w:rPr>
                <w:rFonts w:ascii="Calibri" w:eastAsia="Calibri" w:hAnsi="Calibri" w:cs="Calibri"/>
                <w:sz w:val="18"/>
                <w:szCs w:val="18"/>
              </w:rPr>
              <w:t>General industrial machinery (capital)</w:t>
            </w:r>
          </w:p>
        </w:tc>
        <w:tc>
          <w:tcPr>
            <w:tcW w:w="1550" w:type="dxa"/>
            <w:tcMar>
              <w:top w:w="60" w:type="dxa"/>
              <w:left w:w="80" w:type="dxa"/>
              <w:bottom w:w="60" w:type="dxa"/>
              <w:right w:w="80" w:type="dxa"/>
            </w:tcMar>
            <w:vAlign w:val="center"/>
          </w:tcPr>
          <w:p w14:paraId="7A0BABD7" w14:textId="77777777" w:rsidR="00861A4D" w:rsidRDefault="00861A4D" w:rsidP="00D156A0">
            <w:pPr>
              <w:spacing w:line="252" w:lineRule="auto"/>
              <w:jc w:val="center"/>
            </w:pPr>
            <w:r>
              <w:rPr>
                <w:rFonts w:ascii="Calibri" w:eastAsia="Calibri" w:hAnsi="Calibri" w:cs="Calibri"/>
                <w:sz w:val="18"/>
                <w:szCs w:val="18"/>
              </w:rPr>
              <w:t xml:space="preserve">£276.4 </w:t>
            </w:r>
            <w:proofErr w:type="spellStart"/>
            <w:r>
              <w:rPr>
                <w:rFonts w:ascii="Calibri" w:eastAsia="Calibri" w:hAnsi="Calibri" w:cs="Calibri"/>
                <w:sz w:val="18"/>
                <w:szCs w:val="18"/>
              </w:rPr>
              <w:t>mn</w:t>
            </w:r>
            <w:proofErr w:type="spellEnd"/>
          </w:p>
        </w:tc>
        <w:tc>
          <w:tcPr>
            <w:tcW w:w="1350" w:type="dxa"/>
            <w:tcMar>
              <w:top w:w="60" w:type="dxa"/>
              <w:left w:w="80" w:type="dxa"/>
              <w:bottom w:w="60" w:type="dxa"/>
              <w:right w:w="80" w:type="dxa"/>
            </w:tcMar>
            <w:vAlign w:val="center"/>
          </w:tcPr>
          <w:p w14:paraId="2CCC5882" w14:textId="77777777" w:rsidR="00861A4D" w:rsidRDefault="00861A4D" w:rsidP="00D156A0">
            <w:pPr>
              <w:spacing w:line="252" w:lineRule="auto"/>
              <w:jc w:val="center"/>
            </w:pPr>
            <w:r>
              <w:rPr>
                <w:rFonts w:ascii="Calibri" w:eastAsia="Calibri" w:hAnsi="Calibri" w:cs="Calibri"/>
                <w:sz w:val="18"/>
                <w:szCs w:val="18"/>
              </w:rPr>
              <w:t>4.7%</w:t>
            </w:r>
          </w:p>
        </w:tc>
        <w:tc>
          <w:tcPr>
            <w:tcW w:w="1500" w:type="dxa"/>
            <w:tcMar>
              <w:top w:w="60" w:type="dxa"/>
              <w:left w:w="80" w:type="dxa"/>
              <w:bottom w:w="60" w:type="dxa"/>
              <w:right w:w="80" w:type="dxa"/>
            </w:tcMar>
            <w:vAlign w:val="center"/>
          </w:tcPr>
          <w:p w14:paraId="366C4161" w14:textId="77777777" w:rsidR="00861A4D" w:rsidRDefault="00861A4D" w:rsidP="00D156A0">
            <w:pPr>
              <w:spacing w:line="252" w:lineRule="auto"/>
              <w:jc w:val="center"/>
            </w:pPr>
            <w:r>
              <w:rPr>
                <w:rFonts w:ascii="Calibri" w:eastAsia="Calibri" w:hAnsi="Calibri" w:cs="Calibri"/>
                <w:sz w:val="18"/>
                <w:szCs w:val="18"/>
              </w:rPr>
              <w:t>+12.5%</w:t>
            </w:r>
          </w:p>
        </w:tc>
        <w:tc>
          <w:tcPr>
            <w:tcW w:w="2400" w:type="dxa"/>
            <w:tcMar>
              <w:top w:w="60" w:type="dxa"/>
              <w:left w:w="80" w:type="dxa"/>
              <w:bottom w:w="60" w:type="dxa"/>
              <w:right w:w="80" w:type="dxa"/>
            </w:tcMar>
            <w:vAlign w:val="center"/>
          </w:tcPr>
          <w:p w14:paraId="7214EB05" w14:textId="77777777" w:rsidR="00861A4D" w:rsidRDefault="00861A4D" w:rsidP="00D156A0">
            <w:pPr>
              <w:spacing w:line="252" w:lineRule="auto"/>
              <w:jc w:val="center"/>
            </w:pPr>
            <w:r>
              <w:rPr>
                <w:rFonts w:ascii="Calibri" w:eastAsia="Calibri" w:hAnsi="Calibri" w:cs="Calibri"/>
                <w:sz w:val="18"/>
                <w:szCs w:val="18"/>
              </w:rPr>
              <w:t>Phased reduction</w:t>
            </w:r>
          </w:p>
        </w:tc>
      </w:tr>
    </w:tbl>
    <w:p w14:paraId="51022560" w14:textId="77777777" w:rsidR="00861A4D" w:rsidRDefault="00861A4D" w:rsidP="00861A4D">
      <w:pPr>
        <w:spacing w:before="60" w:after="200"/>
      </w:pPr>
      <w:r>
        <w:rPr>
          <w:rFonts w:ascii="Calibri" w:eastAsia="Calibri" w:hAnsi="Calibri" w:cs="Calibri"/>
          <w:i/>
          <w:iCs/>
          <w:color w:val="5A6570"/>
          <w:sz w:val="15"/>
          <w:szCs w:val="15"/>
        </w:rPr>
        <w:t>Source: UK Department for Business and Trade factsheet (23 June 2026), ONS trade-in-goods-by-commodity, non-seasonally adjusted; reporting period 12 months to end-December 2025. Whisky/gin and automobile tariff paths cross-checked against KPMG UK (1 Aug 2025), DGFT vehicle-TRQ notice (10 July 2026) and IBEF.</w:t>
      </w:r>
    </w:p>
    <w:p w14:paraId="5A60B2E2" w14:textId="77777777" w:rsidR="00861A4D" w:rsidRDefault="00861A4D" w:rsidP="00861A4D">
      <w:pPr>
        <w:spacing w:after="160" w:line="288" w:lineRule="auto"/>
        <w:jc w:val="both"/>
      </w:pPr>
      <w:r>
        <w:t xml:space="preserve">UK goods exports to India were £5.9 billion (down 3.7%) while UK services exports rose 26.4% to £13.3 billion — travel (£8.1 billion, 61%), telecoms/computer/information (£1.6 billion, 11.7%) and other business services (£1.3 billion, 9.4%) leading. </w:t>
      </w:r>
      <w:r>
        <w:rPr>
          <w:rStyle w:val="FootnoteReference"/>
        </w:rPr>
        <w:footnoteReference w:id="22"/>
      </w:r>
      <w:r>
        <w:t>On the goods side, the headline consumer “wins” — whisky and cars — are modest in current value but carry outsized regulatory complexity (TRQ administration, excise, FEMA), which is what generates fees rather than volume.</w:t>
      </w:r>
    </w:p>
    <w:p w14:paraId="4ABB6E3A" w14:textId="77777777" w:rsidR="00861A4D" w:rsidRDefault="00861A4D" w:rsidP="00861A4D">
      <w:pPr>
        <w:pStyle w:val="Heading3"/>
        <w:spacing w:before="180" w:after="100"/>
      </w:pPr>
      <w:r>
        <w:rPr>
          <w:rFonts w:ascii="Calibri" w:eastAsia="Calibri" w:hAnsi="Calibri" w:cs="Calibri"/>
          <w:b/>
          <w:bCs/>
          <w:color w:val="16324F"/>
          <w:sz w:val="21"/>
          <w:szCs w:val="21"/>
        </w:rPr>
        <w:t xml:space="preserve">Import mechanisms of </w:t>
      </w:r>
      <w:proofErr w:type="gramStart"/>
      <w:r>
        <w:rPr>
          <w:rFonts w:ascii="Calibri" w:eastAsia="Calibri" w:hAnsi="Calibri" w:cs="Calibri"/>
          <w:b/>
          <w:bCs/>
          <w:color w:val="16324F"/>
          <w:sz w:val="21"/>
          <w:szCs w:val="21"/>
        </w:rPr>
        <w:t>particular legal</w:t>
      </w:r>
      <w:proofErr w:type="gramEnd"/>
      <w:r>
        <w:rPr>
          <w:rFonts w:ascii="Calibri" w:eastAsia="Calibri" w:hAnsi="Calibri" w:cs="Calibri"/>
          <w:b/>
          <w:bCs/>
          <w:color w:val="16324F"/>
          <w:sz w:val="21"/>
          <w:szCs w:val="21"/>
        </w:rPr>
        <w:t xml:space="preserve"> complexity</w:t>
      </w:r>
    </w:p>
    <w:p w14:paraId="13809704" w14:textId="77777777" w:rsidR="00861A4D" w:rsidRDefault="00861A4D" w:rsidP="00861A4D">
      <w:pPr>
        <w:pStyle w:val="ListParagraph"/>
        <w:numPr>
          <w:ilvl w:val="0"/>
          <w:numId w:val="2"/>
        </w:numPr>
        <w:spacing w:after="90" w:line="282" w:lineRule="auto"/>
        <w:contextualSpacing w:val="0"/>
        <w:jc w:val="both"/>
      </w:pPr>
      <w:r>
        <w:rPr>
          <w:b/>
          <w:bCs/>
        </w:rPr>
        <w:t xml:space="preserve">Automobiles (TRQ): </w:t>
      </w:r>
      <w:r>
        <w:t>India cuts duty on UK-manufactured vehicles from roughly 110% to 10% within tariff-rate quotas administered by DGFT, phased over 15 years; ICE-vehicle quota rises toward 37,000 units annually within the first five years, with EV/hybrid concessions deferred to protect India’s domestic EV ecosystem. Only OEMs and OEM-</w:t>
      </w:r>
      <w:proofErr w:type="spellStart"/>
      <w:r>
        <w:t>authorised</w:t>
      </w:r>
      <w:proofErr w:type="spellEnd"/>
      <w:r>
        <w:t xml:space="preserve"> dealers may apply; a valid Certificate of Origin and a non-transferable 12-month TRQ certificate are required. </w:t>
      </w:r>
    </w:p>
    <w:p w14:paraId="472E362A" w14:textId="77777777" w:rsidR="00861A4D" w:rsidRDefault="00861A4D" w:rsidP="00861A4D">
      <w:pPr>
        <w:spacing w:after="40"/>
      </w:pPr>
      <w:r>
        <w:rPr>
          <w:rStyle w:val="FootnoteReference"/>
        </w:rPr>
        <w:footnoteReference w:id="23"/>
      </w:r>
    </w:p>
    <w:p w14:paraId="52E0CE8F" w14:textId="77777777" w:rsidR="00861A4D" w:rsidRDefault="00861A4D" w:rsidP="00861A4D">
      <w:pPr>
        <w:pStyle w:val="ListParagraph"/>
        <w:numPr>
          <w:ilvl w:val="0"/>
          <w:numId w:val="2"/>
        </w:numPr>
        <w:spacing w:after="90" w:line="282" w:lineRule="auto"/>
        <w:contextualSpacing w:val="0"/>
        <w:jc w:val="both"/>
      </w:pPr>
      <w:r>
        <w:rPr>
          <w:b/>
          <w:bCs/>
        </w:rPr>
        <w:t xml:space="preserve">Scotch whisky &amp; gin: </w:t>
      </w:r>
      <w:r>
        <w:t>duty falls from 150% to 75% on entry into force and to 40% over ten years; bottling may occur in third countries under specific flexibility. UK Government estimates whisky exports to India could grow by about £1 billion annually — an official projection, not a treaty guarantee.</w:t>
      </w:r>
    </w:p>
    <w:p w14:paraId="156133F8" w14:textId="77777777" w:rsidR="00861A4D" w:rsidRDefault="00861A4D" w:rsidP="00861A4D">
      <w:pPr>
        <w:spacing w:after="120"/>
      </w:pPr>
      <w:r>
        <w:rPr>
          <w:rStyle w:val="FootnoteReference"/>
        </w:rPr>
        <w:footnoteReference w:id="24"/>
      </w:r>
    </w:p>
    <w:p w14:paraId="4D1379C6" w14:textId="77777777" w:rsidR="00861A4D" w:rsidRDefault="00861A4D" w:rsidP="00861A4D">
      <w:r>
        <w:br w:type="page"/>
      </w:r>
    </w:p>
    <w:p w14:paraId="7F33821C" w14:textId="77777777" w:rsidR="00861A4D" w:rsidRDefault="00861A4D" w:rsidP="00861A4D">
      <w:pPr>
        <w:pStyle w:val="Heading1"/>
        <w:pBdr>
          <w:bottom w:val="single" w:sz="12" w:space="4" w:color="7A2E2E"/>
        </w:pBdr>
        <w:spacing w:before="320" w:after="160"/>
      </w:pPr>
      <w:r>
        <w:lastRenderedPageBreak/>
        <w:t>5</w:t>
      </w:r>
      <w:proofErr w:type="gramStart"/>
      <w:r>
        <w:t>.  Sector</w:t>
      </w:r>
      <w:proofErr w:type="gramEnd"/>
      <w:r>
        <w:t>-Wise Analysis and the Legal Services Required</w:t>
      </w:r>
    </w:p>
    <w:p w14:paraId="76135C90" w14:textId="77777777" w:rsidR="00861A4D" w:rsidRDefault="00861A4D" w:rsidP="00861A4D">
      <w:pPr>
        <w:spacing w:after="160" w:line="288" w:lineRule="auto"/>
        <w:jc w:val="both"/>
      </w:pPr>
      <w:r>
        <w:t xml:space="preserve">Each sector below is examined for (a) the trade direction and CETA change, (b) the verifiable data or, where none exists, that absence, and (c) the specific legal services businesses will require. Government export projections are labelled as such; independent estimates are attributed; </w:t>
      </w:r>
      <w:proofErr w:type="spellStart"/>
      <w:r>
        <w:t>unlabelled</w:t>
      </w:r>
      <w:proofErr w:type="spellEnd"/>
      <w:r>
        <w:t xml:space="preserve"> statements are analytical.</w:t>
      </w:r>
    </w:p>
    <w:p w14:paraId="5FD2EBD5" w14:textId="77777777" w:rsidR="00861A4D" w:rsidRDefault="00861A4D" w:rsidP="00861A4D">
      <w:pPr>
        <w:pStyle w:val="Heading2"/>
        <w:spacing w:before="240" w:after="120"/>
      </w:pPr>
      <w:proofErr w:type="gramStart"/>
      <w:r>
        <w:t>5.1  Textiles</w:t>
      </w:r>
      <w:proofErr w:type="gramEnd"/>
      <w:r>
        <w:t xml:space="preserve">, Apparel and </w:t>
      </w:r>
      <w:proofErr w:type="gramStart"/>
      <w:r>
        <w:t>Made-ups</w:t>
      </w:r>
      <w:proofErr w:type="gramEnd"/>
      <w:r>
        <w:t xml:space="preserve"> (India → UK)</w:t>
      </w:r>
    </w:p>
    <w:p w14:paraId="39AE3D65" w14:textId="77777777" w:rsidR="00861A4D" w:rsidRDefault="00861A4D" w:rsidP="00861A4D">
      <w:pPr>
        <w:spacing w:after="160" w:line="288" w:lineRule="auto"/>
        <w:jc w:val="both"/>
      </w:pPr>
      <w:r>
        <w:t xml:space="preserve">Clothing was £952.5 million of UK imports from India (8.5% of goods, up 8.7%) in the 12 months to Q4 2025. </w:t>
      </w:r>
      <w:r>
        <w:rPr>
          <w:rStyle w:val="FootnoteReference"/>
        </w:rPr>
        <w:footnoteReference w:id="25"/>
      </w:r>
      <w:r>
        <w:t xml:space="preserve">CETA gives zero duty from Day 1 on 1,143 textile lines (previously up to 12%), erasing India’s tariff disadvantage against Bangladesh, Pakistan and Cambodia. An independent investor-guide estimate projects </w:t>
      </w:r>
      <w:proofErr w:type="spellStart"/>
      <w:r>
        <w:t>Tiruppur</w:t>
      </w:r>
      <w:proofErr w:type="spellEnd"/>
      <w:r>
        <w:t xml:space="preserve"> knitwear exports rising by about USD 1.35 billion annually — an estimate, not an official figure. </w:t>
      </w:r>
      <w:r>
        <w:rPr>
          <w:rStyle w:val="FootnoteReference"/>
        </w:rPr>
        <w:footnoteReference w:id="26"/>
      </w:r>
      <w:r>
        <w:t>The sector is MSME-heavy (</w:t>
      </w:r>
      <w:proofErr w:type="spellStart"/>
      <w:r>
        <w:t>Tiruppur</w:t>
      </w:r>
      <w:proofErr w:type="spellEnd"/>
      <w:r>
        <w:t xml:space="preserve">, Surat, Ludhiana), which multiplies the number of clients needing the </w:t>
      </w:r>
      <w:proofErr w:type="gramStart"/>
      <w:r>
        <w:t>same compliance</w:t>
      </w:r>
      <w:proofErr w:type="gramEnd"/>
      <w:r>
        <w:t xml:space="preserve"> help.</w:t>
      </w:r>
    </w:p>
    <w:p w14:paraId="6C761E8F" w14:textId="77777777" w:rsidR="00861A4D" w:rsidRDefault="00861A4D" w:rsidP="00861A4D">
      <w:pPr>
        <w:pStyle w:val="Heading3"/>
        <w:spacing w:before="180" w:after="100"/>
      </w:pPr>
      <w:r>
        <w:rPr>
          <w:rFonts w:ascii="Calibri" w:eastAsia="Calibri" w:hAnsi="Calibri" w:cs="Calibri"/>
          <w:b/>
          <w:bCs/>
          <w:color w:val="16324F"/>
          <w:sz w:val="21"/>
          <w:szCs w:val="21"/>
        </w:rPr>
        <w:t>Legal services required</w:t>
      </w:r>
    </w:p>
    <w:p w14:paraId="0A7F501C" w14:textId="77777777" w:rsidR="00861A4D" w:rsidRDefault="00861A4D" w:rsidP="00861A4D">
      <w:pPr>
        <w:pStyle w:val="ListParagraph"/>
        <w:numPr>
          <w:ilvl w:val="0"/>
          <w:numId w:val="2"/>
        </w:numPr>
        <w:spacing w:after="90" w:line="282" w:lineRule="auto"/>
        <w:contextualSpacing w:val="0"/>
        <w:jc w:val="both"/>
      </w:pPr>
      <w:proofErr w:type="spellStart"/>
      <w:r>
        <w:t>RoO</w:t>
      </w:r>
      <w:proofErr w:type="spellEnd"/>
      <w:r>
        <w:t>/QVC certification and self-certification documentation; audit-</w:t>
      </w:r>
      <w:proofErr w:type="spellStart"/>
      <w:r>
        <w:t>defence</w:t>
      </w:r>
      <w:proofErr w:type="spellEnd"/>
      <w:r>
        <w:t xml:space="preserve"> against CBIC/HMRC verification; supply-chain restructuring to meet value-content thresholds where yarn/fabric is imported.</w:t>
      </w:r>
    </w:p>
    <w:p w14:paraId="5130F4E6" w14:textId="77777777" w:rsidR="00861A4D" w:rsidRDefault="00861A4D" w:rsidP="00861A4D">
      <w:pPr>
        <w:pStyle w:val="ListParagraph"/>
        <w:numPr>
          <w:ilvl w:val="0"/>
          <w:numId w:val="2"/>
        </w:numPr>
        <w:spacing w:after="90" w:line="282" w:lineRule="auto"/>
        <w:contextualSpacing w:val="0"/>
        <w:jc w:val="both"/>
      </w:pPr>
      <w:r>
        <w:t>UK product-safety, labelling, flammability and REACH-type chemical-content compliance; ESG and supply-chain due diligence (</w:t>
      </w:r>
      <w:proofErr w:type="gramStart"/>
      <w:r>
        <w:t>forced-</w:t>
      </w:r>
      <w:proofErr w:type="spellStart"/>
      <w:r>
        <w:t>labour</w:t>
      </w:r>
      <w:proofErr w:type="spellEnd"/>
      <w:proofErr w:type="gramEnd"/>
      <w:r>
        <w:t xml:space="preserve"> and traceability expectations of UK buyers).</w:t>
      </w:r>
    </w:p>
    <w:p w14:paraId="5E2FF445" w14:textId="77777777" w:rsidR="00861A4D" w:rsidRDefault="00861A4D" w:rsidP="00861A4D">
      <w:pPr>
        <w:pStyle w:val="ListParagraph"/>
        <w:numPr>
          <w:ilvl w:val="0"/>
          <w:numId w:val="2"/>
        </w:numPr>
        <w:spacing w:after="90" w:line="282" w:lineRule="auto"/>
        <w:contextualSpacing w:val="0"/>
        <w:jc w:val="both"/>
      </w:pPr>
      <w:r>
        <w:t>Export contracts (Incoterms, price-adjustment for duty savings, quality/rejection clauses), DGFT scheme alignment (</w:t>
      </w:r>
      <w:proofErr w:type="spellStart"/>
      <w:r>
        <w:t>RoDTEP</w:t>
      </w:r>
      <w:proofErr w:type="spellEnd"/>
      <w:r>
        <w:t>/</w:t>
      </w:r>
      <w:proofErr w:type="spellStart"/>
      <w:r>
        <w:t>RoSCTL</w:t>
      </w:r>
      <w:proofErr w:type="spellEnd"/>
      <w:r>
        <w:t xml:space="preserve"> interaction), and MSME advisory on FTA </w:t>
      </w:r>
      <w:proofErr w:type="spellStart"/>
      <w:r>
        <w:t>utilisation</w:t>
      </w:r>
      <w:proofErr w:type="spellEnd"/>
      <w:r>
        <w:t>.</w:t>
      </w:r>
    </w:p>
    <w:p w14:paraId="70BAD74D" w14:textId="77777777" w:rsidR="00861A4D" w:rsidRDefault="00861A4D" w:rsidP="00861A4D">
      <w:pPr>
        <w:pStyle w:val="Heading2"/>
        <w:spacing w:before="240" w:after="120"/>
      </w:pPr>
      <w:proofErr w:type="gramStart"/>
      <w:r>
        <w:t>5.2  Gems</w:t>
      </w:r>
      <w:proofErr w:type="gramEnd"/>
      <w:r>
        <w:t xml:space="preserve"> and </w:t>
      </w:r>
      <w:proofErr w:type="spellStart"/>
      <w:r>
        <w:t>Jewellery</w:t>
      </w:r>
      <w:proofErr w:type="spellEnd"/>
      <w:r>
        <w:t xml:space="preserve"> (India → UK)</w:t>
      </w:r>
    </w:p>
    <w:p w14:paraId="4AE295D0" w14:textId="77777777" w:rsidR="00861A4D" w:rsidRDefault="00861A4D" w:rsidP="00861A4D">
      <w:pPr>
        <w:spacing w:after="160" w:line="288" w:lineRule="auto"/>
        <w:jc w:val="both"/>
      </w:pPr>
      <w:r>
        <w:t xml:space="preserve">The UK removes duty on Chapter 71 from Day 1. Government messaging projects India’s gems and </w:t>
      </w:r>
      <w:proofErr w:type="spellStart"/>
      <w:r>
        <w:t>jewellery</w:t>
      </w:r>
      <w:proofErr w:type="spellEnd"/>
      <w:r>
        <w:t xml:space="preserve"> exports to the UK </w:t>
      </w:r>
      <w:r>
        <w:rPr>
          <w:b/>
          <w:bCs/>
        </w:rPr>
        <w:t>doubling within 2–3 years</w:t>
      </w:r>
      <w:r>
        <w:t xml:space="preserve"> (an official projection); an independent guide cites a USD 1.63 billion export segment becoming tariff-free. </w:t>
      </w:r>
      <w:r>
        <w:rPr>
          <w:rStyle w:val="FootnoteReference"/>
        </w:rPr>
        <w:footnoteReference w:id="27"/>
      </w:r>
      <w:r>
        <w:t>The unusually low QVC (3–7%) makes origin qualification easy, but valuation, hallmarking and anti-money-laundering exposure make this a compliance-sensitive sector.</w:t>
      </w:r>
    </w:p>
    <w:p w14:paraId="719A3BAE" w14:textId="77777777" w:rsidR="00861A4D" w:rsidRDefault="00861A4D" w:rsidP="00861A4D">
      <w:pPr>
        <w:pStyle w:val="Heading3"/>
        <w:spacing w:before="180" w:after="100"/>
      </w:pPr>
      <w:r>
        <w:rPr>
          <w:rFonts w:ascii="Calibri" w:eastAsia="Calibri" w:hAnsi="Calibri" w:cs="Calibri"/>
          <w:b/>
          <w:bCs/>
          <w:color w:val="16324F"/>
          <w:sz w:val="21"/>
          <w:szCs w:val="21"/>
        </w:rPr>
        <w:t>Legal services required</w:t>
      </w:r>
    </w:p>
    <w:p w14:paraId="44F06A5C" w14:textId="77777777" w:rsidR="00861A4D" w:rsidRDefault="00861A4D" w:rsidP="00861A4D">
      <w:pPr>
        <w:pStyle w:val="ListParagraph"/>
        <w:numPr>
          <w:ilvl w:val="0"/>
          <w:numId w:val="2"/>
        </w:numPr>
        <w:spacing w:after="90" w:line="282" w:lineRule="auto"/>
        <w:contextualSpacing w:val="0"/>
        <w:jc w:val="both"/>
      </w:pPr>
      <w:r>
        <w:t>Customs valuation and origin documentation; hallmarking/BIS and UK assay-office compliance; AML/KYC and PMLA advisory given high-value cross-border flows.</w:t>
      </w:r>
    </w:p>
    <w:p w14:paraId="562D37D8" w14:textId="77777777" w:rsidR="00861A4D" w:rsidRDefault="00861A4D" w:rsidP="00861A4D">
      <w:pPr>
        <w:pStyle w:val="ListParagraph"/>
        <w:numPr>
          <w:ilvl w:val="0"/>
          <w:numId w:val="2"/>
        </w:numPr>
        <w:spacing w:after="90" w:line="282" w:lineRule="auto"/>
        <w:contextualSpacing w:val="0"/>
        <w:jc w:val="both"/>
      </w:pPr>
      <w:r>
        <w:t xml:space="preserve">FEMA advice on export </w:t>
      </w:r>
      <w:proofErr w:type="spellStart"/>
      <w:r>
        <w:t>realisation</w:t>
      </w:r>
      <w:proofErr w:type="spellEnd"/>
      <w:r>
        <w:t>, advance remittances and consignment/exhibition exports; contracts for memo/consignment sales into the UK.</w:t>
      </w:r>
    </w:p>
    <w:p w14:paraId="1FC42CF1" w14:textId="77777777" w:rsidR="00861A4D" w:rsidRDefault="00861A4D" w:rsidP="00861A4D">
      <w:pPr>
        <w:pStyle w:val="Heading2"/>
        <w:spacing w:before="240" w:after="120"/>
      </w:pPr>
      <w:proofErr w:type="gramStart"/>
      <w:r>
        <w:lastRenderedPageBreak/>
        <w:t>5.3  Engineering</w:t>
      </w:r>
      <w:proofErr w:type="gramEnd"/>
      <w:r>
        <w:t xml:space="preserve"> Goods and Auto Components (India → UK)</w:t>
      </w:r>
    </w:p>
    <w:p w14:paraId="43FCDA5D" w14:textId="77777777" w:rsidR="00861A4D" w:rsidRDefault="00861A4D" w:rsidP="00861A4D">
      <w:pPr>
        <w:spacing w:after="160" w:line="288" w:lineRule="auto"/>
        <w:jc w:val="both"/>
      </w:pPr>
      <w:r>
        <w:t xml:space="preserve">The UK is India’s sixth-largest engineering-export market, with 11.7% growth in 2024-25. FIEO/Government analysis frames a wide gap: India’s global engineering exports are about USD 77.79 billion against UK engineering imports of about USD 193.52 billion, of which only about USD 4.28 billion comes from India. </w:t>
      </w:r>
      <w:r>
        <w:rPr>
          <w:rStyle w:val="FootnoteReference"/>
        </w:rPr>
        <w:footnoteReference w:id="28"/>
      </w:r>
      <w:r>
        <w:t xml:space="preserve">With UK tariffs of up to 18% removed, the Government projects engineering exports to the UK could </w:t>
      </w:r>
      <w:r>
        <w:rPr>
          <w:b/>
          <w:bCs/>
        </w:rPr>
        <w:t>nearly double to over USD 7.5 billion by 2029-30</w:t>
      </w:r>
      <w:r>
        <w:t xml:space="preserve"> (an official projection). Mechanical power generators (intermediate) were the single largest UK import line from India (£1.0 billion, +86.7%).</w:t>
      </w:r>
    </w:p>
    <w:p w14:paraId="56520032" w14:textId="77777777" w:rsidR="00861A4D" w:rsidRDefault="00861A4D" w:rsidP="00861A4D">
      <w:pPr>
        <w:pStyle w:val="Heading3"/>
        <w:spacing w:before="180" w:after="100"/>
      </w:pPr>
      <w:r>
        <w:rPr>
          <w:rFonts w:ascii="Calibri" w:eastAsia="Calibri" w:hAnsi="Calibri" w:cs="Calibri"/>
          <w:b/>
          <w:bCs/>
          <w:color w:val="16324F"/>
          <w:sz w:val="21"/>
          <w:szCs w:val="21"/>
        </w:rPr>
        <w:t>Legal services required</w:t>
      </w:r>
    </w:p>
    <w:p w14:paraId="22DE52E9" w14:textId="77777777" w:rsidR="00861A4D" w:rsidRDefault="00861A4D" w:rsidP="00861A4D">
      <w:pPr>
        <w:pStyle w:val="ListParagraph"/>
        <w:numPr>
          <w:ilvl w:val="0"/>
          <w:numId w:val="2"/>
        </w:numPr>
        <w:spacing w:after="90" w:line="282" w:lineRule="auto"/>
        <w:contextualSpacing w:val="0"/>
        <w:jc w:val="both"/>
      </w:pPr>
      <w:proofErr w:type="spellStart"/>
      <w:r>
        <w:t>RoO</w:t>
      </w:r>
      <w:proofErr w:type="spellEnd"/>
      <w:r>
        <w:t xml:space="preserve"> for globally-integrated supply chains (where value addition may fall below thresholds — cumulation planning is essential); product-liability and CE/UKCA-equivalent conformity advice.</w:t>
      </w:r>
    </w:p>
    <w:p w14:paraId="461F78D4" w14:textId="77777777" w:rsidR="00861A4D" w:rsidRDefault="00861A4D" w:rsidP="00861A4D">
      <w:pPr>
        <w:pStyle w:val="ListParagraph"/>
        <w:numPr>
          <w:ilvl w:val="0"/>
          <w:numId w:val="2"/>
        </w:numPr>
        <w:spacing w:after="90" w:line="282" w:lineRule="auto"/>
        <w:contextualSpacing w:val="0"/>
        <w:jc w:val="both"/>
      </w:pPr>
      <w:r>
        <w:t>Auto-component supply agreements, warranty/indemnity and IP-licensing terms; competition-law review of distribution and exclusivity; ESG/emissions compliance for machinery.</w:t>
      </w:r>
    </w:p>
    <w:p w14:paraId="406B4218" w14:textId="77777777" w:rsidR="00861A4D" w:rsidRDefault="00861A4D" w:rsidP="00861A4D">
      <w:pPr>
        <w:pStyle w:val="Heading2"/>
        <w:spacing w:before="240" w:after="120"/>
      </w:pPr>
      <w:proofErr w:type="gramStart"/>
      <w:r>
        <w:t>5.4  Pharmaceuticals</w:t>
      </w:r>
      <w:proofErr w:type="gramEnd"/>
      <w:r>
        <w:t xml:space="preserve"> and Medical Devices (India → UK; UK → India)</w:t>
      </w:r>
    </w:p>
    <w:p w14:paraId="6DD36DD4" w14:textId="77777777" w:rsidR="00861A4D" w:rsidRDefault="00861A4D" w:rsidP="00861A4D">
      <w:pPr>
        <w:spacing w:after="160" w:line="288" w:lineRule="auto"/>
        <w:jc w:val="both"/>
      </w:pPr>
      <w:r>
        <w:t xml:space="preserve">Medicinal &amp; pharmaceutical products were £704.3 million of UK imports from India (6.3%, up 5.0%). </w:t>
      </w:r>
      <w:r>
        <w:rPr>
          <w:rStyle w:val="FootnoteReference"/>
        </w:rPr>
        <w:footnoteReference w:id="29"/>
      </w:r>
      <w:r>
        <w:t>CETA removes UK duties (up to 8%) and — importantly — the IP chapter avoids TRIPS-plus data-exclusivity or patent-term-extension concessions, protecting India’s generics model. Independent analysis notes mutual recognition of Good Manufacturing Practice and faster approvals. On the import side, UK medical devices become cheaper for Indian buyers.</w:t>
      </w:r>
    </w:p>
    <w:p w14:paraId="6329596C" w14:textId="77777777" w:rsidR="00861A4D" w:rsidRDefault="00861A4D" w:rsidP="00861A4D">
      <w:pPr>
        <w:pStyle w:val="Heading3"/>
        <w:spacing w:before="180" w:after="100"/>
      </w:pPr>
      <w:r>
        <w:rPr>
          <w:rFonts w:ascii="Calibri" w:eastAsia="Calibri" w:hAnsi="Calibri" w:cs="Calibri"/>
          <w:b/>
          <w:bCs/>
          <w:color w:val="16324F"/>
          <w:sz w:val="21"/>
          <w:szCs w:val="21"/>
        </w:rPr>
        <w:t>Legal services required</w:t>
      </w:r>
    </w:p>
    <w:p w14:paraId="4458645E" w14:textId="77777777" w:rsidR="00861A4D" w:rsidRDefault="00861A4D" w:rsidP="00861A4D">
      <w:pPr>
        <w:pStyle w:val="ListParagraph"/>
        <w:numPr>
          <w:ilvl w:val="0"/>
          <w:numId w:val="2"/>
        </w:numPr>
        <w:spacing w:after="90" w:line="282" w:lineRule="auto"/>
        <w:contextualSpacing w:val="0"/>
        <w:jc w:val="both"/>
      </w:pPr>
      <w:r>
        <w:t>MHRA (UK) and CDSCO (India) regulatory strategy; GMP mutual-recognition documentation; pharmacovigilance and product-liability; patent landscaping and freedom-to-operate given the retained generics space.</w:t>
      </w:r>
    </w:p>
    <w:p w14:paraId="0E0F45B7" w14:textId="77777777" w:rsidR="00861A4D" w:rsidRDefault="00861A4D" w:rsidP="00861A4D">
      <w:pPr>
        <w:pStyle w:val="ListParagraph"/>
        <w:numPr>
          <w:ilvl w:val="0"/>
          <w:numId w:val="2"/>
        </w:numPr>
        <w:spacing w:after="90" w:line="282" w:lineRule="auto"/>
        <w:contextualSpacing w:val="0"/>
        <w:jc w:val="both"/>
      </w:pPr>
      <w:r>
        <w:t>Medical-devices import compliance (India’s Medical Devices Rules, 2017 / CDSCO licensing) for UK devices; distribution and clinical-supply contracts; data protection for clinical and patient data.</w:t>
      </w:r>
    </w:p>
    <w:p w14:paraId="7AF22F9B" w14:textId="77777777" w:rsidR="00861A4D" w:rsidRDefault="00861A4D" w:rsidP="00861A4D">
      <w:pPr>
        <w:pStyle w:val="Heading2"/>
        <w:spacing w:before="240" w:after="120"/>
      </w:pPr>
      <w:proofErr w:type="gramStart"/>
      <w:r>
        <w:t>5.5  Marine</w:t>
      </w:r>
      <w:proofErr w:type="gramEnd"/>
      <w:r>
        <w:t xml:space="preserve"> Products, Agriculture and Food Processing (India → UK)</w:t>
      </w:r>
    </w:p>
    <w:p w14:paraId="38193B01" w14:textId="77777777" w:rsidR="00861A4D" w:rsidRDefault="00861A4D" w:rsidP="00861A4D">
      <w:pPr>
        <w:spacing w:after="160" w:line="288" w:lineRule="auto"/>
        <w:jc w:val="both"/>
      </w:pPr>
      <w:r>
        <w:t xml:space="preserve">The UK marine import market is about USD 5.4 billion but India’s share is only ~2.25%, with UK duties of 4.2–8.5% on shrimp now eliminated (up to 21.5% removed across marine lines). CETA also gives duty-free treatment to about 95% of agriculture tariff lines (basmati, spices, tea, seafood, processed foods), and the SPS chapter provides </w:t>
      </w:r>
      <w:proofErr w:type="gramStart"/>
      <w:r>
        <w:t>facility pre-listing</w:t>
      </w:r>
      <w:proofErr w:type="gramEnd"/>
      <w:r>
        <w:t xml:space="preserve">. </w:t>
      </w:r>
      <w:r>
        <w:rPr>
          <w:rStyle w:val="FootnoteReference"/>
        </w:rPr>
        <w:footnoteReference w:id="30"/>
      </w:r>
      <w:r>
        <w:t xml:space="preserve">The gap between UK </w:t>
      </w:r>
      <w:proofErr w:type="spellStart"/>
      <w:r>
        <w:t>agri</w:t>
      </w:r>
      <w:proofErr w:type="spellEnd"/>
      <w:r>
        <w:t xml:space="preserve">-imports (~USD 50.68 billion) and India’s current supply (~USD 309.5 million) frames the opportunity; </w:t>
      </w:r>
      <w:proofErr w:type="spellStart"/>
      <w:r>
        <w:lastRenderedPageBreak/>
        <w:t>realising</w:t>
      </w:r>
      <w:proofErr w:type="spellEnd"/>
      <w:r>
        <w:t xml:space="preserve"> it depends on meeting UK SPS and food-safety standards, which is precisely where legal and regulatory advice is needed.</w:t>
      </w:r>
    </w:p>
    <w:p w14:paraId="3AF96C35" w14:textId="77777777" w:rsidR="00861A4D" w:rsidRDefault="00861A4D" w:rsidP="00861A4D">
      <w:pPr>
        <w:pStyle w:val="Heading3"/>
        <w:spacing w:before="180" w:after="100"/>
      </w:pPr>
      <w:r>
        <w:rPr>
          <w:rFonts w:ascii="Calibri" w:eastAsia="Calibri" w:hAnsi="Calibri" w:cs="Calibri"/>
          <w:b/>
          <w:bCs/>
          <w:color w:val="16324F"/>
          <w:sz w:val="21"/>
          <w:szCs w:val="21"/>
        </w:rPr>
        <w:t>Legal services required</w:t>
      </w:r>
    </w:p>
    <w:p w14:paraId="0DB8F4BD" w14:textId="77777777" w:rsidR="00861A4D" w:rsidRDefault="00861A4D" w:rsidP="00861A4D">
      <w:pPr>
        <w:pStyle w:val="ListParagraph"/>
        <w:numPr>
          <w:ilvl w:val="0"/>
          <w:numId w:val="2"/>
        </w:numPr>
        <w:spacing w:after="90" w:line="282" w:lineRule="auto"/>
        <w:contextualSpacing w:val="0"/>
        <w:jc w:val="both"/>
      </w:pPr>
      <w:r>
        <w:t>SPS/food-safety compliance (UK FSA, retained EU food law), FSSAI-side certification, GI protection for basmati/tea/spices, and cold-chain/logistics contracts.</w:t>
      </w:r>
    </w:p>
    <w:p w14:paraId="0B91B514" w14:textId="77777777" w:rsidR="00861A4D" w:rsidRDefault="00861A4D" w:rsidP="00861A4D">
      <w:pPr>
        <w:pStyle w:val="ListParagraph"/>
        <w:numPr>
          <w:ilvl w:val="0"/>
          <w:numId w:val="2"/>
        </w:numPr>
        <w:spacing w:after="90" w:line="282" w:lineRule="auto"/>
        <w:contextualSpacing w:val="0"/>
        <w:jc w:val="both"/>
      </w:pPr>
      <w:r>
        <w:t>APEDA/MPEDA scheme alignment; traceability and residue-testing documentation; labelling and organic-certification advice.</w:t>
      </w:r>
    </w:p>
    <w:p w14:paraId="6FDC7F81" w14:textId="77777777" w:rsidR="00861A4D" w:rsidRDefault="00861A4D" w:rsidP="00861A4D">
      <w:pPr>
        <w:pStyle w:val="Heading2"/>
        <w:spacing w:before="240" w:after="120"/>
      </w:pPr>
      <w:proofErr w:type="gramStart"/>
      <w:r>
        <w:t>5.6  Leather</w:t>
      </w:r>
      <w:proofErr w:type="gramEnd"/>
      <w:r>
        <w:t>, Footwear, Toys and Sports Goods (India → UK)</w:t>
      </w:r>
    </w:p>
    <w:p w14:paraId="79145D63" w14:textId="77777777" w:rsidR="00861A4D" w:rsidRDefault="00861A4D" w:rsidP="00861A4D">
      <w:pPr>
        <w:spacing w:after="160" w:line="288" w:lineRule="auto"/>
        <w:jc w:val="both"/>
      </w:pPr>
      <w:r>
        <w:t xml:space="preserve">UK duties of up to 16% on leather and footwear are removed from Day 1, benefiting </w:t>
      </w:r>
      <w:proofErr w:type="spellStart"/>
      <w:r>
        <w:t>labour-intensive</w:t>
      </w:r>
      <w:proofErr w:type="spellEnd"/>
      <w:r>
        <w:t xml:space="preserve"> clusters (Kanpur, Agra, Chennai). These are MSME-dominated and standards-sensitive (REACH-type chemical limits, toy-safety rules). </w:t>
      </w:r>
      <w:r>
        <w:rPr>
          <w:rStyle w:val="FootnoteReference"/>
        </w:rPr>
        <w:footnoteReference w:id="31"/>
      </w:r>
      <w:r>
        <w:t>No official sector-specific export-value projection has been published for toys and sports goods; analysis rests on the tariff change and cluster capacity only.</w:t>
      </w:r>
    </w:p>
    <w:p w14:paraId="1D4FA3F7" w14:textId="77777777" w:rsidR="00861A4D" w:rsidRDefault="00861A4D" w:rsidP="00861A4D">
      <w:pPr>
        <w:pStyle w:val="Heading3"/>
        <w:spacing w:before="180" w:after="100"/>
      </w:pPr>
      <w:r>
        <w:rPr>
          <w:rFonts w:ascii="Calibri" w:eastAsia="Calibri" w:hAnsi="Calibri" w:cs="Calibri"/>
          <w:b/>
          <w:bCs/>
          <w:color w:val="16324F"/>
          <w:sz w:val="21"/>
          <w:szCs w:val="21"/>
        </w:rPr>
        <w:t>Legal services required</w:t>
      </w:r>
    </w:p>
    <w:p w14:paraId="1351FE18" w14:textId="77777777" w:rsidR="00861A4D" w:rsidRDefault="00861A4D" w:rsidP="00861A4D">
      <w:pPr>
        <w:pStyle w:val="ListParagraph"/>
        <w:numPr>
          <w:ilvl w:val="0"/>
          <w:numId w:val="2"/>
        </w:numPr>
        <w:spacing w:after="90" w:line="282" w:lineRule="auto"/>
        <w:contextualSpacing w:val="0"/>
        <w:jc w:val="both"/>
      </w:pPr>
      <w:r>
        <w:t xml:space="preserve">UK product-safety and chemical-restriction (REACH-type) compliance; toy-safety and CE/UKCA-equivalent conformity; </w:t>
      </w:r>
      <w:proofErr w:type="spellStart"/>
      <w:r>
        <w:t>RoO</w:t>
      </w:r>
      <w:proofErr w:type="spellEnd"/>
      <w:r>
        <w:t xml:space="preserve"> and self-certification for MSME clusters; ESG/leather-tanning environmental compliance.</w:t>
      </w:r>
    </w:p>
    <w:p w14:paraId="4B8D9D82" w14:textId="77777777" w:rsidR="00861A4D" w:rsidRDefault="00861A4D" w:rsidP="00861A4D">
      <w:pPr>
        <w:pStyle w:val="Heading2"/>
        <w:spacing w:before="240" w:after="120"/>
      </w:pPr>
      <w:proofErr w:type="gramStart"/>
      <w:r>
        <w:t>5.7  Electronics</w:t>
      </w:r>
      <w:proofErr w:type="gramEnd"/>
      <w:r>
        <w:t>, Telecom Equipment and Plastics (India → UK)</w:t>
      </w:r>
    </w:p>
    <w:p w14:paraId="12E06650" w14:textId="77777777" w:rsidR="00861A4D" w:rsidRDefault="00861A4D" w:rsidP="00861A4D">
      <w:pPr>
        <w:spacing w:after="160" w:line="288" w:lineRule="auto"/>
        <w:jc w:val="both"/>
      </w:pPr>
      <w:r>
        <w:t xml:space="preserve">Electronics is India’s fourth-largest export market to the UK with 25% growth in 2024-25; the Government projects exports doubling to about USD 4 billion by 2030 (an official projection), with recognition of Indian conformity-assessment bodies. India strategically excluded smartphones, smartwatches and telecom gear from its own tariff cuts to protect domestic manufacturing. Plastics: India was the UK’s 13th-largest supplier (FY 2024-25 exports ~USD 0.509 billion), projected by Government to reach ~USD 800 million over three years. </w:t>
      </w:r>
      <w:r>
        <w:rPr>
          <w:rStyle w:val="FootnoteReference"/>
        </w:rPr>
        <w:footnoteReference w:id="32"/>
      </w:r>
      <w:r>
        <w:t xml:space="preserve">Chemicals: </w:t>
      </w:r>
      <w:proofErr w:type="gramStart"/>
      <w:r>
        <w:t>the</w:t>
      </w:r>
      <w:proofErr w:type="gramEnd"/>
      <w:r>
        <w:t xml:space="preserve"> Government projects a 30–40% rise in chemical exports to the UK (~USD 650–750 million for 2025-26).</w:t>
      </w:r>
    </w:p>
    <w:p w14:paraId="45C1B59F" w14:textId="77777777" w:rsidR="00861A4D" w:rsidRDefault="00861A4D" w:rsidP="00861A4D">
      <w:pPr>
        <w:pStyle w:val="Heading3"/>
        <w:spacing w:before="180" w:after="100"/>
      </w:pPr>
      <w:r>
        <w:rPr>
          <w:rFonts w:ascii="Calibri" w:eastAsia="Calibri" w:hAnsi="Calibri" w:cs="Calibri"/>
          <w:b/>
          <w:bCs/>
          <w:color w:val="16324F"/>
          <w:sz w:val="21"/>
          <w:szCs w:val="21"/>
        </w:rPr>
        <w:t>Legal services required</w:t>
      </w:r>
    </w:p>
    <w:p w14:paraId="33617532" w14:textId="77777777" w:rsidR="00861A4D" w:rsidRDefault="00861A4D" w:rsidP="00861A4D">
      <w:pPr>
        <w:pStyle w:val="ListParagraph"/>
        <w:numPr>
          <w:ilvl w:val="0"/>
          <w:numId w:val="2"/>
        </w:numPr>
        <w:spacing w:after="90" w:line="282" w:lineRule="auto"/>
        <w:contextualSpacing w:val="0"/>
        <w:jc w:val="both"/>
      </w:pPr>
      <w:r>
        <w:t xml:space="preserve">Conformity-assessment and UKCA/technical-standards advice; telecom-equipment type approval; IP licensing for design and technology; import-side advice on </w:t>
      </w:r>
      <w:proofErr w:type="spellStart"/>
      <w:r>
        <w:t>liberalised</w:t>
      </w:r>
      <w:proofErr w:type="spellEnd"/>
      <w:r>
        <w:t xml:space="preserve"> intermediate inputs (battery parts).</w:t>
      </w:r>
    </w:p>
    <w:p w14:paraId="3CD9D03D" w14:textId="77777777" w:rsidR="00861A4D" w:rsidRDefault="00861A4D" w:rsidP="00861A4D">
      <w:pPr>
        <w:pStyle w:val="ListParagraph"/>
        <w:numPr>
          <w:ilvl w:val="0"/>
          <w:numId w:val="2"/>
        </w:numPr>
        <w:spacing w:after="90" w:line="282" w:lineRule="auto"/>
        <w:contextualSpacing w:val="0"/>
        <w:jc w:val="both"/>
      </w:pPr>
      <w:r>
        <w:t xml:space="preserve">Plastics: packaging-standards and single-use-plastic regulatory advice; </w:t>
      </w:r>
      <w:proofErr w:type="spellStart"/>
      <w:r>
        <w:t>RoO</w:t>
      </w:r>
      <w:proofErr w:type="spellEnd"/>
      <w:r>
        <w:t xml:space="preserve"> for polymer inputs (noting some polymers are excluded on India’s side).</w:t>
      </w:r>
    </w:p>
    <w:p w14:paraId="0B167C2B" w14:textId="77777777" w:rsidR="00861A4D" w:rsidRDefault="00861A4D" w:rsidP="00861A4D">
      <w:pPr>
        <w:pStyle w:val="Heading2"/>
        <w:spacing w:before="240" w:after="120"/>
      </w:pPr>
      <w:proofErr w:type="gramStart"/>
      <w:r>
        <w:t>5.8  Services</w:t>
      </w:r>
      <w:proofErr w:type="gramEnd"/>
      <w:r>
        <w:t>: IT/</w:t>
      </w:r>
      <w:proofErr w:type="spellStart"/>
      <w:r>
        <w:t>ITeS</w:t>
      </w:r>
      <w:proofErr w:type="spellEnd"/>
      <w:r>
        <w:t>, Financial, Professional and Education (India ↔ UK)</w:t>
      </w:r>
    </w:p>
    <w:p w14:paraId="78A64673" w14:textId="77777777" w:rsidR="00861A4D" w:rsidRDefault="00861A4D" w:rsidP="00861A4D">
      <w:pPr>
        <w:spacing w:after="160" w:line="288" w:lineRule="auto"/>
        <w:jc w:val="both"/>
      </w:pPr>
      <w:r>
        <w:t xml:space="preserve">Services are the dominant value component of the bilateral relationship. UK imports of Other Business Services from India were £11.7 billion and telecoms/computer/information services £2.3 billion in the </w:t>
      </w:r>
      <w:r>
        <w:lastRenderedPageBreak/>
        <w:t xml:space="preserve">12 months to Q4 2025. </w:t>
      </w:r>
      <w:r>
        <w:rPr>
          <w:rStyle w:val="FootnoteReference"/>
        </w:rPr>
        <w:footnoteReference w:id="33"/>
      </w:r>
      <w:r>
        <w:t xml:space="preserve">CETA plus the DCC materially lowers the cost of deploying Indian professionals to the UK. But the firm should temper client expectations: UK parliamentary evidence </w:t>
      </w:r>
      <w:proofErr w:type="spellStart"/>
      <w:r>
        <w:t>emphasises</w:t>
      </w:r>
      <w:proofErr w:type="spellEnd"/>
      <w:r>
        <w:t xml:space="preserve"> that CETA grants little </w:t>
      </w:r>
      <w:r>
        <w:rPr>
          <w:i/>
          <w:iCs/>
        </w:rPr>
        <w:t>new</w:t>
      </w:r>
      <w:r>
        <w:t xml:space="preserve"> services access and creates no new visa routes — the value is certainty and social-security savings, not expanded market entry.</w:t>
      </w:r>
    </w:p>
    <w:p w14:paraId="1DE998E6" w14:textId="77777777" w:rsidR="00861A4D" w:rsidRDefault="00861A4D" w:rsidP="00861A4D">
      <w:pPr>
        <w:pStyle w:val="Heading3"/>
        <w:spacing w:before="180" w:after="100"/>
      </w:pPr>
      <w:r>
        <w:rPr>
          <w:rFonts w:ascii="Calibri" w:eastAsia="Calibri" w:hAnsi="Calibri" w:cs="Calibri"/>
          <w:b/>
          <w:bCs/>
          <w:color w:val="16324F"/>
          <w:sz w:val="21"/>
          <w:szCs w:val="21"/>
        </w:rPr>
        <w:t>Legal services required</w:t>
      </w:r>
    </w:p>
    <w:p w14:paraId="259B716B" w14:textId="77777777" w:rsidR="00861A4D" w:rsidRDefault="00861A4D" w:rsidP="00861A4D">
      <w:pPr>
        <w:pStyle w:val="ListParagraph"/>
        <w:numPr>
          <w:ilvl w:val="0"/>
          <w:numId w:val="2"/>
        </w:numPr>
        <w:spacing w:after="90" w:line="282" w:lineRule="auto"/>
        <w:contextualSpacing w:val="0"/>
        <w:jc w:val="both"/>
      </w:pPr>
      <w:r>
        <w:t>DCC implementation: Certificate-of-Coverage processes, secondment agreements, tax-</w:t>
      </w:r>
      <w:proofErr w:type="spellStart"/>
      <w:r>
        <w:t>equalisation</w:t>
      </w:r>
      <w:proofErr w:type="spellEnd"/>
      <w:r>
        <w:t xml:space="preserve"> and payroll restructuring, PE-risk review for UK assignments.</w:t>
      </w:r>
    </w:p>
    <w:p w14:paraId="575AE2BF" w14:textId="77777777" w:rsidR="00861A4D" w:rsidRDefault="00861A4D" w:rsidP="00861A4D">
      <w:pPr>
        <w:pStyle w:val="ListParagraph"/>
        <w:numPr>
          <w:ilvl w:val="0"/>
          <w:numId w:val="2"/>
        </w:numPr>
        <w:spacing w:after="90" w:line="282" w:lineRule="auto"/>
        <w:contextualSpacing w:val="0"/>
        <w:jc w:val="both"/>
      </w:pPr>
      <w:r>
        <w:t>Cross-border data-transfer advice (India’s DPDP Act, 2023 and UK GDPR), IT master-services and SaaS contracts, IP ownership in deliverables, and mobility/immigration coordination.</w:t>
      </w:r>
    </w:p>
    <w:p w14:paraId="54B9A129" w14:textId="77777777" w:rsidR="00861A4D" w:rsidRDefault="00861A4D" w:rsidP="00861A4D">
      <w:pPr>
        <w:pStyle w:val="ListParagraph"/>
        <w:numPr>
          <w:ilvl w:val="0"/>
          <w:numId w:val="2"/>
        </w:numPr>
        <w:spacing w:after="90" w:line="282" w:lineRule="auto"/>
        <w:contextualSpacing w:val="0"/>
        <w:jc w:val="both"/>
      </w:pPr>
      <w:r>
        <w:t>Financial-services licensing and FCA/RBI perimeter advice; education-sector campus/partnership structuring; GIFT City interplay for financial-services back-office.</w:t>
      </w:r>
    </w:p>
    <w:p w14:paraId="706891AF" w14:textId="77777777" w:rsidR="00861A4D" w:rsidRDefault="00861A4D" w:rsidP="00861A4D">
      <w:r>
        <w:br w:type="page"/>
      </w:r>
    </w:p>
    <w:p w14:paraId="76A9E713" w14:textId="77777777" w:rsidR="00861A4D" w:rsidRDefault="00861A4D" w:rsidP="00861A4D">
      <w:pPr>
        <w:pStyle w:val="Heading1"/>
        <w:pBdr>
          <w:bottom w:val="single" w:sz="12" w:space="4" w:color="7A2E2E"/>
        </w:pBdr>
        <w:spacing w:before="320" w:after="160"/>
      </w:pPr>
      <w:r>
        <w:lastRenderedPageBreak/>
        <w:t>6</w:t>
      </w:r>
      <w:proofErr w:type="gramStart"/>
      <w:r>
        <w:t>.  Industry</w:t>
      </w:r>
      <w:proofErr w:type="gramEnd"/>
      <w:r>
        <w:t>-Wise Legal Opportunity Matrix</w:t>
      </w:r>
    </w:p>
    <w:p w14:paraId="6F12B185" w14:textId="77777777" w:rsidR="00861A4D" w:rsidRDefault="00861A4D" w:rsidP="00861A4D">
      <w:pPr>
        <w:spacing w:after="160" w:line="288" w:lineRule="auto"/>
        <w:jc w:val="both"/>
      </w:pPr>
      <w:r>
        <w:t>The matrix maps each sector to the practice areas most likely to generate instructions, and the primary trigger. It is a planning tool, not a client deliverable.</w:t>
      </w:r>
    </w:p>
    <w:tbl>
      <w:tblPr>
        <w:tblW w:w="9300" w:type="dxa"/>
        <w:tblBorders>
          <w:top w:val="single" w:sz="4" w:space="0" w:color="9AA5B1"/>
          <w:bottom w:val="single" w:sz="4" w:space="0" w:color="9AA5B1"/>
          <w:insideH w:val="single" w:sz="2" w:space="0" w:color="D5DBE1"/>
        </w:tblBorders>
        <w:tblCellMar>
          <w:left w:w="10" w:type="dxa"/>
          <w:right w:w="10" w:type="dxa"/>
        </w:tblCellMar>
        <w:tblLook w:val="04A0" w:firstRow="1" w:lastRow="0" w:firstColumn="1" w:lastColumn="0" w:noHBand="0" w:noVBand="1"/>
      </w:tblPr>
      <w:tblGrid>
        <w:gridCol w:w="2100"/>
        <w:gridCol w:w="4400"/>
        <w:gridCol w:w="2800"/>
      </w:tblGrid>
      <w:tr w:rsidR="00861A4D" w14:paraId="7A2F5C52" w14:textId="77777777" w:rsidTr="00D156A0">
        <w:trPr>
          <w:tblHeader/>
        </w:trPr>
        <w:tc>
          <w:tcPr>
            <w:tcW w:w="2100" w:type="dxa"/>
            <w:shd w:val="clear" w:color="auto" w:fill="16324F"/>
            <w:tcMar>
              <w:top w:w="60" w:type="dxa"/>
              <w:left w:w="80" w:type="dxa"/>
              <w:bottom w:w="60" w:type="dxa"/>
              <w:right w:w="80" w:type="dxa"/>
            </w:tcMar>
            <w:vAlign w:val="center"/>
          </w:tcPr>
          <w:p w14:paraId="3B3131A1" w14:textId="77777777" w:rsidR="00861A4D" w:rsidRDefault="00861A4D" w:rsidP="00D156A0">
            <w:pPr>
              <w:spacing w:line="252" w:lineRule="auto"/>
            </w:pPr>
            <w:r>
              <w:rPr>
                <w:rFonts w:ascii="Calibri" w:eastAsia="Calibri" w:hAnsi="Calibri" w:cs="Calibri"/>
                <w:b/>
                <w:bCs/>
                <w:color w:val="FFFFFF"/>
                <w:sz w:val="18"/>
                <w:szCs w:val="18"/>
              </w:rPr>
              <w:t>Sector</w:t>
            </w:r>
          </w:p>
        </w:tc>
        <w:tc>
          <w:tcPr>
            <w:tcW w:w="4400" w:type="dxa"/>
            <w:shd w:val="clear" w:color="auto" w:fill="16324F"/>
            <w:tcMar>
              <w:top w:w="60" w:type="dxa"/>
              <w:left w:w="80" w:type="dxa"/>
              <w:bottom w:w="60" w:type="dxa"/>
              <w:right w:w="80" w:type="dxa"/>
            </w:tcMar>
            <w:vAlign w:val="center"/>
          </w:tcPr>
          <w:p w14:paraId="6949C022" w14:textId="77777777" w:rsidR="00861A4D" w:rsidRDefault="00861A4D" w:rsidP="00D156A0">
            <w:pPr>
              <w:spacing w:line="252" w:lineRule="auto"/>
              <w:jc w:val="center"/>
            </w:pPr>
            <w:r>
              <w:rPr>
                <w:rFonts w:ascii="Calibri" w:eastAsia="Calibri" w:hAnsi="Calibri" w:cs="Calibri"/>
                <w:b/>
                <w:bCs/>
                <w:color w:val="FFFFFF"/>
                <w:sz w:val="18"/>
                <w:szCs w:val="18"/>
              </w:rPr>
              <w:t>Principal legal services likely to be instructed</w:t>
            </w:r>
          </w:p>
        </w:tc>
        <w:tc>
          <w:tcPr>
            <w:tcW w:w="2800" w:type="dxa"/>
            <w:shd w:val="clear" w:color="auto" w:fill="16324F"/>
            <w:tcMar>
              <w:top w:w="60" w:type="dxa"/>
              <w:left w:w="80" w:type="dxa"/>
              <w:bottom w:w="60" w:type="dxa"/>
              <w:right w:w="80" w:type="dxa"/>
            </w:tcMar>
            <w:vAlign w:val="center"/>
          </w:tcPr>
          <w:p w14:paraId="4D5CBF9A" w14:textId="77777777" w:rsidR="00861A4D" w:rsidRDefault="00861A4D" w:rsidP="00D156A0">
            <w:pPr>
              <w:spacing w:line="252" w:lineRule="auto"/>
              <w:jc w:val="center"/>
            </w:pPr>
            <w:r>
              <w:rPr>
                <w:rFonts w:ascii="Calibri" w:eastAsia="Calibri" w:hAnsi="Calibri" w:cs="Calibri"/>
                <w:b/>
                <w:bCs/>
                <w:color w:val="FFFFFF"/>
                <w:sz w:val="18"/>
                <w:szCs w:val="18"/>
              </w:rPr>
              <w:t>Primary demand trigger</w:t>
            </w:r>
          </w:p>
        </w:tc>
      </w:tr>
      <w:tr w:rsidR="00861A4D" w14:paraId="3CD7B09F" w14:textId="77777777" w:rsidTr="00D156A0">
        <w:tc>
          <w:tcPr>
            <w:tcW w:w="2100" w:type="dxa"/>
            <w:tcMar>
              <w:top w:w="60" w:type="dxa"/>
              <w:left w:w="80" w:type="dxa"/>
              <w:bottom w:w="60" w:type="dxa"/>
              <w:right w:w="80" w:type="dxa"/>
            </w:tcMar>
            <w:vAlign w:val="center"/>
          </w:tcPr>
          <w:p w14:paraId="05F5ACC7" w14:textId="77777777" w:rsidR="00861A4D" w:rsidRDefault="00861A4D" w:rsidP="00D156A0">
            <w:pPr>
              <w:spacing w:line="252" w:lineRule="auto"/>
            </w:pPr>
            <w:r>
              <w:rPr>
                <w:rFonts w:ascii="Calibri" w:eastAsia="Calibri" w:hAnsi="Calibri" w:cs="Calibri"/>
                <w:sz w:val="16"/>
                <w:szCs w:val="16"/>
              </w:rPr>
              <w:t>Textiles &amp; apparel</w:t>
            </w:r>
          </w:p>
        </w:tc>
        <w:tc>
          <w:tcPr>
            <w:tcW w:w="4400" w:type="dxa"/>
            <w:tcMar>
              <w:top w:w="60" w:type="dxa"/>
              <w:left w:w="80" w:type="dxa"/>
              <w:bottom w:w="60" w:type="dxa"/>
              <w:right w:w="80" w:type="dxa"/>
            </w:tcMar>
            <w:vAlign w:val="center"/>
          </w:tcPr>
          <w:p w14:paraId="3CF212DA" w14:textId="77777777" w:rsidR="00861A4D" w:rsidRDefault="00861A4D" w:rsidP="00D156A0">
            <w:pPr>
              <w:spacing w:line="252" w:lineRule="auto"/>
              <w:jc w:val="center"/>
            </w:pPr>
            <w:proofErr w:type="spellStart"/>
            <w:r>
              <w:rPr>
                <w:rFonts w:ascii="Calibri" w:eastAsia="Calibri" w:hAnsi="Calibri" w:cs="Calibri"/>
                <w:sz w:val="16"/>
                <w:szCs w:val="16"/>
              </w:rPr>
              <w:t>RoO</w:t>
            </w:r>
            <w:proofErr w:type="spellEnd"/>
            <w:r>
              <w:rPr>
                <w:rFonts w:ascii="Calibri" w:eastAsia="Calibri" w:hAnsi="Calibri" w:cs="Calibri"/>
                <w:sz w:val="16"/>
                <w:szCs w:val="16"/>
              </w:rPr>
              <w:t>/QVC compliance; customs audit-</w:t>
            </w:r>
            <w:proofErr w:type="spellStart"/>
            <w:r>
              <w:rPr>
                <w:rFonts w:ascii="Calibri" w:eastAsia="Calibri" w:hAnsi="Calibri" w:cs="Calibri"/>
                <w:sz w:val="16"/>
                <w:szCs w:val="16"/>
              </w:rPr>
              <w:t>defence</w:t>
            </w:r>
            <w:proofErr w:type="spellEnd"/>
            <w:r>
              <w:rPr>
                <w:rFonts w:ascii="Calibri" w:eastAsia="Calibri" w:hAnsi="Calibri" w:cs="Calibri"/>
                <w:sz w:val="16"/>
                <w:szCs w:val="16"/>
              </w:rPr>
              <w:t>; UK product-safety &amp; ESG; export contracts; DGFT scheme alignment</w:t>
            </w:r>
          </w:p>
        </w:tc>
        <w:tc>
          <w:tcPr>
            <w:tcW w:w="2800" w:type="dxa"/>
            <w:tcMar>
              <w:top w:w="60" w:type="dxa"/>
              <w:left w:w="80" w:type="dxa"/>
              <w:bottom w:w="60" w:type="dxa"/>
              <w:right w:w="80" w:type="dxa"/>
            </w:tcMar>
            <w:vAlign w:val="center"/>
          </w:tcPr>
          <w:p w14:paraId="2DCA16C1" w14:textId="77777777" w:rsidR="00861A4D" w:rsidRDefault="00861A4D" w:rsidP="00D156A0">
            <w:pPr>
              <w:spacing w:line="252" w:lineRule="auto"/>
              <w:jc w:val="center"/>
            </w:pPr>
            <w:r>
              <w:rPr>
                <w:rFonts w:ascii="Calibri" w:eastAsia="Calibri" w:hAnsi="Calibri" w:cs="Calibri"/>
                <w:sz w:val="16"/>
                <w:szCs w:val="16"/>
              </w:rPr>
              <w:t>Day-1 zero duty + MSME fragmentation</w:t>
            </w:r>
          </w:p>
        </w:tc>
      </w:tr>
      <w:tr w:rsidR="00861A4D" w14:paraId="46B967B3" w14:textId="77777777" w:rsidTr="00D156A0">
        <w:tc>
          <w:tcPr>
            <w:tcW w:w="2100" w:type="dxa"/>
            <w:shd w:val="clear" w:color="auto" w:fill="EEF2F6"/>
            <w:tcMar>
              <w:top w:w="60" w:type="dxa"/>
              <w:left w:w="80" w:type="dxa"/>
              <w:bottom w:w="60" w:type="dxa"/>
              <w:right w:w="80" w:type="dxa"/>
            </w:tcMar>
            <w:vAlign w:val="center"/>
          </w:tcPr>
          <w:p w14:paraId="399F9AAE" w14:textId="77777777" w:rsidR="00861A4D" w:rsidRDefault="00861A4D" w:rsidP="00D156A0">
            <w:pPr>
              <w:spacing w:line="252" w:lineRule="auto"/>
            </w:pPr>
            <w:r>
              <w:rPr>
                <w:rFonts w:ascii="Calibri" w:eastAsia="Calibri" w:hAnsi="Calibri" w:cs="Calibri"/>
                <w:sz w:val="16"/>
                <w:szCs w:val="16"/>
              </w:rPr>
              <w:t xml:space="preserve">Gems &amp; </w:t>
            </w:r>
            <w:proofErr w:type="spellStart"/>
            <w:r>
              <w:rPr>
                <w:rFonts w:ascii="Calibri" w:eastAsia="Calibri" w:hAnsi="Calibri" w:cs="Calibri"/>
                <w:sz w:val="16"/>
                <w:szCs w:val="16"/>
              </w:rPr>
              <w:t>jewellery</w:t>
            </w:r>
            <w:proofErr w:type="spellEnd"/>
          </w:p>
        </w:tc>
        <w:tc>
          <w:tcPr>
            <w:tcW w:w="4400" w:type="dxa"/>
            <w:shd w:val="clear" w:color="auto" w:fill="EEF2F6"/>
            <w:tcMar>
              <w:top w:w="60" w:type="dxa"/>
              <w:left w:w="80" w:type="dxa"/>
              <w:bottom w:w="60" w:type="dxa"/>
              <w:right w:w="80" w:type="dxa"/>
            </w:tcMar>
            <w:vAlign w:val="center"/>
          </w:tcPr>
          <w:p w14:paraId="3AFDD3A9" w14:textId="77777777" w:rsidR="00861A4D" w:rsidRDefault="00861A4D" w:rsidP="00D156A0">
            <w:pPr>
              <w:spacing w:line="252" w:lineRule="auto"/>
              <w:jc w:val="center"/>
            </w:pPr>
            <w:r>
              <w:rPr>
                <w:rFonts w:ascii="Calibri" w:eastAsia="Calibri" w:hAnsi="Calibri" w:cs="Calibri"/>
                <w:sz w:val="16"/>
                <w:szCs w:val="16"/>
              </w:rPr>
              <w:t xml:space="preserve">Customs valuation; AML/PMLA; FEMA </w:t>
            </w:r>
            <w:proofErr w:type="spellStart"/>
            <w:r>
              <w:rPr>
                <w:rFonts w:ascii="Calibri" w:eastAsia="Calibri" w:hAnsi="Calibri" w:cs="Calibri"/>
                <w:sz w:val="16"/>
                <w:szCs w:val="16"/>
              </w:rPr>
              <w:t>realisation</w:t>
            </w:r>
            <w:proofErr w:type="spellEnd"/>
            <w:r>
              <w:rPr>
                <w:rFonts w:ascii="Calibri" w:eastAsia="Calibri" w:hAnsi="Calibri" w:cs="Calibri"/>
                <w:sz w:val="16"/>
                <w:szCs w:val="16"/>
              </w:rPr>
              <w:t>; consignment contracts; hallmarking</w:t>
            </w:r>
          </w:p>
        </w:tc>
        <w:tc>
          <w:tcPr>
            <w:tcW w:w="2800" w:type="dxa"/>
            <w:shd w:val="clear" w:color="auto" w:fill="EEF2F6"/>
            <w:tcMar>
              <w:top w:w="60" w:type="dxa"/>
              <w:left w:w="80" w:type="dxa"/>
              <w:bottom w:w="60" w:type="dxa"/>
              <w:right w:w="80" w:type="dxa"/>
            </w:tcMar>
            <w:vAlign w:val="center"/>
          </w:tcPr>
          <w:p w14:paraId="36ADDB0E" w14:textId="77777777" w:rsidR="00861A4D" w:rsidRDefault="00861A4D" w:rsidP="00D156A0">
            <w:pPr>
              <w:spacing w:line="252" w:lineRule="auto"/>
              <w:jc w:val="center"/>
            </w:pPr>
            <w:r>
              <w:rPr>
                <w:rFonts w:ascii="Calibri" w:eastAsia="Calibri" w:hAnsi="Calibri" w:cs="Calibri"/>
                <w:sz w:val="16"/>
                <w:szCs w:val="16"/>
              </w:rPr>
              <w:t>Day-1 zero duty + AML sensitivity</w:t>
            </w:r>
          </w:p>
        </w:tc>
      </w:tr>
      <w:tr w:rsidR="00861A4D" w14:paraId="5D474909" w14:textId="77777777" w:rsidTr="00D156A0">
        <w:tc>
          <w:tcPr>
            <w:tcW w:w="2100" w:type="dxa"/>
            <w:tcMar>
              <w:top w:w="60" w:type="dxa"/>
              <w:left w:w="80" w:type="dxa"/>
              <w:bottom w:w="60" w:type="dxa"/>
              <w:right w:w="80" w:type="dxa"/>
            </w:tcMar>
            <w:vAlign w:val="center"/>
          </w:tcPr>
          <w:p w14:paraId="51CC2008" w14:textId="77777777" w:rsidR="00861A4D" w:rsidRDefault="00861A4D" w:rsidP="00D156A0">
            <w:pPr>
              <w:spacing w:line="252" w:lineRule="auto"/>
            </w:pPr>
            <w:r>
              <w:rPr>
                <w:rFonts w:ascii="Calibri" w:eastAsia="Calibri" w:hAnsi="Calibri" w:cs="Calibri"/>
                <w:sz w:val="16"/>
                <w:szCs w:val="16"/>
              </w:rPr>
              <w:t>Engineering &amp; auto components</w:t>
            </w:r>
          </w:p>
        </w:tc>
        <w:tc>
          <w:tcPr>
            <w:tcW w:w="4400" w:type="dxa"/>
            <w:tcMar>
              <w:top w:w="60" w:type="dxa"/>
              <w:left w:w="80" w:type="dxa"/>
              <w:bottom w:w="60" w:type="dxa"/>
              <w:right w:w="80" w:type="dxa"/>
            </w:tcMar>
            <w:vAlign w:val="center"/>
          </w:tcPr>
          <w:p w14:paraId="1EF5C33A" w14:textId="77777777" w:rsidR="00861A4D" w:rsidRDefault="00861A4D" w:rsidP="00D156A0">
            <w:pPr>
              <w:spacing w:line="252" w:lineRule="auto"/>
              <w:jc w:val="center"/>
            </w:pPr>
            <w:r>
              <w:rPr>
                <w:rFonts w:ascii="Calibri" w:eastAsia="Calibri" w:hAnsi="Calibri" w:cs="Calibri"/>
                <w:sz w:val="16"/>
                <w:szCs w:val="16"/>
              </w:rPr>
              <w:t>Cumulation/</w:t>
            </w:r>
            <w:proofErr w:type="spellStart"/>
            <w:r>
              <w:rPr>
                <w:rFonts w:ascii="Calibri" w:eastAsia="Calibri" w:hAnsi="Calibri" w:cs="Calibri"/>
                <w:sz w:val="16"/>
                <w:szCs w:val="16"/>
              </w:rPr>
              <w:t>RoO</w:t>
            </w:r>
            <w:proofErr w:type="spellEnd"/>
            <w:r>
              <w:rPr>
                <w:rFonts w:ascii="Calibri" w:eastAsia="Calibri" w:hAnsi="Calibri" w:cs="Calibri"/>
                <w:sz w:val="16"/>
                <w:szCs w:val="16"/>
              </w:rPr>
              <w:t xml:space="preserve"> planning; product liability; supply &amp; licensing agreements; competition review</w:t>
            </w:r>
          </w:p>
        </w:tc>
        <w:tc>
          <w:tcPr>
            <w:tcW w:w="2800" w:type="dxa"/>
            <w:tcMar>
              <w:top w:w="60" w:type="dxa"/>
              <w:left w:w="80" w:type="dxa"/>
              <w:bottom w:w="60" w:type="dxa"/>
              <w:right w:w="80" w:type="dxa"/>
            </w:tcMar>
            <w:vAlign w:val="center"/>
          </w:tcPr>
          <w:p w14:paraId="554F4643" w14:textId="77777777" w:rsidR="00861A4D" w:rsidRDefault="00861A4D" w:rsidP="00D156A0">
            <w:pPr>
              <w:spacing w:line="252" w:lineRule="auto"/>
              <w:jc w:val="center"/>
            </w:pPr>
            <w:r>
              <w:rPr>
                <w:rFonts w:ascii="Calibri" w:eastAsia="Calibri" w:hAnsi="Calibri" w:cs="Calibri"/>
                <w:sz w:val="16"/>
                <w:szCs w:val="16"/>
              </w:rPr>
              <w:t>Up-to-18% tariff removal + supply-chain complexity</w:t>
            </w:r>
          </w:p>
        </w:tc>
      </w:tr>
      <w:tr w:rsidR="00861A4D" w14:paraId="7DB8453B" w14:textId="77777777" w:rsidTr="00D156A0">
        <w:tc>
          <w:tcPr>
            <w:tcW w:w="2100" w:type="dxa"/>
            <w:shd w:val="clear" w:color="auto" w:fill="EEF2F6"/>
            <w:tcMar>
              <w:top w:w="60" w:type="dxa"/>
              <w:left w:w="80" w:type="dxa"/>
              <w:bottom w:w="60" w:type="dxa"/>
              <w:right w:w="80" w:type="dxa"/>
            </w:tcMar>
            <w:vAlign w:val="center"/>
          </w:tcPr>
          <w:p w14:paraId="12C9D02A" w14:textId="77777777" w:rsidR="00861A4D" w:rsidRDefault="00861A4D" w:rsidP="00D156A0">
            <w:pPr>
              <w:spacing w:line="252" w:lineRule="auto"/>
            </w:pPr>
            <w:r>
              <w:rPr>
                <w:rFonts w:ascii="Calibri" w:eastAsia="Calibri" w:hAnsi="Calibri" w:cs="Calibri"/>
                <w:sz w:val="16"/>
                <w:szCs w:val="16"/>
              </w:rPr>
              <w:t>Pharma &amp; medical devices</w:t>
            </w:r>
          </w:p>
        </w:tc>
        <w:tc>
          <w:tcPr>
            <w:tcW w:w="4400" w:type="dxa"/>
            <w:shd w:val="clear" w:color="auto" w:fill="EEF2F6"/>
            <w:tcMar>
              <w:top w:w="60" w:type="dxa"/>
              <w:left w:w="80" w:type="dxa"/>
              <w:bottom w:w="60" w:type="dxa"/>
              <w:right w:w="80" w:type="dxa"/>
            </w:tcMar>
            <w:vAlign w:val="center"/>
          </w:tcPr>
          <w:p w14:paraId="63439254" w14:textId="77777777" w:rsidR="00861A4D" w:rsidRDefault="00861A4D" w:rsidP="00D156A0">
            <w:pPr>
              <w:spacing w:line="252" w:lineRule="auto"/>
              <w:jc w:val="center"/>
            </w:pPr>
            <w:r>
              <w:rPr>
                <w:rFonts w:ascii="Calibri" w:eastAsia="Calibri" w:hAnsi="Calibri" w:cs="Calibri"/>
                <w:sz w:val="16"/>
                <w:szCs w:val="16"/>
              </w:rPr>
              <w:t>MHRA/CDSCO strategy; GMP recognition; patent/FTO; product liability; device import licensing</w:t>
            </w:r>
          </w:p>
        </w:tc>
        <w:tc>
          <w:tcPr>
            <w:tcW w:w="2800" w:type="dxa"/>
            <w:shd w:val="clear" w:color="auto" w:fill="EEF2F6"/>
            <w:tcMar>
              <w:top w:w="60" w:type="dxa"/>
              <w:left w:w="80" w:type="dxa"/>
              <w:bottom w:w="60" w:type="dxa"/>
              <w:right w:w="80" w:type="dxa"/>
            </w:tcMar>
            <w:vAlign w:val="center"/>
          </w:tcPr>
          <w:p w14:paraId="32518DC3" w14:textId="77777777" w:rsidR="00861A4D" w:rsidRDefault="00861A4D" w:rsidP="00D156A0">
            <w:pPr>
              <w:spacing w:line="252" w:lineRule="auto"/>
              <w:jc w:val="center"/>
            </w:pPr>
            <w:r>
              <w:rPr>
                <w:rFonts w:ascii="Calibri" w:eastAsia="Calibri" w:hAnsi="Calibri" w:cs="Calibri"/>
                <w:sz w:val="16"/>
                <w:szCs w:val="16"/>
              </w:rPr>
              <w:t>Tariff removal + IP-chapter generics protection</w:t>
            </w:r>
          </w:p>
        </w:tc>
      </w:tr>
      <w:tr w:rsidR="00861A4D" w14:paraId="4CF4C02B" w14:textId="77777777" w:rsidTr="00D156A0">
        <w:tc>
          <w:tcPr>
            <w:tcW w:w="2100" w:type="dxa"/>
            <w:tcMar>
              <w:top w:w="60" w:type="dxa"/>
              <w:left w:w="80" w:type="dxa"/>
              <w:bottom w:w="60" w:type="dxa"/>
              <w:right w:w="80" w:type="dxa"/>
            </w:tcMar>
            <w:vAlign w:val="center"/>
          </w:tcPr>
          <w:p w14:paraId="2144EF02" w14:textId="77777777" w:rsidR="00861A4D" w:rsidRDefault="00861A4D" w:rsidP="00D156A0">
            <w:pPr>
              <w:spacing w:line="252" w:lineRule="auto"/>
            </w:pPr>
            <w:r>
              <w:rPr>
                <w:rFonts w:ascii="Calibri" w:eastAsia="Calibri" w:hAnsi="Calibri" w:cs="Calibri"/>
                <w:sz w:val="16"/>
                <w:szCs w:val="16"/>
              </w:rPr>
              <w:t xml:space="preserve">Marine, </w:t>
            </w:r>
            <w:proofErr w:type="spellStart"/>
            <w:r>
              <w:rPr>
                <w:rFonts w:ascii="Calibri" w:eastAsia="Calibri" w:hAnsi="Calibri" w:cs="Calibri"/>
                <w:sz w:val="16"/>
                <w:szCs w:val="16"/>
              </w:rPr>
              <w:t>agri</w:t>
            </w:r>
            <w:proofErr w:type="spellEnd"/>
            <w:r>
              <w:rPr>
                <w:rFonts w:ascii="Calibri" w:eastAsia="Calibri" w:hAnsi="Calibri" w:cs="Calibri"/>
                <w:sz w:val="16"/>
                <w:szCs w:val="16"/>
              </w:rPr>
              <w:t xml:space="preserve"> &amp; food</w:t>
            </w:r>
          </w:p>
        </w:tc>
        <w:tc>
          <w:tcPr>
            <w:tcW w:w="4400" w:type="dxa"/>
            <w:tcMar>
              <w:top w:w="60" w:type="dxa"/>
              <w:left w:w="80" w:type="dxa"/>
              <w:bottom w:w="60" w:type="dxa"/>
              <w:right w:w="80" w:type="dxa"/>
            </w:tcMar>
            <w:vAlign w:val="center"/>
          </w:tcPr>
          <w:p w14:paraId="6C91DBE4" w14:textId="77777777" w:rsidR="00861A4D" w:rsidRDefault="00861A4D" w:rsidP="00D156A0">
            <w:pPr>
              <w:spacing w:line="252" w:lineRule="auto"/>
              <w:jc w:val="center"/>
            </w:pPr>
            <w:r>
              <w:rPr>
                <w:rFonts w:ascii="Calibri" w:eastAsia="Calibri" w:hAnsi="Calibri" w:cs="Calibri"/>
                <w:sz w:val="16"/>
                <w:szCs w:val="16"/>
              </w:rPr>
              <w:t>SPS/food-safety; GI protection; APEDA/MPEDA alignment; cold-chain contracts</w:t>
            </w:r>
          </w:p>
        </w:tc>
        <w:tc>
          <w:tcPr>
            <w:tcW w:w="2800" w:type="dxa"/>
            <w:tcMar>
              <w:top w:w="60" w:type="dxa"/>
              <w:left w:w="80" w:type="dxa"/>
              <w:bottom w:w="60" w:type="dxa"/>
              <w:right w:w="80" w:type="dxa"/>
            </w:tcMar>
            <w:vAlign w:val="center"/>
          </w:tcPr>
          <w:p w14:paraId="32ADB490" w14:textId="77777777" w:rsidR="00861A4D" w:rsidRDefault="00861A4D" w:rsidP="00D156A0">
            <w:pPr>
              <w:spacing w:line="252" w:lineRule="auto"/>
              <w:jc w:val="center"/>
            </w:pPr>
            <w:r>
              <w:rPr>
                <w:rFonts w:ascii="Calibri" w:eastAsia="Calibri" w:hAnsi="Calibri" w:cs="Calibri"/>
                <w:sz w:val="16"/>
                <w:szCs w:val="16"/>
              </w:rPr>
              <w:t>SPS facility pre-listing + tariff removal</w:t>
            </w:r>
          </w:p>
        </w:tc>
      </w:tr>
      <w:tr w:rsidR="00861A4D" w14:paraId="3E57A8FB" w14:textId="77777777" w:rsidTr="00D156A0">
        <w:tc>
          <w:tcPr>
            <w:tcW w:w="2100" w:type="dxa"/>
            <w:shd w:val="clear" w:color="auto" w:fill="EEF2F6"/>
            <w:tcMar>
              <w:top w:w="60" w:type="dxa"/>
              <w:left w:w="80" w:type="dxa"/>
              <w:bottom w:w="60" w:type="dxa"/>
              <w:right w:w="80" w:type="dxa"/>
            </w:tcMar>
            <w:vAlign w:val="center"/>
          </w:tcPr>
          <w:p w14:paraId="647D12E0" w14:textId="77777777" w:rsidR="00861A4D" w:rsidRDefault="00861A4D" w:rsidP="00D156A0">
            <w:pPr>
              <w:spacing w:line="252" w:lineRule="auto"/>
            </w:pPr>
            <w:r>
              <w:rPr>
                <w:rFonts w:ascii="Calibri" w:eastAsia="Calibri" w:hAnsi="Calibri" w:cs="Calibri"/>
                <w:sz w:val="16"/>
                <w:szCs w:val="16"/>
              </w:rPr>
              <w:t>Leather, footwear, toys</w:t>
            </w:r>
          </w:p>
        </w:tc>
        <w:tc>
          <w:tcPr>
            <w:tcW w:w="4400" w:type="dxa"/>
            <w:shd w:val="clear" w:color="auto" w:fill="EEF2F6"/>
            <w:tcMar>
              <w:top w:w="60" w:type="dxa"/>
              <w:left w:w="80" w:type="dxa"/>
              <w:bottom w:w="60" w:type="dxa"/>
              <w:right w:w="80" w:type="dxa"/>
            </w:tcMar>
            <w:vAlign w:val="center"/>
          </w:tcPr>
          <w:p w14:paraId="2D4A12BD" w14:textId="77777777" w:rsidR="00861A4D" w:rsidRDefault="00861A4D" w:rsidP="00D156A0">
            <w:pPr>
              <w:spacing w:line="252" w:lineRule="auto"/>
              <w:jc w:val="center"/>
            </w:pPr>
            <w:r>
              <w:rPr>
                <w:rFonts w:ascii="Calibri" w:eastAsia="Calibri" w:hAnsi="Calibri" w:cs="Calibri"/>
                <w:sz w:val="16"/>
                <w:szCs w:val="16"/>
              </w:rPr>
              <w:t xml:space="preserve">REACH-type &amp; toy-safety compliance; </w:t>
            </w:r>
            <w:proofErr w:type="spellStart"/>
            <w:r>
              <w:rPr>
                <w:rFonts w:ascii="Calibri" w:eastAsia="Calibri" w:hAnsi="Calibri" w:cs="Calibri"/>
                <w:sz w:val="16"/>
                <w:szCs w:val="16"/>
              </w:rPr>
              <w:t>RoO</w:t>
            </w:r>
            <w:proofErr w:type="spellEnd"/>
            <w:r>
              <w:rPr>
                <w:rFonts w:ascii="Calibri" w:eastAsia="Calibri" w:hAnsi="Calibri" w:cs="Calibri"/>
                <w:sz w:val="16"/>
                <w:szCs w:val="16"/>
              </w:rPr>
              <w:t>; environmental (tanning) compliance</w:t>
            </w:r>
          </w:p>
        </w:tc>
        <w:tc>
          <w:tcPr>
            <w:tcW w:w="2800" w:type="dxa"/>
            <w:shd w:val="clear" w:color="auto" w:fill="EEF2F6"/>
            <w:tcMar>
              <w:top w:w="60" w:type="dxa"/>
              <w:left w:w="80" w:type="dxa"/>
              <w:bottom w:w="60" w:type="dxa"/>
              <w:right w:w="80" w:type="dxa"/>
            </w:tcMar>
            <w:vAlign w:val="center"/>
          </w:tcPr>
          <w:p w14:paraId="0DBD9DB4" w14:textId="77777777" w:rsidR="00861A4D" w:rsidRDefault="00861A4D" w:rsidP="00D156A0">
            <w:pPr>
              <w:spacing w:line="252" w:lineRule="auto"/>
              <w:jc w:val="center"/>
            </w:pPr>
            <w:r>
              <w:rPr>
                <w:rFonts w:ascii="Calibri" w:eastAsia="Calibri" w:hAnsi="Calibri" w:cs="Calibri"/>
                <w:sz w:val="16"/>
                <w:szCs w:val="16"/>
              </w:rPr>
              <w:t>Up-to-16% tariff removal + standards</w:t>
            </w:r>
          </w:p>
        </w:tc>
      </w:tr>
      <w:tr w:rsidR="00861A4D" w14:paraId="56CB6779" w14:textId="77777777" w:rsidTr="00D156A0">
        <w:tc>
          <w:tcPr>
            <w:tcW w:w="2100" w:type="dxa"/>
            <w:tcMar>
              <w:top w:w="60" w:type="dxa"/>
              <w:left w:w="80" w:type="dxa"/>
              <w:bottom w:w="60" w:type="dxa"/>
              <w:right w:w="80" w:type="dxa"/>
            </w:tcMar>
            <w:vAlign w:val="center"/>
          </w:tcPr>
          <w:p w14:paraId="43FA6D90" w14:textId="77777777" w:rsidR="00861A4D" w:rsidRDefault="00861A4D" w:rsidP="00D156A0">
            <w:pPr>
              <w:spacing w:line="252" w:lineRule="auto"/>
            </w:pPr>
            <w:r>
              <w:rPr>
                <w:rFonts w:ascii="Calibri" w:eastAsia="Calibri" w:hAnsi="Calibri" w:cs="Calibri"/>
                <w:sz w:val="16"/>
                <w:szCs w:val="16"/>
              </w:rPr>
              <w:t xml:space="preserve">Electronics, </w:t>
            </w:r>
            <w:proofErr w:type="gramStart"/>
            <w:r>
              <w:rPr>
                <w:rFonts w:ascii="Calibri" w:eastAsia="Calibri" w:hAnsi="Calibri" w:cs="Calibri"/>
                <w:sz w:val="16"/>
                <w:szCs w:val="16"/>
              </w:rPr>
              <w:t>telecom</w:t>
            </w:r>
            <w:proofErr w:type="gramEnd"/>
            <w:r>
              <w:rPr>
                <w:rFonts w:ascii="Calibri" w:eastAsia="Calibri" w:hAnsi="Calibri" w:cs="Calibri"/>
                <w:sz w:val="16"/>
                <w:szCs w:val="16"/>
              </w:rPr>
              <w:t>, plastics</w:t>
            </w:r>
          </w:p>
        </w:tc>
        <w:tc>
          <w:tcPr>
            <w:tcW w:w="4400" w:type="dxa"/>
            <w:tcMar>
              <w:top w:w="60" w:type="dxa"/>
              <w:left w:w="80" w:type="dxa"/>
              <w:bottom w:w="60" w:type="dxa"/>
              <w:right w:w="80" w:type="dxa"/>
            </w:tcMar>
            <w:vAlign w:val="center"/>
          </w:tcPr>
          <w:p w14:paraId="794A18FB" w14:textId="77777777" w:rsidR="00861A4D" w:rsidRDefault="00861A4D" w:rsidP="00D156A0">
            <w:pPr>
              <w:spacing w:line="252" w:lineRule="auto"/>
              <w:jc w:val="center"/>
            </w:pPr>
            <w:r>
              <w:rPr>
                <w:rFonts w:ascii="Calibri" w:eastAsia="Calibri" w:hAnsi="Calibri" w:cs="Calibri"/>
                <w:sz w:val="16"/>
                <w:szCs w:val="16"/>
              </w:rPr>
              <w:t>Conformity assessment/UKCA; type approval; IP licensing; packaging/plastics regulation</w:t>
            </w:r>
          </w:p>
        </w:tc>
        <w:tc>
          <w:tcPr>
            <w:tcW w:w="2800" w:type="dxa"/>
            <w:tcMar>
              <w:top w:w="60" w:type="dxa"/>
              <w:left w:w="80" w:type="dxa"/>
              <w:bottom w:w="60" w:type="dxa"/>
              <w:right w:w="80" w:type="dxa"/>
            </w:tcMar>
            <w:vAlign w:val="center"/>
          </w:tcPr>
          <w:p w14:paraId="2AAD5610" w14:textId="77777777" w:rsidR="00861A4D" w:rsidRDefault="00861A4D" w:rsidP="00D156A0">
            <w:pPr>
              <w:spacing w:line="252" w:lineRule="auto"/>
              <w:jc w:val="center"/>
            </w:pPr>
            <w:r>
              <w:rPr>
                <w:rFonts w:ascii="Calibri" w:eastAsia="Calibri" w:hAnsi="Calibri" w:cs="Calibri"/>
                <w:sz w:val="16"/>
                <w:szCs w:val="16"/>
              </w:rPr>
              <w:t>Conformity-body recognition + tariff removal</w:t>
            </w:r>
          </w:p>
        </w:tc>
      </w:tr>
      <w:tr w:rsidR="00861A4D" w14:paraId="626B0FD0" w14:textId="77777777" w:rsidTr="00D156A0">
        <w:tc>
          <w:tcPr>
            <w:tcW w:w="2100" w:type="dxa"/>
            <w:shd w:val="clear" w:color="auto" w:fill="EEF2F6"/>
            <w:tcMar>
              <w:top w:w="60" w:type="dxa"/>
              <w:left w:w="80" w:type="dxa"/>
              <w:bottom w:w="60" w:type="dxa"/>
              <w:right w:w="80" w:type="dxa"/>
            </w:tcMar>
            <w:vAlign w:val="center"/>
          </w:tcPr>
          <w:p w14:paraId="544D679F" w14:textId="77777777" w:rsidR="00861A4D" w:rsidRDefault="00861A4D" w:rsidP="00D156A0">
            <w:pPr>
              <w:spacing w:line="252" w:lineRule="auto"/>
            </w:pPr>
            <w:r>
              <w:rPr>
                <w:rFonts w:ascii="Calibri" w:eastAsia="Calibri" w:hAnsi="Calibri" w:cs="Calibri"/>
                <w:sz w:val="16"/>
                <w:szCs w:val="16"/>
              </w:rPr>
              <w:t>IT/</w:t>
            </w:r>
            <w:proofErr w:type="spellStart"/>
            <w:r>
              <w:rPr>
                <w:rFonts w:ascii="Calibri" w:eastAsia="Calibri" w:hAnsi="Calibri" w:cs="Calibri"/>
                <w:sz w:val="16"/>
                <w:szCs w:val="16"/>
              </w:rPr>
              <w:t>ITeS</w:t>
            </w:r>
            <w:proofErr w:type="spellEnd"/>
            <w:r>
              <w:rPr>
                <w:rFonts w:ascii="Calibri" w:eastAsia="Calibri" w:hAnsi="Calibri" w:cs="Calibri"/>
                <w:sz w:val="16"/>
                <w:szCs w:val="16"/>
              </w:rPr>
              <w:t xml:space="preserve"> &amp; professional services</w:t>
            </w:r>
          </w:p>
        </w:tc>
        <w:tc>
          <w:tcPr>
            <w:tcW w:w="4400" w:type="dxa"/>
            <w:shd w:val="clear" w:color="auto" w:fill="EEF2F6"/>
            <w:tcMar>
              <w:top w:w="60" w:type="dxa"/>
              <w:left w:w="80" w:type="dxa"/>
              <w:bottom w:w="60" w:type="dxa"/>
              <w:right w:w="80" w:type="dxa"/>
            </w:tcMar>
            <w:vAlign w:val="center"/>
          </w:tcPr>
          <w:p w14:paraId="388D105C" w14:textId="77777777" w:rsidR="00861A4D" w:rsidRDefault="00861A4D" w:rsidP="00D156A0">
            <w:pPr>
              <w:spacing w:line="252" w:lineRule="auto"/>
              <w:jc w:val="center"/>
            </w:pPr>
            <w:r>
              <w:rPr>
                <w:rFonts w:ascii="Calibri" w:eastAsia="Calibri" w:hAnsi="Calibri" w:cs="Calibri"/>
                <w:sz w:val="16"/>
                <w:szCs w:val="16"/>
              </w:rPr>
              <w:t>DCC/</w:t>
            </w:r>
            <w:proofErr w:type="gramStart"/>
            <w:r>
              <w:rPr>
                <w:rFonts w:ascii="Calibri" w:eastAsia="Calibri" w:hAnsi="Calibri" w:cs="Calibri"/>
                <w:sz w:val="16"/>
                <w:szCs w:val="16"/>
              </w:rPr>
              <w:t>social-security</w:t>
            </w:r>
            <w:proofErr w:type="gramEnd"/>
            <w:r>
              <w:rPr>
                <w:rFonts w:ascii="Calibri" w:eastAsia="Calibri" w:hAnsi="Calibri" w:cs="Calibri"/>
                <w:sz w:val="16"/>
                <w:szCs w:val="16"/>
              </w:rPr>
              <w:t>; secondment &amp; tax-</w:t>
            </w:r>
            <w:proofErr w:type="spellStart"/>
            <w:r>
              <w:rPr>
                <w:rFonts w:ascii="Calibri" w:eastAsia="Calibri" w:hAnsi="Calibri" w:cs="Calibri"/>
                <w:sz w:val="16"/>
                <w:szCs w:val="16"/>
              </w:rPr>
              <w:t>equalisation</w:t>
            </w:r>
            <w:proofErr w:type="spellEnd"/>
            <w:r>
              <w:rPr>
                <w:rFonts w:ascii="Calibri" w:eastAsia="Calibri" w:hAnsi="Calibri" w:cs="Calibri"/>
                <w:sz w:val="16"/>
                <w:szCs w:val="16"/>
              </w:rPr>
              <w:t>; data-transfer; IT/SaaS contracts</w:t>
            </w:r>
          </w:p>
        </w:tc>
        <w:tc>
          <w:tcPr>
            <w:tcW w:w="2800" w:type="dxa"/>
            <w:shd w:val="clear" w:color="auto" w:fill="EEF2F6"/>
            <w:tcMar>
              <w:top w:w="60" w:type="dxa"/>
              <w:left w:w="80" w:type="dxa"/>
              <w:bottom w:w="60" w:type="dxa"/>
              <w:right w:w="80" w:type="dxa"/>
            </w:tcMar>
            <w:vAlign w:val="center"/>
          </w:tcPr>
          <w:p w14:paraId="16B96BD9" w14:textId="77777777" w:rsidR="00861A4D" w:rsidRDefault="00861A4D" w:rsidP="00D156A0">
            <w:pPr>
              <w:spacing w:line="252" w:lineRule="auto"/>
              <w:jc w:val="center"/>
            </w:pPr>
            <w:r>
              <w:rPr>
                <w:rFonts w:ascii="Calibri" w:eastAsia="Calibri" w:hAnsi="Calibri" w:cs="Calibri"/>
                <w:sz w:val="16"/>
                <w:szCs w:val="16"/>
              </w:rPr>
              <w:t>DCC entry into force + mobility</w:t>
            </w:r>
          </w:p>
        </w:tc>
      </w:tr>
      <w:tr w:rsidR="00861A4D" w14:paraId="72AEFE4B" w14:textId="77777777" w:rsidTr="00D156A0">
        <w:tc>
          <w:tcPr>
            <w:tcW w:w="2100" w:type="dxa"/>
            <w:tcMar>
              <w:top w:w="60" w:type="dxa"/>
              <w:left w:w="80" w:type="dxa"/>
              <w:bottom w:w="60" w:type="dxa"/>
              <w:right w:w="80" w:type="dxa"/>
            </w:tcMar>
            <w:vAlign w:val="center"/>
          </w:tcPr>
          <w:p w14:paraId="404A904E" w14:textId="77777777" w:rsidR="00861A4D" w:rsidRDefault="00861A4D" w:rsidP="00D156A0">
            <w:pPr>
              <w:spacing w:line="252" w:lineRule="auto"/>
            </w:pPr>
            <w:r>
              <w:rPr>
                <w:rFonts w:ascii="Calibri" w:eastAsia="Calibri" w:hAnsi="Calibri" w:cs="Calibri"/>
                <w:sz w:val="16"/>
                <w:szCs w:val="16"/>
              </w:rPr>
              <w:t>Whisky/spirits (import)</w:t>
            </w:r>
          </w:p>
        </w:tc>
        <w:tc>
          <w:tcPr>
            <w:tcW w:w="4400" w:type="dxa"/>
            <w:tcMar>
              <w:top w:w="60" w:type="dxa"/>
              <w:left w:w="80" w:type="dxa"/>
              <w:bottom w:w="60" w:type="dxa"/>
              <w:right w:w="80" w:type="dxa"/>
            </w:tcMar>
            <w:vAlign w:val="center"/>
          </w:tcPr>
          <w:p w14:paraId="078ECFD7" w14:textId="77777777" w:rsidR="00861A4D" w:rsidRDefault="00861A4D" w:rsidP="00D156A0">
            <w:pPr>
              <w:spacing w:line="252" w:lineRule="auto"/>
              <w:jc w:val="center"/>
            </w:pPr>
            <w:r>
              <w:rPr>
                <w:rFonts w:ascii="Calibri" w:eastAsia="Calibri" w:hAnsi="Calibri" w:cs="Calibri"/>
                <w:sz w:val="16"/>
                <w:szCs w:val="16"/>
              </w:rPr>
              <w:t>Excise &amp; state-level licensing; FEMA; labelling; distribution agreements</w:t>
            </w:r>
          </w:p>
        </w:tc>
        <w:tc>
          <w:tcPr>
            <w:tcW w:w="2800" w:type="dxa"/>
            <w:tcMar>
              <w:top w:w="60" w:type="dxa"/>
              <w:left w:w="80" w:type="dxa"/>
              <w:bottom w:w="60" w:type="dxa"/>
              <w:right w:w="80" w:type="dxa"/>
            </w:tcMar>
            <w:vAlign w:val="center"/>
          </w:tcPr>
          <w:p w14:paraId="0CC813DF" w14:textId="77777777" w:rsidR="00861A4D" w:rsidRDefault="00861A4D" w:rsidP="00D156A0">
            <w:pPr>
              <w:spacing w:line="252" w:lineRule="auto"/>
              <w:jc w:val="center"/>
            </w:pPr>
            <w:r>
              <w:rPr>
                <w:rFonts w:ascii="Calibri" w:eastAsia="Calibri" w:hAnsi="Calibri" w:cs="Calibri"/>
                <w:sz w:val="16"/>
                <w:szCs w:val="16"/>
              </w:rPr>
              <w:t>150%→40% duty path</w:t>
            </w:r>
          </w:p>
        </w:tc>
      </w:tr>
      <w:tr w:rsidR="00861A4D" w14:paraId="32C9251C" w14:textId="77777777" w:rsidTr="00D156A0">
        <w:tc>
          <w:tcPr>
            <w:tcW w:w="2100" w:type="dxa"/>
            <w:shd w:val="clear" w:color="auto" w:fill="EEF2F6"/>
            <w:tcMar>
              <w:top w:w="60" w:type="dxa"/>
              <w:left w:w="80" w:type="dxa"/>
              <w:bottom w:w="60" w:type="dxa"/>
              <w:right w:w="80" w:type="dxa"/>
            </w:tcMar>
            <w:vAlign w:val="center"/>
          </w:tcPr>
          <w:p w14:paraId="3E5E6A7F" w14:textId="77777777" w:rsidR="00861A4D" w:rsidRDefault="00861A4D" w:rsidP="00D156A0">
            <w:pPr>
              <w:spacing w:line="252" w:lineRule="auto"/>
            </w:pPr>
            <w:r>
              <w:rPr>
                <w:rFonts w:ascii="Calibri" w:eastAsia="Calibri" w:hAnsi="Calibri" w:cs="Calibri"/>
                <w:sz w:val="16"/>
                <w:szCs w:val="16"/>
              </w:rPr>
              <w:t>Automobiles (import)</w:t>
            </w:r>
          </w:p>
        </w:tc>
        <w:tc>
          <w:tcPr>
            <w:tcW w:w="4400" w:type="dxa"/>
            <w:shd w:val="clear" w:color="auto" w:fill="EEF2F6"/>
            <w:tcMar>
              <w:top w:w="60" w:type="dxa"/>
              <w:left w:w="80" w:type="dxa"/>
              <w:bottom w:w="60" w:type="dxa"/>
              <w:right w:w="80" w:type="dxa"/>
            </w:tcMar>
            <w:vAlign w:val="center"/>
          </w:tcPr>
          <w:p w14:paraId="47286FAA" w14:textId="77777777" w:rsidR="00861A4D" w:rsidRDefault="00861A4D" w:rsidP="00D156A0">
            <w:pPr>
              <w:spacing w:line="252" w:lineRule="auto"/>
              <w:jc w:val="center"/>
            </w:pPr>
            <w:r>
              <w:rPr>
                <w:rFonts w:ascii="Calibri" w:eastAsia="Calibri" w:hAnsi="Calibri" w:cs="Calibri"/>
                <w:sz w:val="16"/>
                <w:szCs w:val="16"/>
              </w:rPr>
              <w:t xml:space="preserve">TRQ certificate &amp; DGFT compliance; </w:t>
            </w:r>
            <w:proofErr w:type="spellStart"/>
            <w:r>
              <w:rPr>
                <w:rFonts w:ascii="Calibri" w:eastAsia="Calibri" w:hAnsi="Calibri" w:cs="Calibri"/>
                <w:sz w:val="16"/>
                <w:szCs w:val="16"/>
              </w:rPr>
              <w:t>RoO</w:t>
            </w:r>
            <w:proofErr w:type="spellEnd"/>
            <w:r>
              <w:rPr>
                <w:rFonts w:ascii="Calibri" w:eastAsia="Calibri" w:hAnsi="Calibri" w:cs="Calibri"/>
                <w:sz w:val="16"/>
                <w:szCs w:val="16"/>
              </w:rPr>
              <w:t>; dealer/OEM agreements; FEMA</w:t>
            </w:r>
          </w:p>
        </w:tc>
        <w:tc>
          <w:tcPr>
            <w:tcW w:w="2800" w:type="dxa"/>
            <w:shd w:val="clear" w:color="auto" w:fill="EEF2F6"/>
            <w:tcMar>
              <w:top w:w="60" w:type="dxa"/>
              <w:left w:w="80" w:type="dxa"/>
              <w:bottom w:w="60" w:type="dxa"/>
              <w:right w:w="80" w:type="dxa"/>
            </w:tcMar>
            <w:vAlign w:val="center"/>
          </w:tcPr>
          <w:p w14:paraId="7550AB50" w14:textId="77777777" w:rsidR="00861A4D" w:rsidRDefault="00861A4D" w:rsidP="00D156A0">
            <w:pPr>
              <w:spacing w:line="252" w:lineRule="auto"/>
              <w:jc w:val="center"/>
            </w:pPr>
            <w:r>
              <w:rPr>
                <w:rFonts w:ascii="Calibri" w:eastAsia="Calibri" w:hAnsi="Calibri" w:cs="Calibri"/>
                <w:sz w:val="16"/>
                <w:szCs w:val="16"/>
              </w:rPr>
              <w:t>TRQ regime (10% in-quota)</w:t>
            </w:r>
          </w:p>
        </w:tc>
      </w:tr>
      <w:tr w:rsidR="00861A4D" w14:paraId="1CD35409" w14:textId="77777777" w:rsidTr="00D156A0">
        <w:tc>
          <w:tcPr>
            <w:tcW w:w="2100" w:type="dxa"/>
            <w:tcMar>
              <w:top w:w="60" w:type="dxa"/>
              <w:left w:w="80" w:type="dxa"/>
              <w:bottom w:w="60" w:type="dxa"/>
              <w:right w:w="80" w:type="dxa"/>
            </w:tcMar>
            <w:vAlign w:val="center"/>
          </w:tcPr>
          <w:p w14:paraId="69A15F30" w14:textId="77777777" w:rsidR="00861A4D" w:rsidRDefault="00861A4D" w:rsidP="00D156A0">
            <w:pPr>
              <w:spacing w:line="252" w:lineRule="auto"/>
            </w:pPr>
            <w:r>
              <w:rPr>
                <w:rFonts w:ascii="Calibri" w:eastAsia="Calibri" w:hAnsi="Calibri" w:cs="Calibri"/>
                <w:sz w:val="16"/>
                <w:szCs w:val="16"/>
              </w:rPr>
              <w:t>Cross-cutting / investment</w:t>
            </w:r>
          </w:p>
        </w:tc>
        <w:tc>
          <w:tcPr>
            <w:tcW w:w="4400" w:type="dxa"/>
            <w:tcMar>
              <w:top w:w="60" w:type="dxa"/>
              <w:left w:w="80" w:type="dxa"/>
              <w:bottom w:w="60" w:type="dxa"/>
              <w:right w:w="80" w:type="dxa"/>
            </w:tcMar>
            <w:vAlign w:val="center"/>
          </w:tcPr>
          <w:p w14:paraId="6ECDA13B" w14:textId="77777777" w:rsidR="00861A4D" w:rsidRDefault="00861A4D" w:rsidP="00D156A0">
            <w:pPr>
              <w:spacing w:line="252" w:lineRule="auto"/>
              <w:jc w:val="center"/>
            </w:pPr>
            <w:r>
              <w:rPr>
                <w:rFonts w:ascii="Calibri" w:eastAsia="Calibri" w:hAnsi="Calibri" w:cs="Calibri"/>
                <w:sz w:val="16"/>
                <w:szCs w:val="16"/>
              </w:rPr>
              <w:t>Investment structuring; arbitration seat planning; regulatory monitoring; BIT watch</w:t>
            </w:r>
          </w:p>
        </w:tc>
        <w:tc>
          <w:tcPr>
            <w:tcW w:w="2800" w:type="dxa"/>
            <w:tcMar>
              <w:top w:w="60" w:type="dxa"/>
              <w:left w:w="80" w:type="dxa"/>
              <w:bottom w:w="60" w:type="dxa"/>
              <w:right w:w="80" w:type="dxa"/>
            </w:tcMar>
            <w:vAlign w:val="center"/>
          </w:tcPr>
          <w:p w14:paraId="61AF4ABE" w14:textId="77777777" w:rsidR="00861A4D" w:rsidRDefault="00861A4D" w:rsidP="00D156A0">
            <w:pPr>
              <w:spacing w:line="252" w:lineRule="auto"/>
              <w:jc w:val="center"/>
            </w:pPr>
            <w:r>
              <w:rPr>
                <w:rFonts w:ascii="Calibri" w:eastAsia="Calibri" w:hAnsi="Calibri" w:cs="Calibri"/>
                <w:sz w:val="16"/>
                <w:szCs w:val="16"/>
              </w:rPr>
              <w:t>Absent BIT + evolving rules</w:t>
            </w:r>
          </w:p>
        </w:tc>
      </w:tr>
    </w:tbl>
    <w:p w14:paraId="724B9E28" w14:textId="77777777" w:rsidR="00861A4D" w:rsidRDefault="00861A4D" w:rsidP="00861A4D">
      <w:pPr>
        <w:spacing w:before="60" w:after="200"/>
      </w:pPr>
      <w:r>
        <w:rPr>
          <w:rFonts w:ascii="Calibri" w:eastAsia="Calibri" w:hAnsi="Calibri" w:cs="Calibri"/>
          <w:i/>
          <w:iCs/>
          <w:color w:val="5A6570"/>
          <w:sz w:val="15"/>
          <w:szCs w:val="15"/>
        </w:rPr>
        <w:t>Analytical matrix prepared by the author from the sector analysis in Part 5. Triggers reference CETA provisions and notified rules cited earlier.</w:t>
      </w:r>
    </w:p>
    <w:p w14:paraId="59FF49E8" w14:textId="77777777" w:rsidR="00861A4D" w:rsidRDefault="00861A4D" w:rsidP="00861A4D">
      <w:r>
        <w:br w:type="page"/>
      </w:r>
    </w:p>
    <w:p w14:paraId="31C34058" w14:textId="77777777" w:rsidR="00861A4D" w:rsidRDefault="00861A4D" w:rsidP="00861A4D">
      <w:pPr>
        <w:pStyle w:val="Heading1"/>
        <w:pBdr>
          <w:bottom w:val="single" w:sz="12" w:space="4" w:color="7A2E2E"/>
        </w:pBdr>
        <w:spacing w:before="320" w:after="160"/>
      </w:pPr>
      <w:r>
        <w:lastRenderedPageBreak/>
        <w:t>7.  Applicable Indian Statutory and Regulatory Framework</w:t>
      </w:r>
    </w:p>
    <w:p w14:paraId="2A883B80" w14:textId="77777777" w:rsidR="00861A4D" w:rsidRDefault="00861A4D" w:rsidP="00861A4D">
      <w:pPr>
        <w:spacing w:after="160" w:line="288" w:lineRule="auto"/>
        <w:jc w:val="both"/>
      </w:pPr>
      <w:r>
        <w:t>CETA operates through, and must be read with, the following domestic instruments. Advice in any sector will engage several simultaneously.</w:t>
      </w:r>
    </w:p>
    <w:p w14:paraId="475F5492" w14:textId="77777777" w:rsidR="00861A4D" w:rsidRDefault="00861A4D" w:rsidP="00861A4D">
      <w:pPr>
        <w:pStyle w:val="ListParagraph"/>
        <w:numPr>
          <w:ilvl w:val="0"/>
          <w:numId w:val="2"/>
        </w:numPr>
        <w:spacing w:after="90" w:line="282" w:lineRule="auto"/>
        <w:contextualSpacing w:val="0"/>
        <w:jc w:val="both"/>
      </w:pPr>
      <w:r>
        <w:rPr>
          <w:b/>
          <w:bCs/>
        </w:rPr>
        <w:t xml:space="preserve">Customs &amp; tariff: </w:t>
      </w:r>
      <w:r>
        <w:t xml:space="preserve">Customs Act, 1962; Customs Tariff Act, 1975 (s. 5(1) is the enabling power for the </w:t>
      </w:r>
      <w:proofErr w:type="spellStart"/>
      <w:r>
        <w:t>RoO</w:t>
      </w:r>
      <w:proofErr w:type="spellEnd"/>
      <w:r>
        <w:t xml:space="preserve"> rules); CBIC Notification No. 62/2026-Customs (N.T.), 3 July 2026; CAROTAR, 2020 (verification of origin); AEO framework.</w:t>
      </w:r>
    </w:p>
    <w:p w14:paraId="2F3C5249" w14:textId="77777777" w:rsidR="00861A4D" w:rsidRDefault="00861A4D" w:rsidP="00861A4D">
      <w:pPr>
        <w:pStyle w:val="ListParagraph"/>
        <w:numPr>
          <w:ilvl w:val="0"/>
          <w:numId w:val="2"/>
        </w:numPr>
        <w:spacing w:after="90" w:line="282" w:lineRule="auto"/>
        <w:contextualSpacing w:val="0"/>
        <w:jc w:val="both"/>
      </w:pPr>
      <w:r>
        <w:rPr>
          <w:b/>
          <w:bCs/>
        </w:rPr>
        <w:t xml:space="preserve">Foreign trade: </w:t>
      </w:r>
      <w:r>
        <w:t xml:space="preserve">Foreign Trade (Development &amp; Regulation) Act, 1992; Foreign Trade Policy 2023 and DGFT notifications (including the UK-vehicle TRQ procedure, 10 July 2026); </w:t>
      </w:r>
      <w:proofErr w:type="spellStart"/>
      <w:r>
        <w:t>RoDTEP</w:t>
      </w:r>
      <w:proofErr w:type="spellEnd"/>
      <w:r>
        <w:t>/</w:t>
      </w:r>
      <w:proofErr w:type="spellStart"/>
      <w:r>
        <w:t>RoSCTL</w:t>
      </w:r>
      <w:proofErr w:type="spellEnd"/>
      <w:r>
        <w:t xml:space="preserve"> schemes.</w:t>
      </w:r>
    </w:p>
    <w:p w14:paraId="382D8DEA" w14:textId="77777777" w:rsidR="00861A4D" w:rsidRDefault="00861A4D" w:rsidP="00861A4D">
      <w:pPr>
        <w:pStyle w:val="ListParagraph"/>
        <w:numPr>
          <w:ilvl w:val="0"/>
          <w:numId w:val="2"/>
        </w:numPr>
        <w:spacing w:after="90" w:line="282" w:lineRule="auto"/>
        <w:contextualSpacing w:val="0"/>
        <w:jc w:val="both"/>
      </w:pPr>
      <w:r>
        <w:rPr>
          <w:b/>
          <w:bCs/>
        </w:rPr>
        <w:t xml:space="preserve">Exchange control: </w:t>
      </w:r>
      <w:r>
        <w:t xml:space="preserve">Foreign Exchange Management Act, 1999 and RBI regulations on export </w:t>
      </w:r>
      <w:proofErr w:type="spellStart"/>
      <w:r>
        <w:t>realisation</w:t>
      </w:r>
      <w:proofErr w:type="spellEnd"/>
      <w:r>
        <w:t>, trade credit, ODI/FDI and branch-office establishment.</w:t>
      </w:r>
    </w:p>
    <w:p w14:paraId="46AA2A37" w14:textId="77777777" w:rsidR="00861A4D" w:rsidRDefault="00861A4D" w:rsidP="00861A4D">
      <w:pPr>
        <w:pStyle w:val="ListParagraph"/>
        <w:numPr>
          <w:ilvl w:val="0"/>
          <w:numId w:val="2"/>
        </w:numPr>
        <w:spacing w:after="90" w:line="282" w:lineRule="auto"/>
        <w:contextualSpacing w:val="0"/>
        <w:jc w:val="both"/>
      </w:pPr>
      <w:r>
        <w:rPr>
          <w:b/>
          <w:bCs/>
        </w:rPr>
        <w:t xml:space="preserve">Taxation: </w:t>
      </w:r>
      <w:r>
        <w:t>CGST/IGST Acts, 2017 (IGST on imports; export refunds/LUT); Customs duties; Income-tax Act, 1961 and the India–UK Double Taxation Avoidance Convention (CETA excludes taxation from its scope).</w:t>
      </w:r>
    </w:p>
    <w:p w14:paraId="09226284" w14:textId="77777777" w:rsidR="00861A4D" w:rsidRDefault="00861A4D" w:rsidP="00861A4D">
      <w:pPr>
        <w:pStyle w:val="ListParagraph"/>
        <w:numPr>
          <w:ilvl w:val="0"/>
          <w:numId w:val="2"/>
        </w:numPr>
        <w:spacing w:after="90" w:line="282" w:lineRule="auto"/>
        <w:contextualSpacing w:val="0"/>
        <w:jc w:val="both"/>
      </w:pPr>
      <w:r>
        <w:rPr>
          <w:b/>
          <w:bCs/>
        </w:rPr>
        <w:t xml:space="preserve">IP: </w:t>
      </w:r>
      <w:r>
        <w:t xml:space="preserve">Patents Act, 1970; </w:t>
      </w:r>
      <w:proofErr w:type="gramStart"/>
      <w:r>
        <w:t>Trade Marks</w:t>
      </w:r>
      <w:proofErr w:type="gramEnd"/>
      <w:r>
        <w:t xml:space="preserve"> Act, 1999; Copyright Act, 1957; Geographical Indications of Goods Act, 1999; Designs Act, 2000.</w:t>
      </w:r>
    </w:p>
    <w:p w14:paraId="072A0FF7" w14:textId="77777777" w:rsidR="00861A4D" w:rsidRDefault="00861A4D" w:rsidP="00861A4D">
      <w:pPr>
        <w:pStyle w:val="ListParagraph"/>
        <w:numPr>
          <w:ilvl w:val="0"/>
          <w:numId w:val="2"/>
        </w:numPr>
        <w:spacing w:after="90" w:line="282" w:lineRule="auto"/>
        <w:contextualSpacing w:val="0"/>
        <w:jc w:val="both"/>
      </w:pPr>
      <w:r>
        <w:rPr>
          <w:b/>
          <w:bCs/>
        </w:rPr>
        <w:t xml:space="preserve">Competition &amp; data: </w:t>
      </w:r>
      <w:r>
        <w:t>Competition Act, 2002; Digital Personal Data Protection Act, 2023 (not overridden by CETA’s digital chapter); IT Act, 2000.</w:t>
      </w:r>
    </w:p>
    <w:p w14:paraId="73B31812" w14:textId="77777777" w:rsidR="00861A4D" w:rsidRDefault="00861A4D" w:rsidP="00861A4D">
      <w:pPr>
        <w:pStyle w:val="ListParagraph"/>
        <w:numPr>
          <w:ilvl w:val="0"/>
          <w:numId w:val="2"/>
        </w:numPr>
        <w:spacing w:after="90" w:line="282" w:lineRule="auto"/>
        <w:contextualSpacing w:val="0"/>
        <w:jc w:val="both"/>
      </w:pPr>
      <w:r>
        <w:rPr>
          <w:b/>
          <w:bCs/>
        </w:rPr>
        <w:t xml:space="preserve">Standards &amp; sector regulators: </w:t>
      </w:r>
      <w:r>
        <w:t>BIS Act, 2016; FSS Act, 2006 (FSSAI); Drugs &amp; Cosmetics Act, 1940 and Medical Devices Rules, 2017 (CDSCO); Legal Metrology Act, 2009; APEDA/MPEDA Acts.</w:t>
      </w:r>
    </w:p>
    <w:p w14:paraId="38AF6439" w14:textId="77777777" w:rsidR="00861A4D" w:rsidRDefault="00861A4D" w:rsidP="00861A4D">
      <w:pPr>
        <w:pStyle w:val="ListParagraph"/>
        <w:numPr>
          <w:ilvl w:val="0"/>
          <w:numId w:val="2"/>
        </w:numPr>
        <w:spacing w:after="90" w:line="282" w:lineRule="auto"/>
        <w:contextualSpacing w:val="0"/>
        <w:jc w:val="both"/>
      </w:pPr>
      <w:r>
        <w:rPr>
          <w:b/>
          <w:bCs/>
        </w:rPr>
        <w:t xml:space="preserve">Dispute resolution &amp; profession: </w:t>
      </w:r>
      <w:r>
        <w:t>Arbitration &amp; Conciliation Act, 1996; Advocates Act, 1961; BCI Rules for Registration and Regulation of Foreign Lawyers and Foreign Law Firms in India (as amended 14 May 2025).</w:t>
      </w:r>
    </w:p>
    <w:p w14:paraId="3BA4B7F2" w14:textId="77777777" w:rsidR="00861A4D" w:rsidRDefault="00861A4D" w:rsidP="00861A4D">
      <w:r>
        <w:br w:type="page"/>
      </w:r>
    </w:p>
    <w:p w14:paraId="3931A591" w14:textId="77777777" w:rsidR="00861A4D" w:rsidRDefault="00861A4D" w:rsidP="00861A4D">
      <w:pPr>
        <w:pStyle w:val="Heading1"/>
        <w:pBdr>
          <w:bottom w:val="single" w:sz="12" w:space="4" w:color="7A2E2E"/>
        </w:pBdr>
        <w:spacing w:before="320" w:after="160"/>
      </w:pPr>
      <w:r>
        <w:lastRenderedPageBreak/>
        <w:t>8</w:t>
      </w:r>
      <w:proofErr w:type="gramStart"/>
      <w:r>
        <w:t>.  Legal</w:t>
      </w:r>
      <w:proofErr w:type="gramEnd"/>
      <w:r>
        <w:t xml:space="preserve"> Gap Analysis</w:t>
      </w:r>
    </w:p>
    <w:p w14:paraId="40A97FAC" w14:textId="77777777" w:rsidR="00861A4D" w:rsidRDefault="00861A4D" w:rsidP="00861A4D">
      <w:pPr>
        <w:spacing w:after="160" w:line="288" w:lineRule="auto"/>
        <w:jc w:val="both"/>
      </w:pPr>
      <w:r>
        <w:t>For each gap: the issue, its commercial impact, and a practical advisory response.</w:t>
      </w:r>
    </w:p>
    <w:p w14:paraId="4193B4B6" w14:textId="77777777" w:rsidR="00861A4D" w:rsidRDefault="00861A4D" w:rsidP="00861A4D">
      <w:pPr>
        <w:pStyle w:val="Heading2"/>
        <w:spacing w:before="240" w:after="120"/>
      </w:pPr>
      <w:proofErr w:type="gramStart"/>
      <w:r>
        <w:t>8.1  No</w:t>
      </w:r>
      <w:proofErr w:type="gramEnd"/>
      <w:r>
        <w:t xml:space="preserve"> bilateral investment treaty / limited ISDS</w:t>
      </w:r>
    </w:p>
    <w:p w14:paraId="5A88920B" w14:textId="77777777" w:rsidR="00861A4D" w:rsidRDefault="00861A4D" w:rsidP="00861A4D">
      <w:pPr>
        <w:spacing w:after="160" w:line="288" w:lineRule="auto"/>
        <w:jc w:val="both"/>
      </w:pPr>
      <w:r>
        <w:rPr>
          <w:b/>
          <w:bCs/>
        </w:rPr>
        <w:t xml:space="preserve">Issue. </w:t>
      </w:r>
      <w:r>
        <w:t xml:space="preserve">The 1994 UK–India investment treaty was terminated by India in 2016–17; CETA’s investment chapter provides substantive protections but not a full ISDS mechanism, and a replacement Bilateral Investment Treaty is still under negotiation. </w:t>
      </w:r>
      <w:r>
        <w:rPr>
          <w:rStyle w:val="FootnoteReference"/>
        </w:rPr>
        <w:footnoteReference w:id="34"/>
      </w:r>
    </w:p>
    <w:p w14:paraId="4457875D" w14:textId="77777777" w:rsidR="00861A4D" w:rsidRDefault="00861A4D" w:rsidP="00861A4D">
      <w:pPr>
        <w:spacing w:after="160" w:line="288" w:lineRule="auto"/>
        <w:jc w:val="both"/>
      </w:pPr>
      <w:r>
        <w:rPr>
          <w:b/>
          <w:bCs/>
        </w:rPr>
        <w:t xml:space="preserve">Commercial impact. </w:t>
      </w:r>
      <w:r>
        <w:t>UK investors into India (and Indian investors into the UK) lack a treaty-based arbitration remedy against State measures, increasing perceived political-risk and affecting deal structuring and financing terms.</w:t>
      </w:r>
    </w:p>
    <w:p w14:paraId="6CF0CCAE" w14:textId="77777777" w:rsidR="00861A4D" w:rsidRDefault="00861A4D" w:rsidP="00861A4D">
      <w:pPr>
        <w:spacing w:after="160" w:line="288" w:lineRule="auto"/>
        <w:jc w:val="both"/>
      </w:pPr>
      <w:r>
        <w:rPr>
          <w:b/>
          <w:bCs/>
        </w:rPr>
        <w:t xml:space="preserve">Advisory response. </w:t>
      </w:r>
      <w:r>
        <w:t xml:space="preserve">Structure investments through jurisdictions with subsisting Indian BITs where legitimate; draft robust contractual dispute-resolution (institutional arbitration, neutral seat); use political-risk insurance and </w:t>
      </w:r>
      <w:proofErr w:type="spellStart"/>
      <w:r>
        <w:t>stabilisation</w:t>
      </w:r>
      <w:proofErr w:type="spellEnd"/>
      <w:r>
        <w:t xml:space="preserve"> clauses; monitor the BIT negotiation for timing of entry.</w:t>
      </w:r>
    </w:p>
    <w:p w14:paraId="6CE91D81" w14:textId="77777777" w:rsidR="00861A4D" w:rsidRDefault="00861A4D" w:rsidP="00861A4D">
      <w:pPr>
        <w:pStyle w:val="Heading2"/>
        <w:spacing w:before="240" w:after="120"/>
      </w:pPr>
      <w:proofErr w:type="gramStart"/>
      <w:r>
        <w:t>8.2  Legal</w:t>
      </w:r>
      <w:proofErr w:type="gramEnd"/>
      <w:r>
        <w:t>-services market access left largely unaddressed</w:t>
      </w:r>
    </w:p>
    <w:p w14:paraId="461DC617" w14:textId="77777777" w:rsidR="00861A4D" w:rsidRDefault="00861A4D" w:rsidP="00861A4D">
      <w:pPr>
        <w:spacing w:after="160" w:line="288" w:lineRule="auto"/>
        <w:jc w:val="both"/>
      </w:pPr>
      <w:r>
        <w:rPr>
          <w:b/>
          <w:bCs/>
        </w:rPr>
        <w:t xml:space="preserve">Issue. </w:t>
      </w:r>
      <w:r>
        <w:t xml:space="preserve">CETA did not deliver meaningful legal-services access into India; the parallel BCI amendment of 14 May 2025 permits foreign lawyers/firms to advise on foreign and international law on a reciprocity basis, but the “fly-in-fly-out” regime imposes a 60-day transaction limit, BCI registration and client-disclosure requirements that practitioners regard as commercially unworkable and in tension with client confidentiality. </w:t>
      </w:r>
      <w:r>
        <w:rPr>
          <w:rStyle w:val="FootnoteReference"/>
        </w:rPr>
        <w:footnoteReference w:id="35"/>
      </w:r>
    </w:p>
    <w:p w14:paraId="7F452D4E" w14:textId="77777777" w:rsidR="00861A4D" w:rsidRDefault="00861A4D" w:rsidP="00861A4D">
      <w:pPr>
        <w:spacing w:after="160" w:line="288" w:lineRule="auto"/>
        <w:jc w:val="both"/>
      </w:pPr>
      <w:r>
        <w:rPr>
          <w:b/>
          <w:bCs/>
        </w:rPr>
        <w:t xml:space="preserve">Commercial impact. </w:t>
      </w:r>
      <w:r>
        <w:t xml:space="preserve">Uncertainty over cross-border legal collaboration and over foreign counsel in India-seated arbitration; a missed opportunity for UK firms to establish in </w:t>
      </w:r>
      <w:proofErr w:type="gramStart"/>
      <w:r>
        <w:t>India, but</w:t>
      </w:r>
      <w:proofErr w:type="gramEnd"/>
      <w:r>
        <w:t xml:space="preserve"> also reduced competitive pressure on domestic firms in the near term.</w:t>
      </w:r>
    </w:p>
    <w:p w14:paraId="1BE7F815" w14:textId="77777777" w:rsidR="00861A4D" w:rsidRDefault="00861A4D" w:rsidP="00861A4D">
      <w:pPr>
        <w:spacing w:after="160" w:line="288" w:lineRule="auto"/>
        <w:jc w:val="both"/>
      </w:pPr>
      <w:r>
        <w:rPr>
          <w:b/>
          <w:bCs/>
        </w:rPr>
        <w:t xml:space="preserve">Advisory response. </w:t>
      </w:r>
      <w:r>
        <w:t>For the firm, position as the Indian-law counterpart in UK–India referrals and joint pitches; build India-seated arbitration capability while the FIFO regime deters foreign counsel; monitor the BCI review (Shroff committee) and the withdrawn Advocates (Amendment) Bill 2025 for reform.</w:t>
      </w:r>
    </w:p>
    <w:p w14:paraId="2D250317" w14:textId="77777777" w:rsidR="00861A4D" w:rsidRDefault="00861A4D" w:rsidP="00861A4D">
      <w:pPr>
        <w:pStyle w:val="Heading2"/>
        <w:spacing w:before="240" w:after="120"/>
      </w:pPr>
      <w:proofErr w:type="gramStart"/>
      <w:r>
        <w:t>8.3  Data</w:t>
      </w:r>
      <w:proofErr w:type="gramEnd"/>
      <w:r>
        <w:t xml:space="preserve"> </w:t>
      </w:r>
      <w:proofErr w:type="spellStart"/>
      <w:r>
        <w:t>localisation</w:t>
      </w:r>
      <w:proofErr w:type="spellEnd"/>
      <w:r>
        <w:t xml:space="preserve"> and cross-border data flows</w:t>
      </w:r>
    </w:p>
    <w:p w14:paraId="7FF44B70" w14:textId="77777777" w:rsidR="00861A4D" w:rsidRDefault="00861A4D" w:rsidP="00861A4D">
      <w:pPr>
        <w:spacing w:after="160" w:line="288" w:lineRule="auto"/>
        <w:jc w:val="both"/>
      </w:pPr>
      <w:r>
        <w:rPr>
          <w:b/>
          <w:bCs/>
        </w:rPr>
        <w:t xml:space="preserve">Issue. </w:t>
      </w:r>
      <w:r>
        <w:t>CETA’s digital chapter permits data flows but preserves public-security/financial-stability exceptions and does not displace India’s DPDP Act, 2023 or sectoral RBI data-</w:t>
      </w:r>
      <w:proofErr w:type="spellStart"/>
      <w:r>
        <w:t>localisation</w:t>
      </w:r>
      <w:proofErr w:type="spellEnd"/>
      <w:r>
        <w:t xml:space="preserve"> mandates.</w:t>
      </w:r>
    </w:p>
    <w:p w14:paraId="59FF0FD5" w14:textId="77777777" w:rsidR="00861A4D" w:rsidRDefault="00861A4D" w:rsidP="00861A4D">
      <w:pPr>
        <w:spacing w:after="160" w:line="288" w:lineRule="auto"/>
        <w:jc w:val="both"/>
      </w:pPr>
      <w:r>
        <w:rPr>
          <w:b/>
          <w:bCs/>
        </w:rPr>
        <w:t xml:space="preserve">Commercial impact. </w:t>
      </w:r>
      <w:r>
        <w:t>IT/</w:t>
      </w:r>
      <w:proofErr w:type="spellStart"/>
      <w:r>
        <w:t>ITeS</w:t>
      </w:r>
      <w:proofErr w:type="spellEnd"/>
      <w:r>
        <w:t xml:space="preserve"> and fintech clients face residual compliance </w:t>
      </w:r>
      <w:proofErr w:type="gramStart"/>
      <w:r>
        <w:t>cost</w:t>
      </w:r>
      <w:proofErr w:type="gramEnd"/>
      <w:r>
        <w:t xml:space="preserve"> and legal uncertainty </w:t>
      </w:r>
      <w:proofErr w:type="gramStart"/>
      <w:r>
        <w:t>on</w:t>
      </w:r>
      <w:proofErr w:type="gramEnd"/>
      <w:r>
        <w:t xml:space="preserve"> where data may be processed and stored, despite the FTA’s </w:t>
      </w:r>
      <w:proofErr w:type="spellStart"/>
      <w:r>
        <w:t>liberalising</w:t>
      </w:r>
      <w:proofErr w:type="spellEnd"/>
      <w:r>
        <w:t xml:space="preserve"> language.</w:t>
      </w:r>
    </w:p>
    <w:p w14:paraId="290F39DE" w14:textId="77777777" w:rsidR="00861A4D" w:rsidRDefault="00861A4D" w:rsidP="00861A4D">
      <w:pPr>
        <w:spacing w:after="160" w:line="288" w:lineRule="auto"/>
        <w:jc w:val="both"/>
      </w:pPr>
      <w:r>
        <w:rPr>
          <w:b/>
          <w:bCs/>
        </w:rPr>
        <w:lastRenderedPageBreak/>
        <w:t xml:space="preserve">Advisory response. </w:t>
      </w:r>
      <w:r>
        <w:t xml:space="preserve">Data-mapping and </w:t>
      </w:r>
      <w:proofErr w:type="spellStart"/>
      <w:r>
        <w:t>localisation</w:t>
      </w:r>
      <w:proofErr w:type="spellEnd"/>
      <w:r>
        <w:t>-gap assessments; standard contractual clauses and transfer-impact assessments bridging DPDP and UK GDPR; RBI payment-data compliance for fintech.</w:t>
      </w:r>
    </w:p>
    <w:p w14:paraId="482BCB2C" w14:textId="77777777" w:rsidR="00861A4D" w:rsidRDefault="00861A4D" w:rsidP="00861A4D">
      <w:pPr>
        <w:pStyle w:val="Heading2"/>
        <w:spacing w:before="240" w:after="120"/>
      </w:pPr>
      <w:proofErr w:type="gramStart"/>
      <w:r>
        <w:t>8.4  Non</w:t>
      </w:r>
      <w:proofErr w:type="gramEnd"/>
      <w:r>
        <w:t xml:space="preserve">-tariff barriers, standards and </w:t>
      </w:r>
      <w:proofErr w:type="spellStart"/>
      <w:r>
        <w:t>RoO</w:t>
      </w:r>
      <w:proofErr w:type="spellEnd"/>
      <w:r>
        <w:t xml:space="preserve"> verification risk</w:t>
      </w:r>
    </w:p>
    <w:p w14:paraId="531E2270" w14:textId="77777777" w:rsidR="00861A4D" w:rsidRDefault="00861A4D" w:rsidP="00861A4D">
      <w:pPr>
        <w:spacing w:after="160" w:line="288" w:lineRule="auto"/>
        <w:jc w:val="both"/>
      </w:pPr>
      <w:r>
        <w:rPr>
          <w:b/>
          <w:bCs/>
        </w:rPr>
        <w:t xml:space="preserve">Issue. </w:t>
      </w:r>
      <w:r>
        <w:t xml:space="preserve">Tariff elimination does not remove UK quality, safety, SPS and technical standards, and CBIC/HMRC retain origin-verification powers; independent analysis warns non-tariff measures remain the binding constraint for many exporters. </w:t>
      </w:r>
      <w:r>
        <w:rPr>
          <w:rStyle w:val="FootnoteReference"/>
        </w:rPr>
        <w:footnoteReference w:id="36"/>
      </w:r>
    </w:p>
    <w:p w14:paraId="461BF928" w14:textId="77777777" w:rsidR="00861A4D" w:rsidRDefault="00861A4D" w:rsidP="00861A4D">
      <w:pPr>
        <w:spacing w:after="160" w:line="288" w:lineRule="auto"/>
        <w:jc w:val="both"/>
      </w:pPr>
      <w:r>
        <w:rPr>
          <w:b/>
          <w:bCs/>
        </w:rPr>
        <w:t xml:space="preserve">Commercial impact. </w:t>
      </w:r>
      <w:r>
        <w:t>Preference denial after clearance, retrospective duty demands and penalties; goods rejected at the UK border on standards grounds; MSMEs least equipped to comply.</w:t>
      </w:r>
    </w:p>
    <w:p w14:paraId="3A323E89" w14:textId="77777777" w:rsidR="00861A4D" w:rsidRDefault="00861A4D" w:rsidP="00861A4D">
      <w:pPr>
        <w:spacing w:after="160" w:line="288" w:lineRule="auto"/>
        <w:jc w:val="both"/>
      </w:pPr>
      <w:r>
        <w:rPr>
          <w:b/>
          <w:bCs/>
        </w:rPr>
        <w:t xml:space="preserve">Advisory response. </w:t>
      </w:r>
      <w:r>
        <w:t xml:space="preserve">Pre-shipment origin-and-standards compliance reviews; robust record-keeping for the verification window; </w:t>
      </w:r>
      <w:proofErr w:type="gramStart"/>
      <w:r>
        <w:t>advance</w:t>
      </w:r>
      <w:proofErr w:type="gramEnd"/>
      <w:r>
        <w:t xml:space="preserve"> rulings; and a </w:t>
      </w:r>
      <w:proofErr w:type="spellStart"/>
      <w:r>
        <w:t>standardised</w:t>
      </w:r>
      <w:proofErr w:type="spellEnd"/>
      <w:r>
        <w:t xml:space="preserve"> MSME compliance toolkit that the firm can deliver </w:t>
      </w:r>
      <w:proofErr w:type="gramStart"/>
      <w:r>
        <w:t>at</w:t>
      </w:r>
      <w:proofErr w:type="gramEnd"/>
      <w:r>
        <w:t xml:space="preserve"> scale.</w:t>
      </w:r>
    </w:p>
    <w:p w14:paraId="3495E0CB" w14:textId="77777777" w:rsidR="00861A4D" w:rsidRDefault="00861A4D" w:rsidP="00861A4D">
      <w:pPr>
        <w:pStyle w:val="Heading2"/>
        <w:spacing w:before="240" w:after="120"/>
      </w:pPr>
      <w:proofErr w:type="gramStart"/>
      <w:r>
        <w:t>8.5  Taxation</w:t>
      </w:r>
      <w:proofErr w:type="gramEnd"/>
      <w:r>
        <w:t xml:space="preserve"> carve-out and phased/quota mechanics</w:t>
      </w:r>
    </w:p>
    <w:p w14:paraId="74DD891C" w14:textId="77777777" w:rsidR="00861A4D" w:rsidRDefault="00861A4D" w:rsidP="00861A4D">
      <w:pPr>
        <w:spacing w:after="160" w:line="288" w:lineRule="auto"/>
        <w:jc w:val="both"/>
      </w:pPr>
      <w:r>
        <w:rPr>
          <w:b/>
          <w:bCs/>
        </w:rPr>
        <w:t xml:space="preserve">Issue and impact. </w:t>
      </w:r>
      <w:r>
        <w:t xml:space="preserve">Taxation is excluded from CETA’s scope and dispute coverage, so GST, customs valuation and transfer-pricing disputes are unaffected by the treaty; and many headline concessions are phased or TRQ-bound, so the applicable rate depends on staging category, quota year and </w:t>
      </w:r>
      <w:proofErr w:type="spellStart"/>
      <w:r>
        <w:t>utilisation</w:t>
      </w:r>
      <w:proofErr w:type="spellEnd"/>
      <w:r>
        <w:t xml:space="preserve">. This creates a persistent gap between the “headline” benefit and the rate </w:t>
      </w:r>
      <w:proofErr w:type="gramStart"/>
      <w:r>
        <w:t>actually available</w:t>
      </w:r>
      <w:proofErr w:type="gramEnd"/>
      <w:r>
        <w:t>.</w:t>
      </w:r>
    </w:p>
    <w:p w14:paraId="71E1EE4E" w14:textId="77777777" w:rsidR="00861A4D" w:rsidRDefault="00861A4D" w:rsidP="00861A4D">
      <w:pPr>
        <w:spacing w:after="160" w:line="288" w:lineRule="auto"/>
        <w:jc w:val="both"/>
      </w:pPr>
      <w:r>
        <w:rPr>
          <w:b/>
          <w:bCs/>
        </w:rPr>
        <w:t xml:space="preserve">Advisory response. </w:t>
      </w:r>
      <w:r>
        <w:t>Duty-</w:t>
      </w:r>
      <w:proofErr w:type="spellStart"/>
      <w:r>
        <w:t>optimisation</w:t>
      </w:r>
      <w:proofErr w:type="spellEnd"/>
      <w:r>
        <w:t xml:space="preserve"> and landed-cost modelling by staging category; TRQ application strategy and quota-</w:t>
      </w:r>
      <w:proofErr w:type="spellStart"/>
      <w:r>
        <w:t>utilisation</w:t>
      </w:r>
      <w:proofErr w:type="spellEnd"/>
      <w:r>
        <w:t xml:space="preserve"> tracking; and coordination of customs valuation with transfer pricing.</w:t>
      </w:r>
    </w:p>
    <w:p w14:paraId="03801F59" w14:textId="77777777" w:rsidR="00861A4D" w:rsidRDefault="00861A4D" w:rsidP="00861A4D">
      <w:r>
        <w:br w:type="page"/>
      </w:r>
    </w:p>
    <w:p w14:paraId="653F5A4B" w14:textId="77777777" w:rsidR="00861A4D" w:rsidRDefault="00861A4D" w:rsidP="00861A4D">
      <w:pPr>
        <w:pStyle w:val="Heading1"/>
        <w:pBdr>
          <w:bottom w:val="single" w:sz="12" w:space="4" w:color="7A2E2E"/>
        </w:pBdr>
        <w:spacing w:before="320" w:after="160"/>
      </w:pPr>
      <w:r>
        <w:lastRenderedPageBreak/>
        <w:t>9.  Ranking: Sectors by Expected Legal-Advisory Demand (3–5 Years)</w:t>
      </w:r>
    </w:p>
    <w:p w14:paraId="4A77DB98" w14:textId="77777777" w:rsidR="00861A4D" w:rsidRDefault="00861A4D" w:rsidP="00861A4D">
      <w:pPr>
        <w:spacing w:after="160" w:line="288" w:lineRule="auto"/>
        <w:jc w:val="both"/>
      </w:pPr>
      <w:r>
        <w:t>The ranking weights the change in tariff/regulatory position, the volume and fragmentation of the client base, regulatory friction, and recurring versus one-off work. It is an analytical judgement, not an official projection.</w:t>
      </w:r>
    </w:p>
    <w:tbl>
      <w:tblPr>
        <w:tblW w:w="8500" w:type="dxa"/>
        <w:tblBorders>
          <w:top w:val="single" w:sz="4" w:space="0" w:color="9AA5B1"/>
          <w:bottom w:val="single" w:sz="4" w:space="0" w:color="9AA5B1"/>
          <w:insideH w:val="single" w:sz="2" w:space="0" w:color="D5DBE1"/>
        </w:tblBorders>
        <w:tblCellMar>
          <w:left w:w="10" w:type="dxa"/>
          <w:right w:w="10" w:type="dxa"/>
        </w:tblCellMar>
        <w:tblLook w:val="04A0" w:firstRow="1" w:lastRow="0" w:firstColumn="1" w:lastColumn="0" w:noHBand="0" w:noVBand="1"/>
      </w:tblPr>
      <w:tblGrid>
        <w:gridCol w:w="700"/>
        <w:gridCol w:w="2600"/>
        <w:gridCol w:w="5200"/>
      </w:tblGrid>
      <w:tr w:rsidR="00861A4D" w14:paraId="40F71FCD" w14:textId="77777777" w:rsidTr="00D156A0">
        <w:trPr>
          <w:tblHeader/>
        </w:trPr>
        <w:tc>
          <w:tcPr>
            <w:tcW w:w="700" w:type="dxa"/>
            <w:shd w:val="clear" w:color="auto" w:fill="16324F"/>
            <w:tcMar>
              <w:top w:w="60" w:type="dxa"/>
              <w:left w:w="80" w:type="dxa"/>
              <w:bottom w:w="60" w:type="dxa"/>
              <w:right w:w="80" w:type="dxa"/>
            </w:tcMar>
            <w:vAlign w:val="center"/>
          </w:tcPr>
          <w:p w14:paraId="733022B8" w14:textId="77777777" w:rsidR="00861A4D" w:rsidRDefault="00861A4D" w:rsidP="00D156A0">
            <w:pPr>
              <w:spacing w:line="252" w:lineRule="auto"/>
            </w:pPr>
            <w:r>
              <w:rPr>
                <w:rFonts w:ascii="Calibri" w:eastAsia="Calibri" w:hAnsi="Calibri" w:cs="Calibri"/>
                <w:b/>
                <w:bCs/>
                <w:color w:val="FFFFFF"/>
                <w:sz w:val="18"/>
                <w:szCs w:val="18"/>
              </w:rPr>
              <w:t>Rank</w:t>
            </w:r>
          </w:p>
        </w:tc>
        <w:tc>
          <w:tcPr>
            <w:tcW w:w="2600" w:type="dxa"/>
            <w:shd w:val="clear" w:color="auto" w:fill="16324F"/>
            <w:tcMar>
              <w:top w:w="60" w:type="dxa"/>
              <w:left w:w="80" w:type="dxa"/>
              <w:bottom w:w="60" w:type="dxa"/>
              <w:right w:w="80" w:type="dxa"/>
            </w:tcMar>
            <w:vAlign w:val="center"/>
          </w:tcPr>
          <w:p w14:paraId="18B0D825" w14:textId="77777777" w:rsidR="00861A4D" w:rsidRDefault="00861A4D" w:rsidP="00D156A0">
            <w:pPr>
              <w:spacing w:line="252" w:lineRule="auto"/>
              <w:jc w:val="center"/>
            </w:pPr>
            <w:r>
              <w:rPr>
                <w:rFonts w:ascii="Calibri" w:eastAsia="Calibri" w:hAnsi="Calibri" w:cs="Calibri"/>
                <w:b/>
                <w:bCs/>
                <w:color w:val="FFFFFF"/>
                <w:sz w:val="18"/>
                <w:szCs w:val="18"/>
              </w:rPr>
              <w:t>Sector</w:t>
            </w:r>
          </w:p>
        </w:tc>
        <w:tc>
          <w:tcPr>
            <w:tcW w:w="5200" w:type="dxa"/>
            <w:shd w:val="clear" w:color="auto" w:fill="16324F"/>
            <w:tcMar>
              <w:top w:w="60" w:type="dxa"/>
              <w:left w:w="80" w:type="dxa"/>
              <w:bottom w:w="60" w:type="dxa"/>
              <w:right w:w="80" w:type="dxa"/>
            </w:tcMar>
            <w:vAlign w:val="center"/>
          </w:tcPr>
          <w:p w14:paraId="5360BB1D" w14:textId="77777777" w:rsidR="00861A4D" w:rsidRDefault="00861A4D" w:rsidP="00D156A0">
            <w:pPr>
              <w:spacing w:line="252" w:lineRule="auto"/>
              <w:jc w:val="center"/>
            </w:pPr>
            <w:r>
              <w:rPr>
                <w:rFonts w:ascii="Calibri" w:eastAsia="Calibri" w:hAnsi="Calibri" w:cs="Calibri"/>
                <w:b/>
                <w:bCs/>
                <w:color w:val="FFFFFF"/>
                <w:sz w:val="18"/>
                <w:szCs w:val="18"/>
              </w:rPr>
              <w:t>Rationale</w:t>
            </w:r>
          </w:p>
        </w:tc>
      </w:tr>
      <w:tr w:rsidR="00861A4D" w14:paraId="69528352" w14:textId="77777777" w:rsidTr="00D156A0">
        <w:tc>
          <w:tcPr>
            <w:tcW w:w="700" w:type="dxa"/>
            <w:tcMar>
              <w:top w:w="60" w:type="dxa"/>
              <w:left w:w="80" w:type="dxa"/>
              <w:bottom w:w="60" w:type="dxa"/>
              <w:right w:w="80" w:type="dxa"/>
            </w:tcMar>
            <w:vAlign w:val="center"/>
          </w:tcPr>
          <w:p w14:paraId="638BD443" w14:textId="77777777" w:rsidR="00861A4D" w:rsidRDefault="00861A4D" w:rsidP="00D156A0">
            <w:pPr>
              <w:spacing w:line="252" w:lineRule="auto"/>
            </w:pPr>
            <w:r>
              <w:rPr>
                <w:rFonts w:ascii="Calibri" w:eastAsia="Calibri" w:hAnsi="Calibri" w:cs="Calibri"/>
                <w:sz w:val="16"/>
                <w:szCs w:val="16"/>
              </w:rPr>
              <w:t>1</w:t>
            </w:r>
          </w:p>
        </w:tc>
        <w:tc>
          <w:tcPr>
            <w:tcW w:w="2600" w:type="dxa"/>
            <w:tcMar>
              <w:top w:w="60" w:type="dxa"/>
              <w:left w:w="80" w:type="dxa"/>
              <w:bottom w:w="60" w:type="dxa"/>
              <w:right w:w="80" w:type="dxa"/>
            </w:tcMar>
            <w:vAlign w:val="center"/>
          </w:tcPr>
          <w:p w14:paraId="065AF18C" w14:textId="77777777" w:rsidR="00861A4D" w:rsidRDefault="00861A4D" w:rsidP="00D156A0">
            <w:pPr>
              <w:spacing w:line="252" w:lineRule="auto"/>
              <w:jc w:val="center"/>
            </w:pPr>
            <w:r>
              <w:rPr>
                <w:rFonts w:ascii="Calibri" w:eastAsia="Calibri" w:hAnsi="Calibri" w:cs="Calibri"/>
                <w:sz w:val="16"/>
                <w:szCs w:val="16"/>
              </w:rPr>
              <w:t>IT/</w:t>
            </w:r>
            <w:proofErr w:type="spellStart"/>
            <w:r>
              <w:rPr>
                <w:rFonts w:ascii="Calibri" w:eastAsia="Calibri" w:hAnsi="Calibri" w:cs="Calibri"/>
                <w:sz w:val="16"/>
                <w:szCs w:val="16"/>
              </w:rPr>
              <w:t>ITeS</w:t>
            </w:r>
            <w:proofErr w:type="spellEnd"/>
            <w:r>
              <w:rPr>
                <w:rFonts w:ascii="Calibri" w:eastAsia="Calibri" w:hAnsi="Calibri" w:cs="Calibri"/>
                <w:sz w:val="16"/>
                <w:szCs w:val="16"/>
              </w:rPr>
              <w:t xml:space="preserve"> &amp; professional services (incl. DCC mobility)</w:t>
            </w:r>
          </w:p>
        </w:tc>
        <w:tc>
          <w:tcPr>
            <w:tcW w:w="5200" w:type="dxa"/>
            <w:tcMar>
              <w:top w:w="60" w:type="dxa"/>
              <w:left w:w="80" w:type="dxa"/>
              <w:bottom w:w="60" w:type="dxa"/>
              <w:right w:w="80" w:type="dxa"/>
            </w:tcMar>
            <w:vAlign w:val="center"/>
          </w:tcPr>
          <w:p w14:paraId="69F14E37" w14:textId="77777777" w:rsidR="00861A4D" w:rsidRDefault="00861A4D" w:rsidP="00D156A0">
            <w:pPr>
              <w:spacing w:line="252" w:lineRule="auto"/>
              <w:jc w:val="center"/>
            </w:pPr>
            <w:r>
              <w:rPr>
                <w:rFonts w:ascii="Calibri" w:eastAsia="Calibri" w:hAnsi="Calibri" w:cs="Calibri"/>
                <w:sz w:val="16"/>
                <w:szCs w:val="16"/>
              </w:rPr>
              <w:t>Largest value flow (£11.7bn Other Business Services); DCC creates immediate, recurring, firm-scalable work (Certificates of Coverage, secondments, tax-</w:t>
            </w:r>
            <w:proofErr w:type="spellStart"/>
            <w:r>
              <w:rPr>
                <w:rFonts w:ascii="Calibri" w:eastAsia="Calibri" w:hAnsi="Calibri" w:cs="Calibri"/>
                <w:sz w:val="16"/>
                <w:szCs w:val="16"/>
              </w:rPr>
              <w:t>equalisation</w:t>
            </w:r>
            <w:proofErr w:type="spellEnd"/>
            <w:r>
              <w:rPr>
                <w:rFonts w:ascii="Calibri" w:eastAsia="Calibri" w:hAnsi="Calibri" w:cs="Calibri"/>
                <w:sz w:val="16"/>
                <w:szCs w:val="16"/>
              </w:rPr>
              <w:t>, data transfer). Recurring engagements outweigh one-off tariff work.</w:t>
            </w:r>
          </w:p>
        </w:tc>
      </w:tr>
      <w:tr w:rsidR="00861A4D" w14:paraId="0860E80C" w14:textId="77777777" w:rsidTr="00D156A0">
        <w:tc>
          <w:tcPr>
            <w:tcW w:w="700" w:type="dxa"/>
            <w:shd w:val="clear" w:color="auto" w:fill="EEF2F6"/>
            <w:tcMar>
              <w:top w:w="60" w:type="dxa"/>
              <w:left w:w="80" w:type="dxa"/>
              <w:bottom w:w="60" w:type="dxa"/>
              <w:right w:w="80" w:type="dxa"/>
            </w:tcMar>
            <w:vAlign w:val="center"/>
          </w:tcPr>
          <w:p w14:paraId="1D84DDD9" w14:textId="77777777" w:rsidR="00861A4D" w:rsidRDefault="00861A4D" w:rsidP="00D156A0">
            <w:pPr>
              <w:spacing w:line="252" w:lineRule="auto"/>
            </w:pPr>
            <w:r>
              <w:rPr>
                <w:rFonts w:ascii="Calibri" w:eastAsia="Calibri" w:hAnsi="Calibri" w:cs="Calibri"/>
                <w:sz w:val="16"/>
                <w:szCs w:val="16"/>
              </w:rPr>
              <w:t>2</w:t>
            </w:r>
          </w:p>
        </w:tc>
        <w:tc>
          <w:tcPr>
            <w:tcW w:w="2600" w:type="dxa"/>
            <w:shd w:val="clear" w:color="auto" w:fill="EEF2F6"/>
            <w:tcMar>
              <w:top w:w="60" w:type="dxa"/>
              <w:left w:w="80" w:type="dxa"/>
              <w:bottom w:w="60" w:type="dxa"/>
              <w:right w:w="80" w:type="dxa"/>
            </w:tcMar>
            <w:vAlign w:val="center"/>
          </w:tcPr>
          <w:p w14:paraId="0D3F8761" w14:textId="77777777" w:rsidR="00861A4D" w:rsidRDefault="00861A4D" w:rsidP="00D156A0">
            <w:pPr>
              <w:spacing w:line="252" w:lineRule="auto"/>
              <w:jc w:val="center"/>
            </w:pPr>
            <w:r>
              <w:rPr>
                <w:rFonts w:ascii="Calibri" w:eastAsia="Calibri" w:hAnsi="Calibri" w:cs="Calibri"/>
                <w:sz w:val="16"/>
                <w:szCs w:val="16"/>
              </w:rPr>
              <w:t>Textiles &amp; apparel</w:t>
            </w:r>
          </w:p>
        </w:tc>
        <w:tc>
          <w:tcPr>
            <w:tcW w:w="5200" w:type="dxa"/>
            <w:shd w:val="clear" w:color="auto" w:fill="EEF2F6"/>
            <w:tcMar>
              <w:top w:w="60" w:type="dxa"/>
              <w:left w:w="80" w:type="dxa"/>
              <w:bottom w:w="60" w:type="dxa"/>
              <w:right w:w="80" w:type="dxa"/>
            </w:tcMar>
            <w:vAlign w:val="center"/>
          </w:tcPr>
          <w:p w14:paraId="59395AE5" w14:textId="77777777" w:rsidR="00861A4D" w:rsidRDefault="00861A4D" w:rsidP="00D156A0">
            <w:pPr>
              <w:spacing w:line="252" w:lineRule="auto"/>
              <w:jc w:val="center"/>
            </w:pPr>
            <w:r>
              <w:rPr>
                <w:rFonts w:ascii="Calibri" w:eastAsia="Calibri" w:hAnsi="Calibri" w:cs="Calibri"/>
                <w:sz w:val="16"/>
                <w:szCs w:val="16"/>
              </w:rPr>
              <w:t xml:space="preserve">Day-1 zero duty on 1,143 lines; very large, MSME-fragmented client base multiplying identical </w:t>
            </w:r>
            <w:proofErr w:type="spellStart"/>
            <w:r>
              <w:rPr>
                <w:rFonts w:ascii="Calibri" w:eastAsia="Calibri" w:hAnsi="Calibri" w:cs="Calibri"/>
                <w:sz w:val="16"/>
                <w:szCs w:val="16"/>
              </w:rPr>
              <w:t>RoO</w:t>
            </w:r>
            <w:proofErr w:type="spellEnd"/>
            <w:r>
              <w:rPr>
                <w:rFonts w:ascii="Calibri" w:eastAsia="Calibri" w:hAnsi="Calibri" w:cs="Calibri"/>
                <w:sz w:val="16"/>
                <w:szCs w:val="16"/>
              </w:rPr>
              <w:t>/standards/ESG instructions; high verification-risk exposure.</w:t>
            </w:r>
          </w:p>
        </w:tc>
      </w:tr>
      <w:tr w:rsidR="00861A4D" w14:paraId="23B2A579" w14:textId="77777777" w:rsidTr="00D156A0">
        <w:tc>
          <w:tcPr>
            <w:tcW w:w="700" w:type="dxa"/>
            <w:tcMar>
              <w:top w:w="60" w:type="dxa"/>
              <w:left w:w="80" w:type="dxa"/>
              <w:bottom w:w="60" w:type="dxa"/>
              <w:right w:w="80" w:type="dxa"/>
            </w:tcMar>
            <w:vAlign w:val="center"/>
          </w:tcPr>
          <w:p w14:paraId="08B2DA92" w14:textId="77777777" w:rsidR="00861A4D" w:rsidRDefault="00861A4D" w:rsidP="00D156A0">
            <w:pPr>
              <w:spacing w:line="252" w:lineRule="auto"/>
            </w:pPr>
            <w:r>
              <w:rPr>
                <w:rFonts w:ascii="Calibri" w:eastAsia="Calibri" w:hAnsi="Calibri" w:cs="Calibri"/>
                <w:sz w:val="16"/>
                <w:szCs w:val="16"/>
              </w:rPr>
              <w:t>3</w:t>
            </w:r>
          </w:p>
        </w:tc>
        <w:tc>
          <w:tcPr>
            <w:tcW w:w="2600" w:type="dxa"/>
            <w:tcMar>
              <w:top w:w="60" w:type="dxa"/>
              <w:left w:w="80" w:type="dxa"/>
              <w:bottom w:w="60" w:type="dxa"/>
              <w:right w:w="80" w:type="dxa"/>
            </w:tcMar>
            <w:vAlign w:val="center"/>
          </w:tcPr>
          <w:p w14:paraId="5077CE15" w14:textId="77777777" w:rsidR="00861A4D" w:rsidRDefault="00861A4D" w:rsidP="00D156A0">
            <w:pPr>
              <w:spacing w:line="252" w:lineRule="auto"/>
              <w:jc w:val="center"/>
            </w:pPr>
            <w:r>
              <w:rPr>
                <w:rFonts w:ascii="Calibri" w:eastAsia="Calibri" w:hAnsi="Calibri" w:cs="Calibri"/>
                <w:sz w:val="16"/>
                <w:szCs w:val="16"/>
              </w:rPr>
              <w:t>Engineering goods &amp; auto components</w:t>
            </w:r>
          </w:p>
        </w:tc>
        <w:tc>
          <w:tcPr>
            <w:tcW w:w="5200" w:type="dxa"/>
            <w:tcMar>
              <w:top w:w="60" w:type="dxa"/>
              <w:left w:w="80" w:type="dxa"/>
              <w:bottom w:w="60" w:type="dxa"/>
              <w:right w:w="80" w:type="dxa"/>
            </w:tcMar>
            <w:vAlign w:val="center"/>
          </w:tcPr>
          <w:p w14:paraId="1F29DA91" w14:textId="77777777" w:rsidR="00861A4D" w:rsidRDefault="00861A4D" w:rsidP="00D156A0">
            <w:pPr>
              <w:spacing w:line="252" w:lineRule="auto"/>
              <w:jc w:val="center"/>
            </w:pPr>
            <w:r>
              <w:rPr>
                <w:rFonts w:ascii="Calibri" w:eastAsia="Calibri" w:hAnsi="Calibri" w:cs="Calibri"/>
                <w:sz w:val="16"/>
                <w:szCs w:val="16"/>
              </w:rPr>
              <w:t>Up-to-18% tariff removal; complex global supply chains make cumulation/</w:t>
            </w:r>
            <w:proofErr w:type="spellStart"/>
            <w:r>
              <w:rPr>
                <w:rFonts w:ascii="Calibri" w:eastAsia="Calibri" w:hAnsi="Calibri" w:cs="Calibri"/>
                <w:sz w:val="16"/>
                <w:szCs w:val="16"/>
              </w:rPr>
              <w:t>RoO</w:t>
            </w:r>
            <w:proofErr w:type="spellEnd"/>
            <w:r>
              <w:rPr>
                <w:rFonts w:ascii="Calibri" w:eastAsia="Calibri" w:hAnsi="Calibri" w:cs="Calibri"/>
                <w:sz w:val="16"/>
                <w:szCs w:val="16"/>
              </w:rPr>
              <w:t xml:space="preserve"> planning and product-liability/licensing advice technical and repeat-billing.</w:t>
            </w:r>
          </w:p>
        </w:tc>
      </w:tr>
      <w:tr w:rsidR="00861A4D" w14:paraId="3A947ABD" w14:textId="77777777" w:rsidTr="00D156A0">
        <w:tc>
          <w:tcPr>
            <w:tcW w:w="700" w:type="dxa"/>
            <w:shd w:val="clear" w:color="auto" w:fill="EEF2F6"/>
            <w:tcMar>
              <w:top w:w="60" w:type="dxa"/>
              <w:left w:w="80" w:type="dxa"/>
              <w:bottom w:w="60" w:type="dxa"/>
              <w:right w:w="80" w:type="dxa"/>
            </w:tcMar>
            <w:vAlign w:val="center"/>
          </w:tcPr>
          <w:p w14:paraId="1782E0A9" w14:textId="77777777" w:rsidR="00861A4D" w:rsidRDefault="00861A4D" w:rsidP="00D156A0">
            <w:pPr>
              <w:spacing w:line="252" w:lineRule="auto"/>
            </w:pPr>
            <w:r>
              <w:rPr>
                <w:rFonts w:ascii="Calibri" w:eastAsia="Calibri" w:hAnsi="Calibri" w:cs="Calibri"/>
                <w:sz w:val="16"/>
                <w:szCs w:val="16"/>
              </w:rPr>
              <w:t>4</w:t>
            </w:r>
          </w:p>
        </w:tc>
        <w:tc>
          <w:tcPr>
            <w:tcW w:w="2600" w:type="dxa"/>
            <w:shd w:val="clear" w:color="auto" w:fill="EEF2F6"/>
            <w:tcMar>
              <w:top w:w="60" w:type="dxa"/>
              <w:left w:w="80" w:type="dxa"/>
              <w:bottom w:w="60" w:type="dxa"/>
              <w:right w:w="80" w:type="dxa"/>
            </w:tcMar>
            <w:vAlign w:val="center"/>
          </w:tcPr>
          <w:p w14:paraId="12F174BC" w14:textId="77777777" w:rsidR="00861A4D" w:rsidRDefault="00861A4D" w:rsidP="00D156A0">
            <w:pPr>
              <w:spacing w:line="252" w:lineRule="auto"/>
              <w:jc w:val="center"/>
            </w:pPr>
            <w:r>
              <w:rPr>
                <w:rFonts w:ascii="Calibri" w:eastAsia="Calibri" w:hAnsi="Calibri" w:cs="Calibri"/>
                <w:sz w:val="16"/>
                <w:szCs w:val="16"/>
              </w:rPr>
              <w:t>Pharmaceuticals &amp; medical devices</w:t>
            </w:r>
          </w:p>
        </w:tc>
        <w:tc>
          <w:tcPr>
            <w:tcW w:w="5200" w:type="dxa"/>
            <w:shd w:val="clear" w:color="auto" w:fill="EEF2F6"/>
            <w:tcMar>
              <w:top w:w="60" w:type="dxa"/>
              <w:left w:w="80" w:type="dxa"/>
              <w:bottom w:w="60" w:type="dxa"/>
              <w:right w:w="80" w:type="dxa"/>
            </w:tcMar>
            <w:vAlign w:val="center"/>
          </w:tcPr>
          <w:p w14:paraId="541812C2" w14:textId="77777777" w:rsidR="00861A4D" w:rsidRDefault="00861A4D" w:rsidP="00D156A0">
            <w:pPr>
              <w:spacing w:line="252" w:lineRule="auto"/>
              <w:jc w:val="center"/>
            </w:pPr>
            <w:r>
              <w:rPr>
                <w:rFonts w:ascii="Calibri" w:eastAsia="Calibri" w:hAnsi="Calibri" w:cs="Calibri"/>
                <w:sz w:val="16"/>
                <w:szCs w:val="16"/>
              </w:rPr>
              <w:t>High-value, heavily regulated on both sides (MHRA/CDSCO); GMP recognition, IP/FTO and device-import licensing sustain demand independent of tariff size.</w:t>
            </w:r>
          </w:p>
        </w:tc>
      </w:tr>
      <w:tr w:rsidR="00861A4D" w14:paraId="40D52099" w14:textId="77777777" w:rsidTr="00D156A0">
        <w:tc>
          <w:tcPr>
            <w:tcW w:w="700" w:type="dxa"/>
            <w:tcMar>
              <w:top w:w="60" w:type="dxa"/>
              <w:left w:w="80" w:type="dxa"/>
              <w:bottom w:w="60" w:type="dxa"/>
              <w:right w:w="80" w:type="dxa"/>
            </w:tcMar>
            <w:vAlign w:val="center"/>
          </w:tcPr>
          <w:p w14:paraId="6D356B77" w14:textId="77777777" w:rsidR="00861A4D" w:rsidRDefault="00861A4D" w:rsidP="00D156A0">
            <w:pPr>
              <w:spacing w:line="252" w:lineRule="auto"/>
            </w:pPr>
            <w:r>
              <w:rPr>
                <w:rFonts w:ascii="Calibri" w:eastAsia="Calibri" w:hAnsi="Calibri" w:cs="Calibri"/>
                <w:sz w:val="16"/>
                <w:szCs w:val="16"/>
              </w:rPr>
              <w:t>5</w:t>
            </w:r>
          </w:p>
        </w:tc>
        <w:tc>
          <w:tcPr>
            <w:tcW w:w="2600" w:type="dxa"/>
            <w:tcMar>
              <w:top w:w="60" w:type="dxa"/>
              <w:left w:w="80" w:type="dxa"/>
              <w:bottom w:w="60" w:type="dxa"/>
              <w:right w:w="80" w:type="dxa"/>
            </w:tcMar>
            <w:vAlign w:val="center"/>
          </w:tcPr>
          <w:p w14:paraId="3568A706" w14:textId="77777777" w:rsidR="00861A4D" w:rsidRDefault="00861A4D" w:rsidP="00D156A0">
            <w:pPr>
              <w:spacing w:line="252" w:lineRule="auto"/>
              <w:jc w:val="center"/>
            </w:pPr>
            <w:r>
              <w:rPr>
                <w:rFonts w:ascii="Calibri" w:eastAsia="Calibri" w:hAnsi="Calibri" w:cs="Calibri"/>
                <w:sz w:val="16"/>
                <w:szCs w:val="16"/>
              </w:rPr>
              <w:t xml:space="preserve">Gems &amp; </w:t>
            </w:r>
            <w:proofErr w:type="spellStart"/>
            <w:r>
              <w:rPr>
                <w:rFonts w:ascii="Calibri" w:eastAsia="Calibri" w:hAnsi="Calibri" w:cs="Calibri"/>
                <w:sz w:val="16"/>
                <w:szCs w:val="16"/>
              </w:rPr>
              <w:t>jewellery</w:t>
            </w:r>
            <w:proofErr w:type="spellEnd"/>
          </w:p>
        </w:tc>
        <w:tc>
          <w:tcPr>
            <w:tcW w:w="5200" w:type="dxa"/>
            <w:tcMar>
              <w:top w:w="60" w:type="dxa"/>
              <w:left w:w="80" w:type="dxa"/>
              <w:bottom w:w="60" w:type="dxa"/>
              <w:right w:w="80" w:type="dxa"/>
            </w:tcMar>
            <w:vAlign w:val="center"/>
          </w:tcPr>
          <w:p w14:paraId="0ADC4F26" w14:textId="77777777" w:rsidR="00861A4D" w:rsidRDefault="00861A4D" w:rsidP="00D156A0">
            <w:pPr>
              <w:spacing w:line="252" w:lineRule="auto"/>
              <w:jc w:val="center"/>
            </w:pPr>
            <w:r>
              <w:rPr>
                <w:rFonts w:ascii="Calibri" w:eastAsia="Calibri" w:hAnsi="Calibri" w:cs="Calibri"/>
                <w:sz w:val="16"/>
                <w:szCs w:val="16"/>
              </w:rPr>
              <w:t>Government-projected doubling; low QVC eases origin but AML/PMLA, valuation and FEMA sensitivity keep advice necessary.</w:t>
            </w:r>
          </w:p>
        </w:tc>
      </w:tr>
      <w:tr w:rsidR="00861A4D" w14:paraId="17CF7B71" w14:textId="77777777" w:rsidTr="00D156A0">
        <w:tc>
          <w:tcPr>
            <w:tcW w:w="700" w:type="dxa"/>
            <w:shd w:val="clear" w:color="auto" w:fill="EEF2F6"/>
            <w:tcMar>
              <w:top w:w="60" w:type="dxa"/>
              <w:left w:w="80" w:type="dxa"/>
              <w:bottom w:w="60" w:type="dxa"/>
              <w:right w:w="80" w:type="dxa"/>
            </w:tcMar>
            <w:vAlign w:val="center"/>
          </w:tcPr>
          <w:p w14:paraId="4B506579" w14:textId="77777777" w:rsidR="00861A4D" w:rsidRDefault="00861A4D" w:rsidP="00D156A0">
            <w:pPr>
              <w:spacing w:line="252" w:lineRule="auto"/>
            </w:pPr>
            <w:r>
              <w:rPr>
                <w:rFonts w:ascii="Calibri" w:eastAsia="Calibri" w:hAnsi="Calibri" w:cs="Calibri"/>
                <w:sz w:val="16"/>
                <w:szCs w:val="16"/>
              </w:rPr>
              <w:t>6</w:t>
            </w:r>
          </w:p>
        </w:tc>
        <w:tc>
          <w:tcPr>
            <w:tcW w:w="2600" w:type="dxa"/>
            <w:shd w:val="clear" w:color="auto" w:fill="EEF2F6"/>
            <w:tcMar>
              <w:top w:w="60" w:type="dxa"/>
              <w:left w:w="80" w:type="dxa"/>
              <w:bottom w:w="60" w:type="dxa"/>
              <w:right w:w="80" w:type="dxa"/>
            </w:tcMar>
            <w:vAlign w:val="center"/>
          </w:tcPr>
          <w:p w14:paraId="6651AF44" w14:textId="77777777" w:rsidR="00861A4D" w:rsidRDefault="00861A4D" w:rsidP="00D156A0">
            <w:pPr>
              <w:spacing w:line="252" w:lineRule="auto"/>
              <w:jc w:val="center"/>
            </w:pPr>
            <w:r>
              <w:rPr>
                <w:rFonts w:ascii="Calibri" w:eastAsia="Calibri" w:hAnsi="Calibri" w:cs="Calibri"/>
                <w:sz w:val="16"/>
                <w:szCs w:val="16"/>
              </w:rPr>
              <w:t xml:space="preserve">Marine, </w:t>
            </w:r>
            <w:proofErr w:type="spellStart"/>
            <w:r>
              <w:rPr>
                <w:rFonts w:ascii="Calibri" w:eastAsia="Calibri" w:hAnsi="Calibri" w:cs="Calibri"/>
                <w:sz w:val="16"/>
                <w:szCs w:val="16"/>
              </w:rPr>
              <w:t>agri</w:t>
            </w:r>
            <w:proofErr w:type="spellEnd"/>
            <w:r>
              <w:rPr>
                <w:rFonts w:ascii="Calibri" w:eastAsia="Calibri" w:hAnsi="Calibri" w:cs="Calibri"/>
                <w:sz w:val="16"/>
                <w:szCs w:val="16"/>
              </w:rPr>
              <w:t xml:space="preserve"> &amp; food processing</w:t>
            </w:r>
          </w:p>
        </w:tc>
        <w:tc>
          <w:tcPr>
            <w:tcW w:w="5200" w:type="dxa"/>
            <w:shd w:val="clear" w:color="auto" w:fill="EEF2F6"/>
            <w:tcMar>
              <w:top w:w="60" w:type="dxa"/>
              <w:left w:w="80" w:type="dxa"/>
              <w:bottom w:w="60" w:type="dxa"/>
              <w:right w:w="80" w:type="dxa"/>
            </w:tcMar>
            <w:vAlign w:val="center"/>
          </w:tcPr>
          <w:p w14:paraId="66BDBB83" w14:textId="77777777" w:rsidR="00861A4D" w:rsidRDefault="00861A4D" w:rsidP="00D156A0">
            <w:pPr>
              <w:spacing w:line="252" w:lineRule="auto"/>
              <w:jc w:val="center"/>
            </w:pPr>
            <w:proofErr w:type="gramStart"/>
            <w:r>
              <w:rPr>
                <w:rFonts w:ascii="Calibri" w:eastAsia="Calibri" w:hAnsi="Calibri" w:cs="Calibri"/>
                <w:sz w:val="16"/>
                <w:szCs w:val="16"/>
              </w:rPr>
              <w:t>Large untapped</w:t>
            </w:r>
            <w:proofErr w:type="gramEnd"/>
            <w:r>
              <w:rPr>
                <w:rFonts w:ascii="Calibri" w:eastAsia="Calibri" w:hAnsi="Calibri" w:cs="Calibri"/>
                <w:sz w:val="16"/>
                <w:szCs w:val="16"/>
              </w:rPr>
              <w:t xml:space="preserve"> UK market; SPS/food-safety and GI work is </w:t>
            </w:r>
            <w:proofErr w:type="spellStart"/>
            <w:r>
              <w:rPr>
                <w:rFonts w:ascii="Calibri" w:eastAsia="Calibri" w:hAnsi="Calibri" w:cs="Calibri"/>
                <w:sz w:val="16"/>
                <w:szCs w:val="16"/>
              </w:rPr>
              <w:t>specialised</w:t>
            </w:r>
            <w:proofErr w:type="spellEnd"/>
            <w:r>
              <w:rPr>
                <w:rFonts w:ascii="Calibri" w:eastAsia="Calibri" w:hAnsi="Calibri" w:cs="Calibri"/>
                <w:sz w:val="16"/>
                <w:szCs w:val="16"/>
              </w:rPr>
              <w:t xml:space="preserve"> and recurring, though </w:t>
            </w:r>
            <w:proofErr w:type="spellStart"/>
            <w:r>
              <w:rPr>
                <w:rFonts w:ascii="Calibri" w:eastAsia="Calibri" w:hAnsi="Calibri" w:cs="Calibri"/>
                <w:sz w:val="16"/>
                <w:szCs w:val="16"/>
              </w:rPr>
              <w:t>realisation</w:t>
            </w:r>
            <w:proofErr w:type="spellEnd"/>
            <w:r>
              <w:rPr>
                <w:rFonts w:ascii="Calibri" w:eastAsia="Calibri" w:hAnsi="Calibri" w:cs="Calibri"/>
                <w:sz w:val="16"/>
                <w:szCs w:val="16"/>
              </w:rPr>
              <w:t xml:space="preserve"> depends on meeting standards.</w:t>
            </w:r>
          </w:p>
        </w:tc>
      </w:tr>
      <w:tr w:rsidR="00861A4D" w14:paraId="39DB6D57" w14:textId="77777777" w:rsidTr="00D156A0">
        <w:tc>
          <w:tcPr>
            <w:tcW w:w="700" w:type="dxa"/>
            <w:tcMar>
              <w:top w:w="60" w:type="dxa"/>
              <w:left w:w="80" w:type="dxa"/>
              <w:bottom w:w="60" w:type="dxa"/>
              <w:right w:w="80" w:type="dxa"/>
            </w:tcMar>
            <w:vAlign w:val="center"/>
          </w:tcPr>
          <w:p w14:paraId="0DBF5247" w14:textId="77777777" w:rsidR="00861A4D" w:rsidRDefault="00861A4D" w:rsidP="00D156A0">
            <w:pPr>
              <w:spacing w:line="252" w:lineRule="auto"/>
            </w:pPr>
            <w:r>
              <w:rPr>
                <w:rFonts w:ascii="Calibri" w:eastAsia="Calibri" w:hAnsi="Calibri" w:cs="Calibri"/>
                <w:sz w:val="16"/>
                <w:szCs w:val="16"/>
              </w:rPr>
              <w:t>7</w:t>
            </w:r>
          </w:p>
        </w:tc>
        <w:tc>
          <w:tcPr>
            <w:tcW w:w="2600" w:type="dxa"/>
            <w:tcMar>
              <w:top w:w="60" w:type="dxa"/>
              <w:left w:w="80" w:type="dxa"/>
              <w:bottom w:w="60" w:type="dxa"/>
              <w:right w:w="80" w:type="dxa"/>
            </w:tcMar>
            <w:vAlign w:val="center"/>
          </w:tcPr>
          <w:p w14:paraId="7FC4386B" w14:textId="77777777" w:rsidR="00861A4D" w:rsidRDefault="00861A4D" w:rsidP="00D156A0">
            <w:pPr>
              <w:spacing w:line="252" w:lineRule="auto"/>
              <w:jc w:val="center"/>
            </w:pPr>
            <w:r>
              <w:rPr>
                <w:rFonts w:ascii="Calibri" w:eastAsia="Calibri" w:hAnsi="Calibri" w:cs="Calibri"/>
                <w:sz w:val="16"/>
                <w:szCs w:val="16"/>
              </w:rPr>
              <w:t>Automobiles &amp; whisky/spirits (import)</w:t>
            </w:r>
          </w:p>
        </w:tc>
        <w:tc>
          <w:tcPr>
            <w:tcW w:w="5200" w:type="dxa"/>
            <w:tcMar>
              <w:top w:w="60" w:type="dxa"/>
              <w:left w:w="80" w:type="dxa"/>
              <w:bottom w:w="60" w:type="dxa"/>
              <w:right w:w="80" w:type="dxa"/>
            </w:tcMar>
            <w:vAlign w:val="center"/>
          </w:tcPr>
          <w:p w14:paraId="25B55DC7" w14:textId="77777777" w:rsidR="00861A4D" w:rsidRDefault="00861A4D" w:rsidP="00D156A0">
            <w:pPr>
              <w:spacing w:line="252" w:lineRule="auto"/>
              <w:jc w:val="center"/>
            </w:pPr>
            <w:r>
              <w:rPr>
                <w:rFonts w:ascii="Calibri" w:eastAsia="Calibri" w:hAnsi="Calibri" w:cs="Calibri"/>
                <w:sz w:val="16"/>
                <w:szCs w:val="16"/>
              </w:rPr>
              <w:t>Small client set but high per-matter value; TRQ administration, excise/state-licensing and FEMA generate concentrated, sophisticated work.</w:t>
            </w:r>
          </w:p>
        </w:tc>
      </w:tr>
      <w:tr w:rsidR="00861A4D" w14:paraId="5C881F14" w14:textId="77777777" w:rsidTr="00D156A0">
        <w:tc>
          <w:tcPr>
            <w:tcW w:w="700" w:type="dxa"/>
            <w:shd w:val="clear" w:color="auto" w:fill="EEF2F6"/>
            <w:tcMar>
              <w:top w:w="60" w:type="dxa"/>
              <w:left w:w="80" w:type="dxa"/>
              <w:bottom w:w="60" w:type="dxa"/>
              <w:right w:w="80" w:type="dxa"/>
            </w:tcMar>
            <w:vAlign w:val="center"/>
          </w:tcPr>
          <w:p w14:paraId="31FE7879" w14:textId="77777777" w:rsidR="00861A4D" w:rsidRDefault="00861A4D" w:rsidP="00D156A0">
            <w:pPr>
              <w:spacing w:line="252" w:lineRule="auto"/>
            </w:pPr>
            <w:r>
              <w:rPr>
                <w:rFonts w:ascii="Calibri" w:eastAsia="Calibri" w:hAnsi="Calibri" w:cs="Calibri"/>
                <w:sz w:val="16"/>
                <w:szCs w:val="16"/>
              </w:rPr>
              <w:t>8</w:t>
            </w:r>
          </w:p>
        </w:tc>
        <w:tc>
          <w:tcPr>
            <w:tcW w:w="2600" w:type="dxa"/>
            <w:shd w:val="clear" w:color="auto" w:fill="EEF2F6"/>
            <w:tcMar>
              <w:top w:w="60" w:type="dxa"/>
              <w:left w:w="80" w:type="dxa"/>
              <w:bottom w:w="60" w:type="dxa"/>
              <w:right w:w="80" w:type="dxa"/>
            </w:tcMar>
            <w:vAlign w:val="center"/>
          </w:tcPr>
          <w:p w14:paraId="0A6099F2" w14:textId="77777777" w:rsidR="00861A4D" w:rsidRDefault="00861A4D" w:rsidP="00D156A0">
            <w:pPr>
              <w:spacing w:line="252" w:lineRule="auto"/>
              <w:jc w:val="center"/>
            </w:pPr>
            <w:r>
              <w:rPr>
                <w:rFonts w:ascii="Calibri" w:eastAsia="Calibri" w:hAnsi="Calibri" w:cs="Calibri"/>
                <w:sz w:val="16"/>
                <w:szCs w:val="16"/>
              </w:rPr>
              <w:t>Electronics, telecom &amp; plastics</w:t>
            </w:r>
          </w:p>
        </w:tc>
        <w:tc>
          <w:tcPr>
            <w:tcW w:w="5200" w:type="dxa"/>
            <w:shd w:val="clear" w:color="auto" w:fill="EEF2F6"/>
            <w:tcMar>
              <w:top w:w="60" w:type="dxa"/>
              <w:left w:w="80" w:type="dxa"/>
              <w:bottom w:w="60" w:type="dxa"/>
              <w:right w:w="80" w:type="dxa"/>
            </w:tcMar>
            <w:vAlign w:val="center"/>
          </w:tcPr>
          <w:p w14:paraId="36FE802D" w14:textId="77777777" w:rsidR="00861A4D" w:rsidRDefault="00861A4D" w:rsidP="00D156A0">
            <w:pPr>
              <w:spacing w:line="252" w:lineRule="auto"/>
              <w:jc w:val="center"/>
            </w:pPr>
            <w:r>
              <w:rPr>
                <w:rFonts w:ascii="Calibri" w:eastAsia="Calibri" w:hAnsi="Calibri" w:cs="Calibri"/>
                <w:sz w:val="16"/>
                <w:szCs w:val="16"/>
              </w:rPr>
              <w:t>Conformity-assessment recognition and IP licensing drive demand; some lines excluded on India’s side limits breadth.</w:t>
            </w:r>
          </w:p>
        </w:tc>
      </w:tr>
      <w:tr w:rsidR="00861A4D" w14:paraId="6CFBA3B4" w14:textId="77777777" w:rsidTr="00D156A0">
        <w:tc>
          <w:tcPr>
            <w:tcW w:w="700" w:type="dxa"/>
            <w:tcMar>
              <w:top w:w="60" w:type="dxa"/>
              <w:left w:w="80" w:type="dxa"/>
              <w:bottom w:w="60" w:type="dxa"/>
              <w:right w:w="80" w:type="dxa"/>
            </w:tcMar>
            <w:vAlign w:val="center"/>
          </w:tcPr>
          <w:p w14:paraId="6D1D2F35" w14:textId="77777777" w:rsidR="00861A4D" w:rsidRDefault="00861A4D" w:rsidP="00D156A0">
            <w:pPr>
              <w:spacing w:line="252" w:lineRule="auto"/>
            </w:pPr>
            <w:r>
              <w:rPr>
                <w:rFonts w:ascii="Calibri" w:eastAsia="Calibri" w:hAnsi="Calibri" w:cs="Calibri"/>
                <w:sz w:val="16"/>
                <w:szCs w:val="16"/>
              </w:rPr>
              <w:t>9</w:t>
            </w:r>
          </w:p>
        </w:tc>
        <w:tc>
          <w:tcPr>
            <w:tcW w:w="2600" w:type="dxa"/>
            <w:tcMar>
              <w:top w:w="60" w:type="dxa"/>
              <w:left w:w="80" w:type="dxa"/>
              <w:bottom w:w="60" w:type="dxa"/>
              <w:right w:w="80" w:type="dxa"/>
            </w:tcMar>
            <w:vAlign w:val="center"/>
          </w:tcPr>
          <w:p w14:paraId="13A90881" w14:textId="77777777" w:rsidR="00861A4D" w:rsidRDefault="00861A4D" w:rsidP="00D156A0">
            <w:pPr>
              <w:spacing w:line="252" w:lineRule="auto"/>
              <w:jc w:val="center"/>
            </w:pPr>
            <w:r>
              <w:rPr>
                <w:rFonts w:ascii="Calibri" w:eastAsia="Calibri" w:hAnsi="Calibri" w:cs="Calibri"/>
                <w:sz w:val="16"/>
                <w:szCs w:val="16"/>
              </w:rPr>
              <w:t>Leather, footwear, toys &amp; sports goods</w:t>
            </w:r>
          </w:p>
        </w:tc>
        <w:tc>
          <w:tcPr>
            <w:tcW w:w="5200" w:type="dxa"/>
            <w:tcMar>
              <w:top w:w="60" w:type="dxa"/>
              <w:left w:w="80" w:type="dxa"/>
              <w:bottom w:w="60" w:type="dxa"/>
              <w:right w:w="80" w:type="dxa"/>
            </w:tcMar>
            <w:vAlign w:val="center"/>
          </w:tcPr>
          <w:p w14:paraId="56B80744" w14:textId="77777777" w:rsidR="00861A4D" w:rsidRDefault="00861A4D" w:rsidP="00D156A0">
            <w:pPr>
              <w:spacing w:line="252" w:lineRule="auto"/>
              <w:jc w:val="center"/>
            </w:pPr>
            <w:r>
              <w:rPr>
                <w:rFonts w:ascii="Calibri" w:eastAsia="Calibri" w:hAnsi="Calibri" w:cs="Calibri"/>
                <w:sz w:val="16"/>
                <w:szCs w:val="16"/>
              </w:rPr>
              <w:t>Meaningful tariff removal and MSME scale, but lower per-matter value; standards/ESG compliance is the main driver.</w:t>
            </w:r>
          </w:p>
        </w:tc>
      </w:tr>
      <w:tr w:rsidR="00861A4D" w14:paraId="24C9BCD0" w14:textId="77777777" w:rsidTr="00D156A0">
        <w:tc>
          <w:tcPr>
            <w:tcW w:w="700" w:type="dxa"/>
            <w:shd w:val="clear" w:color="auto" w:fill="EEF2F6"/>
            <w:tcMar>
              <w:top w:w="60" w:type="dxa"/>
              <w:left w:w="80" w:type="dxa"/>
              <w:bottom w:w="60" w:type="dxa"/>
              <w:right w:w="80" w:type="dxa"/>
            </w:tcMar>
            <w:vAlign w:val="center"/>
          </w:tcPr>
          <w:p w14:paraId="0CC40EBB" w14:textId="77777777" w:rsidR="00861A4D" w:rsidRDefault="00861A4D" w:rsidP="00D156A0">
            <w:pPr>
              <w:spacing w:line="252" w:lineRule="auto"/>
            </w:pPr>
            <w:r>
              <w:rPr>
                <w:rFonts w:ascii="Calibri" w:eastAsia="Calibri" w:hAnsi="Calibri" w:cs="Calibri"/>
                <w:sz w:val="16"/>
                <w:szCs w:val="16"/>
              </w:rPr>
              <w:t>10</w:t>
            </w:r>
          </w:p>
        </w:tc>
        <w:tc>
          <w:tcPr>
            <w:tcW w:w="2600" w:type="dxa"/>
            <w:shd w:val="clear" w:color="auto" w:fill="EEF2F6"/>
            <w:tcMar>
              <w:top w:w="60" w:type="dxa"/>
              <w:left w:w="80" w:type="dxa"/>
              <w:bottom w:w="60" w:type="dxa"/>
              <w:right w:w="80" w:type="dxa"/>
            </w:tcMar>
            <w:vAlign w:val="center"/>
          </w:tcPr>
          <w:p w14:paraId="5875C36B" w14:textId="77777777" w:rsidR="00861A4D" w:rsidRDefault="00861A4D" w:rsidP="00D156A0">
            <w:pPr>
              <w:spacing w:line="252" w:lineRule="auto"/>
              <w:jc w:val="center"/>
            </w:pPr>
            <w:r>
              <w:rPr>
                <w:rFonts w:ascii="Calibri" w:eastAsia="Calibri" w:hAnsi="Calibri" w:cs="Calibri"/>
                <w:sz w:val="16"/>
                <w:szCs w:val="16"/>
              </w:rPr>
              <w:t>Cross-cutting investment &amp; dispute resolution</w:t>
            </w:r>
          </w:p>
        </w:tc>
        <w:tc>
          <w:tcPr>
            <w:tcW w:w="5200" w:type="dxa"/>
            <w:shd w:val="clear" w:color="auto" w:fill="EEF2F6"/>
            <w:tcMar>
              <w:top w:w="60" w:type="dxa"/>
              <w:left w:w="80" w:type="dxa"/>
              <w:bottom w:w="60" w:type="dxa"/>
              <w:right w:w="80" w:type="dxa"/>
            </w:tcMar>
            <w:vAlign w:val="center"/>
          </w:tcPr>
          <w:p w14:paraId="38D6D582" w14:textId="77777777" w:rsidR="00861A4D" w:rsidRDefault="00861A4D" w:rsidP="00D156A0">
            <w:pPr>
              <w:spacing w:line="252" w:lineRule="auto"/>
              <w:jc w:val="center"/>
            </w:pPr>
            <w:r>
              <w:rPr>
                <w:rFonts w:ascii="Calibri" w:eastAsia="Calibri" w:hAnsi="Calibri" w:cs="Calibri"/>
                <w:sz w:val="16"/>
                <w:szCs w:val="16"/>
              </w:rPr>
              <w:t>Ranked separately: the BIT gap and arbitration-seat planning create high-value but episodic mandates that cut across all sectors.</w:t>
            </w:r>
          </w:p>
        </w:tc>
      </w:tr>
    </w:tbl>
    <w:p w14:paraId="6A5D3035" w14:textId="77777777" w:rsidR="00861A4D" w:rsidRDefault="00861A4D" w:rsidP="00861A4D">
      <w:pPr>
        <w:spacing w:before="60" w:after="200"/>
      </w:pPr>
      <w:r>
        <w:rPr>
          <w:rFonts w:ascii="Calibri" w:eastAsia="Calibri" w:hAnsi="Calibri" w:cs="Calibri"/>
          <w:i/>
          <w:iCs/>
          <w:color w:val="5A6570"/>
          <w:sz w:val="15"/>
          <w:szCs w:val="15"/>
        </w:rPr>
        <w:t>Analytical ranking by the author. Trade values reference the UK factsheet (23 June 2026, 12 months to end-Q4 2025); tariff/</w:t>
      </w:r>
      <w:proofErr w:type="spellStart"/>
      <w:r>
        <w:rPr>
          <w:rFonts w:ascii="Calibri" w:eastAsia="Calibri" w:hAnsi="Calibri" w:cs="Calibri"/>
          <w:i/>
          <w:iCs/>
          <w:color w:val="5A6570"/>
          <w:sz w:val="15"/>
          <w:szCs w:val="15"/>
        </w:rPr>
        <w:t>RoO</w:t>
      </w:r>
      <w:proofErr w:type="spellEnd"/>
      <w:r>
        <w:rPr>
          <w:rFonts w:ascii="Calibri" w:eastAsia="Calibri" w:hAnsi="Calibri" w:cs="Calibri"/>
          <w:i/>
          <w:iCs/>
          <w:color w:val="5A6570"/>
          <w:sz w:val="15"/>
          <w:szCs w:val="15"/>
        </w:rPr>
        <w:t xml:space="preserve"> facts reference the CETA text and the CBIC/DGFT notifications cited above.</w:t>
      </w:r>
    </w:p>
    <w:p w14:paraId="140F4762" w14:textId="77777777" w:rsidR="00861A4D" w:rsidRDefault="00861A4D" w:rsidP="00861A4D">
      <w:pPr>
        <w:spacing w:after="160" w:line="288" w:lineRule="auto"/>
        <w:jc w:val="both"/>
      </w:pPr>
      <w:r>
        <w:rPr>
          <w:b/>
          <w:bCs/>
        </w:rPr>
        <w:t xml:space="preserve">Bottom line for the firm. </w:t>
      </w:r>
      <w:r>
        <w:t>The near-term revenue is in high-frequency, low-unit compliance (</w:t>
      </w:r>
      <w:proofErr w:type="spellStart"/>
      <w:r>
        <w:t>RoO</w:t>
      </w:r>
      <w:proofErr w:type="spellEnd"/>
      <w:r>
        <w:t xml:space="preserve">, DCC, standards) delivered at scale to MSME and services clients, layered with a smaller book of high-value, sophisticated mandates (auto/whisky TRQ, investment structuring, arbitration). Building a </w:t>
      </w:r>
      <w:proofErr w:type="spellStart"/>
      <w:r>
        <w:t>standardised</w:t>
      </w:r>
      <w:proofErr w:type="spellEnd"/>
      <w:r>
        <w:t xml:space="preserve"> CETA-compliance product now — before the 15 July 2026 go-live beds in — is the clearest route to capturing the first wave of instructions.</w:t>
      </w:r>
    </w:p>
    <w:p w14:paraId="2932442F" w14:textId="77777777" w:rsidR="00861A4D" w:rsidRDefault="00861A4D" w:rsidP="00861A4D">
      <w:r>
        <w:br w:type="page"/>
      </w:r>
    </w:p>
    <w:p w14:paraId="086E80CA" w14:textId="77777777" w:rsidR="00861A4D" w:rsidRDefault="00861A4D" w:rsidP="00861A4D">
      <w:pPr>
        <w:pStyle w:val="Heading1"/>
        <w:pBdr>
          <w:bottom w:val="single" w:sz="12" w:space="4" w:color="7A2E2E"/>
        </w:pBdr>
        <w:spacing w:before="320" w:after="160"/>
      </w:pPr>
      <w:r>
        <w:lastRenderedPageBreak/>
        <w:t>10</w:t>
      </w:r>
      <w:proofErr w:type="gramStart"/>
      <w:r>
        <w:t>.  Bibliography</w:t>
      </w:r>
      <w:proofErr w:type="gramEnd"/>
    </w:p>
    <w:p w14:paraId="124F8453" w14:textId="77777777" w:rsidR="00861A4D" w:rsidRDefault="00861A4D" w:rsidP="00861A4D">
      <w:pPr>
        <w:spacing w:after="160" w:line="288" w:lineRule="auto"/>
        <w:jc w:val="both"/>
      </w:pPr>
      <w:r>
        <w:rPr>
          <w:i/>
          <w:iCs/>
          <w:sz w:val="19"/>
          <w:szCs w:val="19"/>
        </w:rPr>
        <w:t xml:space="preserve">Sources are </w:t>
      </w:r>
      <w:proofErr w:type="spellStart"/>
      <w:r>
        <w:rPr>
          <w:i/>
          <w:iCs/>
          <w:sz w:val="19"/>
          <w:szCs w:val="19"/>
        </w:rPr>
        <w:t>categorised</w:t>
      </w:r>
      <w:proofErr w:type="spellEnd"/>
      <w:r>
        <w:rPr>
          <w:i/>
          <w:iCs/>
          <w:sz w:val="19"/>
          <w:szCs w:val="19"/>
        </w:rPr>
        <w:t xml:space="preserve"> as requested. All URLs were accessible at the date of this memorandum (13 July 2026). Where a source is secondary (reproducing primary government material), that is noted. Trade values differ across sources because of scope, currency and reporting basis, as explained in Part 4.</w:t>
      </w:r>
    </w:p>
    <w:p w14:paraId="0F942DCF" w14:textId="77777777" w:rsidR="00861A4D" w:rsidRDefault="00861A4D" w:rsidP="00861A4D">
      <w:pPr>
        <w:pStyle w:val="Heading2"/>
        <w:spacing w:before="240" w:after="120"/>
      </w:pPr>
      <w:r>
        <w:t>A.  Official India–UK CETA Documents</w:t>
      </w:r>
    </w:p>
    <w:p w14:paraId="42AE26E1" w14:textId="77777777" w:rsidR="00861A4D" w:rsidRDefault="00861A4D" w:rsidP="00861A4D">
      <w:pPr>
        <w:pStyle w:val="ListParagraph"/>
        <w:numPr>
          <w:ilvl w:val="0"/>
          <w:numId w:val="3"/>
        </w:numPr>
        <w:spacing w:after="90" w:line="276" w:lineRule="auto"/>
        <w:contextualSpacing w:val="0"/>
        <w:jc w:val="both"/>
      </w:pPr>
      <w:r>
        <w:t xml:space="preserve">Government of India, Department of Commerce, </w:t>
      </w:r>
      <w:r>
        <w:rPr>
          <w:i/>
          <w:iCs/>
        </w:rPr>
        <w:t>India – United Kingdom Comprehensive Economic and Trade Agreement (CETA)</w:t>
      </w:r>
      <w:r>
        <w:t xml:space="preserve"> — consolidated chapter-wise text (30 chapters), signed 24 July 2025. https://www.commerce.gov.in/international-trade/trade-agreements/india-united-kingdom-comprehensive-economic-and-trade-agreement/</w:t>
      </w:r>
    </w:p>
    <w:p w14:paraId="2E1666EC" w14:textId="77777777" w:rsidR="00861A4D" w:rsidRDefault="00861A4D" w:rsidP="00861A4D">
      <w:pPr>
        <w:pStyle w:val="ListParagraph"/>
        <w:numPr>
          <w:ilvl w:val="0"/>
          <w:numId w:val="3"/>
        </w:numPr>
        <w:spacing w:after="90" w:line="276" w:lineRule="auto"/>
        <w:contextualSpacing w:val="0"/>
        <w:jc w:val="both"/>
      </w:pPr>
      <w:r>
        <w:t xml:space="preserve">Ministry of Commerce &amp; Industry, </w:t>
      </w:r>
      <w:r>
        <w:rPr>
          <w:i/>
          <w:iCs/>
        </w:rPr>
        <w:t>India and UK Sign Comprehensive Economic and Trade Agreement (CETA)</w:t>
      </w:r>
      <w:r>
        <w:t>, 24 July 2025. https://www.commerce.gov.in/files/2026-04/India-UK-CETA%20(2).pdf</w:t>
      </w:r>
    </w:p>
    <w:p w14:paraId="2C7735C4" w14:textId="77777777" w:rsidR="00861A4D" w:rsidRDefault="00861A4D" w:rsidP="00861A4D">
      <w:pPr>
        <w:pStyle w:val="ListParagraph"/>
        <w:numPr>
          <w:ilvl w:val="0"/>
          <w:numId w:val="3"/>
        </w:numPr>
        <w:spacing w:after="90" w:line="276" w:lineRule="auto"/>
        <w:contextualSpacing w:val="0"/>
        <w:jc w:val="both"/>
      </w:pPr>
      <w:r>
        <w:t>India–UK Double Contributions Convention (DCC), signed 10 February 2026; correspondence between the Minister of Commerce &amp; Industry and HM Treasury, 24 July 2025. https://www.commerce.gov.in/wp-content/uploads/2025/07/IN-response-to-UK-DCC.pdf</w:t>
      </w:r>
    </w:p>
    <w:p w14:paraId="7456655C" w14:textId="77777777" w:rsidR="00861A4D" w:rsidRDefault="00861A4D" w:rsidP="00861A4D">
      <w:pPr>
        <w:pStyle w:val="Heading2"/>
        <w:spacing w:before="240" w:after="120"/>
      </w:pPr>
      <w:r>
        <w:t>B.  Official Government of India Sources (incl. PIB, DGFT, CBIC, Invest India, RBI)</w:t>
      </w:r>
    </w:p>
    <w:p w14:paraId="317B6D5D" w14:textId="77777777" w:rsidR="00861A4D" w:rsidRDefault="00861A4D" w:rsidP="00861A4D">
      <w:pPr>
        <w:pStyle w:val="ListParagraph"/>
        <w:numPr>
          <w:ilvl w:val="0"/>
          <w:numId w:val="3"/>
        </w:numPr>
        <w:spacing w:after="90" w:line="276" w:lineRule="auto"/>
        <w:contextualSpacing w:val="0"/>
        <w:jc w:val="both"/>
      </w:pPr>
      <w:r>
        <w:t xml:space="preserve">Press Information Bureau, </w:t>
      </w:r>
      <w:r>
        <w:rPr>
          <w:i/>
          <w:iCs/>
        </w:rPr>
        <w:t>India–UK CETA — Backgrounder</w:t>
      </w:r>
      <w:r>
        <w:t xml:space="preserve"> (Press Note ID 154945), 27 July 2025. https://www.pib.gov.in/PressNoteDetails.aspx?NoteId=154945&amp;ModuleId=3</w:t>
      </w:r>
    </w:p>
    <w:p w14:paraId="671F54D6" w14:textId="77777777" w:rsidR="00861A4D" w:rsidRDefault="00861A4D" w:rsidP="00861A4D">
      <w:pPr>
        <w:pStyle w:val="ListParagraph"/>
        <w:numPr>
          <w:ilvl w:val="0"/>
          <w:numId w:val="3"/>
        </w:numPr>
        <w:spacing w:after="90" w:line="276" w:lineRule="auto"/>
        <w:contextualSpacing w:val="0"/>
        <w:jc w:val="both"/>
      </w:pPr>
      <w:r>
        <w:t xml:space="preserve">Press Information Bureau, </w:t>
      </w:r>
      <w:r>
        <w:rPr>
          <w:i/>
          <w:iCs/>
        </w:rPr>
        <w:t>India and UK Sign CETA</w:t>
      </w:r>
      <w:r>
        <w:t xml:space="preserve"> (PRID 2147805), 24 July 2025. https://www.pib.gov.in/PressReleasePage.aspx?PRID=2147805</w:t>
      </w:r>
    </w:p>
    <w:p w14:paraId="38067D98" w14:textId="77777777" w:rsidR="00861A4D" w:rsidRDefault="00861A4D" w:rsidP="00861A4D">
      <w:pPr>
        <w:pStyle w:val="ListParagraph"/>
        <w:numPr>
          <w:ilvl w:val="0"/>
          <w:numId w:val="3"/>
        </w:numPr>
        <w:spacing w:after="90" w:line="276" w:lineRule="auto"/>
        <w:contextualSpacing w:val="0"/>
        <w:jc w:val="both"/>
      </w:pPr>
      <w:r>
        <w:t xml:space="preserve">Central Board of Indirect Taxes and Customs (Ministry of Finance, Department of Revenue), </w:t>
      </w:r>
      <w:r>
        <w:rPr>
          <w:i/>
          <w:iCs/>
        </w:rPr>
        <w:t>Notification No. 62/2026-Customs (N.T.)</w:t>
      </w:r>
      <w:r>
        <w:t>, dated 3 July 2026 — Customs Tariff (Determination of Origin of Goods under CETA) Rules, 2026; in force 15 July 2026.</w:t>
      </w:r>
    </w:p>
    <w:p w14:paraId="6C0D009D" w14:textId="77777777" w:rsidR="00861A4D" w:rsidRDefault="00861A4D" w:rsidP="00861A4D">
      <w:pPr>
        <w:pStyle w:val="ListParagraph"/>
        <w:numPr>
          <w:ilvl w:val="0"/>
          <w:numId w:val="3"/>
        </w:numPr>
        <w:spacing w:after="90" w:line="276" w:lineRule="auto"/>
        <w:contextualSpacing w:val="0"/>
        <w:jc w:val="both"/>
      </w:pPr>
      <w:r>
        <w:t>Directorate General of Foreign Trade, Public Notice on the tariff-rate-quota procedure for UK-origin vehicle imports under CETA, notified 10 July 2026.</w:t>
      </w:r>
    </w:p>
    <w:p w14:paraId="49DD836A" w14:textId="77777777" w:rsidR="00861A4D" w:rsidRDefault="00861A4D" w:rsidP="00861A4D">
      <w:pPr>
        <w:pStyle w:val="ListParagraph"/>
        <w:numPr>
          <w:ilvl w:val="0"/>
          <w:numId w:val="3"/>
        </w:numPr>
        <w:spacing w:after="90" w:line="276" w:lineRule="auto"/>
        <w:contextualSpacing w:val="0"/>
        <w:jc w:val="both"/>
      </w:pPr>
      <w:r>
        <w:t xml:space="preserve">Department of Commerce, </w:t>
      </w:r>
      <w:r>
        <w:rPr>
          <w:i/>
          <w:iCs/>
        </w:rPr>
        <w:t>TRADESTAT / Export Import Data Bank (EIDB)</w:t>
      </w:r>
      <w:r>
        <w:t>, data 2017-18 to 2025-26 (updated 19 May 2026). https://tradestat.commerce.gov.in/eidb/</w:t>
      </w:r>
    </w:p>
    <w:p w14:paraId="5207676D" w14:textId="77777777" w:rsidR="00861A4D" w:rsidRDefault="00861A4D" w:rsidP="00861A4D">
      <w:pPr>
        <w:pStyle w:val="Heading2"/>
        <w:spacing w:before="240" w:after="120"/>
      </w:pPr>
      <w:r>
        <w:t>C.  Official UK Government Sources (GOV.UK / Department for Business and Trade / ONS)</w:t>
      </w:r>
    </w:p>
    <w:p w14:paraId="0117AC59" w14:textId="77777777" w:rsidR="00861A4D" w:rsidRDefault="00861A4D" w:rsidP="00861A4D">
      <w:pPr>
        <w:pStyle w:val="ListParagraph"/>
        <w:numPr>
          <w:ilvl w:val="0"/>
          <w:numId w:val="3"/>
        </w:numPr>
        <w:spacing w:after="90" w:line="276" w:lineRule="auto"/>
        <w:contextualSpacing w:val="0"/>
        <w:jc w:val="both"/>
      </w:pPr>
      <w:r>
        <w:t xml:space="preserve">UK Department for Business and Trade, </w:t>
      </w:r>
      <w:r>
        <w:rPr>
          <w:i/>
          <w:iCs/>
        </w:rPr>
        <w:t>Trade and Investment Factsheet: India</w:t>
      </w:r>
      <w:r>
        <w:t>, released 23 June 2026 (ONS data, four quarters to end-Q4 2025). https://assets.publishing.service.gov.uk/media/6a351ed30bea238415c9a305/india-trade-and-investment-factsheet-2026-06-23.pdf</w:t>
      </w:r>
    </w:p>
    <w:p w14:paraId="043B8D74" w14:textId="77777777" w:rsidR="00861A4D" w:rsidRDefault="00861A4D" w:rsidP="00861A4D">
      <w:pPr>
        <w:pStyle w:val="ListParagraph"/>
        <w:numPr>
          <w:ilvl w:val="0"/>
          <w:numId w:val="3"/>
        </w:numPr>
        <w:spacing w:after="90" w:line="276" w:lineRule="auto"/>
        <w:contextualSpacing w:val="0"/>
        <w:jc w:val="both"/>
      </w:pPr>
      <w:r>
        <w:t xml:space="preserve">UK Government (business.gov.uk / Department for Business and Trade), </w:t>
      </w:r>
      <w:r>
        <w:rPr>
          <w:i/>
          <w:iCs/>
        </w:rPr>
        <w:t>The UK–India Trade Deal — FTA enters into force 15 July 2026</w:t>
      </w:r>
      <w:r>
        <w:t>. https://www.business.gov.uk/campaign/alive-with-opportunity/the-uk-india-trade-deal/</w:t>
      </w:r>
    </w:p>
    <w:p w14:paraId="7BAE5AAD" w14:textId="77777777" w:rsidR="00861A4D" w:rsidRDefault="00861A4D" w:rsidP="00861A4D">
      <w:pPr>
        <w:pStyle w:val="ListParagraph"/>
        <w:numPr>
          <w:ilvl w:val="0"/>
          <w:numId w:val="3"/>
        </w:numPr>
        <w:spacing w:after="90" w:line="276" w:lineRule="auto"/>
        <w:contextualSpacing w:val="0"/>
        <w:jc w:val="both"/>
      </w:pPr>
      <w:r>
        <w:lastRenderedPageBreak/>
        <w:t xml:space="preserve">UK Government (business.gov.uk), </w:t>
      </w:r>
      <w:r>
        <w:rPr>
          <w:i/>
          <w:iCs/>
        </w:rPr>
        <w:t>Exporting from the UK to India — market guide</w:t>
      </w:r>
      <w:r>
        <w:t xml:space="preserve"> (BIS certification; MOCI import restrictions). https://www.business.gov.uk/export-from-uk/markets/india/</w:t>
      </w:r>
    </w:p>
    <w:p w14:paraId="6AD9ABBE" w14:textId="77777777" w:rsidR="00861A4D" w:rsidRDefault="00861A4D" w:rsidP="00861A4D">
      <w:pPr>
        <w:pStyle w:val="Heading2"/>
        <w:spacing w:before="240" w:after="120"/>
      </w:pPr>
      <w:r>
        <w:t>D.  UK Parliament and Regulatory Materials (Legal Services / Investment)</w:t>
      </w:r>
    </w:p>
    <w:p w14:paraId="3B9E9395" w14:textId="77777777" w:rsidR="00861A4D" w:rsidRDefault="00861A4D" w:rsidP="00861A4D">
      <w:pPr>
        <w:pStyle w:val="ListParagraph"/>
        <w:numPr>
          <w:ilvl w:val="0"/>
          <w:numId w:val="3"/>
        </w:numPr>
        <w:spacing w:after="90" w:line="276" w:lineRule="auto"/>
        <w:contextualSpacing w:val="0"/>
        <w:jc w:val="both"/>
      </w:pPr>
      <w:r>
        <w:t xml:space="preserve">UK Parliament, International Agreements Committee, </w:t>
      </w:r>
      <w:r>
        <w:rPr>
          <w:i/>
          <w:iCs/>
        </w:rPr>
        <w:t>Written Evidence on the UK–India CETA</w:t>
      </w:r>
      <w:r>
        <w:t xml:space="preserve"> (financial and professional services; investment/BIT position), October 2025. https://committees.parliament.uk/writtenevidence/151995/html/</w:t>
      </w:r>
    </w:p>
    <w:p w14:paraId="4D9082D6" w14:textId="77777777" w:rsidR="00861A4D" w:rsidRDefault="00861A4D" w:rsidP="00861A4D">
      <w:pPr>
        <w:pStyle w:val="ListParagraph"/>
        <w:numPr>
          <w:ilvl w:val="0"/>
          <w:numId w:val="3"/>
        </w:numPr>
        <w:spacing w:after="90" w:line="276" w:lineRule="auto"/>
        <w:contextualSpacing w:val="0"/>
        <w:jc w:val="both"/>
      </w:pPr>
      <w:r>
        <w:t xml:space="preserve">The Bar Council of England and Wales, </w:t>
      </w:r>
      <w:r>
        <w:rPr>
          <w:i/>
          <w:iCs/>
        </w:rPr>
        <w:t>Written Evidence</w:t>
      </w:r>
      <w:r>
        <w:t xml:space="preserve"> (fly-in-fly-out regime; India-seated arbitration). https://committees.parliament.uk/writtenevidence/151616/html/</w:t>
      </w:r>
    </w:p>
    <w:p w14:paraId="3BF81F10" w14:textId="77777777" w:rsidR="00861A4D" w:rsidRDefault="00861A4D" w:rsidP="00861A4D">
      <w:pPr>
        <w:pStyle w:val="ListParagraph"/>
        <w:numPr>
          <w:ilvl w:val="0"/>
          <w:numId w:val="3"/>
        </w:numPr>
        <w:spacing w:after="90" w:line="276" w:lineRule="auto"/>
        <w:contextualSpacing w:val="0"/>
        <w:jc w:val="both"/>
      </w:pPr>
      <w:r>
        <w:t xml:space="preserve">Bar Council of India, </w:t>
      </w:r>
      <w:r>
        <w:rPr>
          <w:i/>
          <w:iCs/>
        </w:rPr>
        <w:t>Rules for Registration and Regulation of Foreign Lawyers and Foreign Law Firms in India</w:t>
      </w:r>
      <w:r>
        <w:t>, as amended 14 May 2025.</w:t>
      </w:r>
    </w:p>
    <w:p w14:paraId="38CC820E" w14:textId="77777777" w:rsidR="00861A4D" w:rsidRDefault="00861A4D" w:rsidP="00861A4D">
      <w:pPr>
        <w:pStyle w:val="Heading2"/>
        <w:spacing w:before="240" w:after="120"/>
      </w:pPr>
      <w:r>
        <w:t>E.  Trade Statistics and Data Providers</w:t>
      </w:r>
    </w:p>
    <w:p w14:paraId="18A61361" w14:textId="77777777" w:rsidR="00861A4D" w:rsidRDefault="00861A4D" w:rsidP="00861A4D">
      <w:pPr>
        <w:pStyle w:val="ListParagraph"/>
        <w:numPr>
          <w:ilvl w:val="0"/>
          <w:numId w:val="3"/>
        </w:numPr>
        <w:spacing w:after="90" w:line="276" w:lineRule="auto"/>
        <w:contextualSpacing w:val="0"/>
        <w:jc w:val="both"/>
      </w:pPr>
      <w:r>
        <w:t>Office for National Statistics (UK), UK trade in goods by commodity and UK trade in services by partner country (non-seasonally adjusted), as compiled in the DBT India factsheet, 23 June 2026.</w:t>
      </w:r>
    </w:p>
    <w:p w14:paraId="36421DDF" w14:textId="77777777" w:rsidR="00861A4D" w:rsidRDefault="00861A4D" w:rsidP="00861A4D">
      <w:pPr>
        <w:pStyle w:val="ListParagraph"/>
        <w:numPr>
          <w:ilvl w:val="0"/>
          <w:numId w:val="3"/>
        </w:numPr>
        <w:spacing w:after="90" w:line="276" w:lineRule="auto"/>
        <w:contextualSpacing w:val="0"/>
        <w:jc w:val="both"/>
      </w:pPr>
      <w:r>
        <w:t xml:space="preserve">International Monetary Fund, </w:t>
      </w:r>
      <w:r>
        <w:rPr>
          <w:i/>
          <w:iCs/>
        </w:rPr>
        <w:t>World Economic Outlook</w:t>
      </w:r>
      <w:r>
        <w:t xml:space="preserve"> — India GDP data and projections (as reproduced in the DBT India factsheet).</w:t>
      </w:r>
    </w:p>
    <w:p w14:paraId="2180BF3E" w14:textId="77777777" w:rsidR="00861A4D" w:rsidRDefault="00861A4D" w:rsidP="00861A4D">
      <w:pPr>
        <w:pStyle w:val="ListParagraph"/>
        <w:numPr>
          <w:ilvl w:val="0"/>
          <w:numId w:val="3"/>
        </w:numPr>
        <w:spacing w:after="90" w:line="276" w:lineRule="auto"/>
        <w:contextualSpacing w:val="0"/>
        <w:jc w:val="both"/>
      </w:pPr>
      <w:r>
        <w:t>UNCTAD, UK market-share estimates for India (as reproduced in the DBT India factsheet).</w:t>
      </w:r>
    </w:p>
    <w:p w14:paraId="63356F15" w14:textId="77777777" w:rsidR="00861A4D" w:rsidRDefault="00861A4D" w:rsidP="00861A4D">
      <w:pPr>
        <w:pStyle w:val="ListParagraph"/>
        <w:numPr>
          <w:ilvl w:val="0"/>
          <w:numId w:val="3"/>
        </w:numPr>
        <w:spacing w:after="90" w:line="276" w:lineRule="auto"/>
        <w:contextualSpacing w:val="0"/>
        <w:jc w:val="both"/>
      </w:pPr>
      <w:r>
        <w:t xml:space="preserve">UN Comtrade (goods) and ITC </w:t>
      </w:r>
      <w:proofErr w:type="spellStart"/>
      <w:r>
        <w:t>Trademap</w:t>
      </w:r>
      <w:proofErr w:type="spellEnd"/>
      <w:r>
        <w:t xml:space="preserve"> (</w:t>
      </w:r>
      <w:proofErr w:type="gramStart"/>
      <w:r>
        <w:t>services) —</w:t>
      </w:r>
      <w:proofErr w:type="gramEnd"/>
      <w:r>
        <w:t xml:space="preserve"> international bilateral trade data.</w:t>
      </w:r>
    </w:p>
    <w:p w14:paraId="13F3765D" w14:textId="77777777" w:rsidR="00861A4D" w:rsidRDefault="00861A4D" w:rsidP="00861A4D">
      <w:pPr>
        <w:pStyle w:val="Heading2"/>
        <w:spacing w:before="240" w:after="120"/>
      </w:pPr>
      <w:r>
        <w:t>F.  Economic Reports and Professional / Institutional Analysis</w:t>
      </w:r>
    </w:p>
    <w:p w14:paraId="7E107951" w14:textId="77777777" w:rsidR="00861A4D" w:rsidRDefault="00861A4D" w:rsidP="00861A4D">
      <w:pPr>
        <w:pStyle w:val="ListParagraph"/>
        <w:numPr>
          <w:ilvl w:val="0"/>
          <w:numId w:val="3"/>
        </w:numPr>
        <w:spacing w:after="90" w:line="276" w:lineRule="auto"/>
        <w:contextualSpacing w:val="0"/>
        <w:jc w:val="both"/>
      </w:pPr>
      <w:r>
        <w:t xml:space="preserve">Federation of Indian Export </w:t>
      </w:r>
      <w:proofErr w:type="spellStart"/>
      <w:r>
        <w:t>Organisations</w:t>
      </w:r>
      <w:proofErr w:type="spellEnd"/>
      <w:r>
        <w:t xml:space="preserve"> (FIEO), </w:t>
      </w:r>
      <w:r>
        <w:rPr>
          <w:i/>
          <w:iCs/>
        </w:rPr>
        <w:t>India–UK CETA — chapter-/product-wise tariff concessions</w:t>
      </w:r>
      <w:r>
        <w:t xml:space="preserve"> (Dr Ajay Sahai). https://fieo.org/India-UK_CETA.pdf</w:t>
      </w:r>
    </w:p>
    <w:p w14:paraId="590B06B8" w14:textId="77777777" w:rsidR="00861A4D" w:rsidRDefault="00861A4D" w:rsidP="00861A4D">
      <w:pPr>
        <w:pStyle w:val="ListParagraph"/>
        <w:numPr>
          <w:ilvl w:val="0"/>
          <w:numId w:val="3"/>
        </w:numPr>
        <w:spacing w:after="90" w:line="276" w:lineRule="auto"/>
        <w:contextualSpacing w:val="0"/>
        <w:jc w:val="both"/>
      </w:pPr>
      <w:r>
        <w:t xml:space="preserve">India Brand Equity Foundation (IBEF), </w:t>
      </w:r>
      <w:r>
        <w:rPr>
          <w:i/>
          <w:iCs/>
        </w:rPr>
        <w:t>India–UK CETA overview</w:t>
      </w:r>
      <w:r>
        <w:t xml:space="preserve"> and </w:t>
      </w:r>
      <w:r>
        <w:rPr>
          <w:i/>
          <w:iCs/>
        </w:rPr>
        <w:t>India–UK Trade</w:t>
      </w:r>
      <w:r>
        <w:t>. https://www.ibef.org/economy/india-uk-comprehensive-economic-and-trade-agreement-ceta</w:t>
      </w:r>
    </w:p>
    <w:p w14:paraId="170DA912" w14:textId="77777777" w:rsidR="00861A4D" w:rsidRDefault="00861A4D" w:rsidP="00861A4D">
      <w:pPr>
        <w:pStyle w:val="ListParagraph"/>
        <w:numPr>
          <w:ilvl w:val="0"/>
          <w:numId w:val="3"/>
        </w:numPr>
        <w:spacing w:after="90" w:line="276" w:lineRule="auto"/>
        <w:contextualSpacing w:val="0"/>
        <w:jc w:val="both"/>
      </w:pPr>
      <w:r>
        <w:t xml:space="preserve">ICRA, </w:t>
      </w:r>
      <w:r>
        <w:rPr>
          <w:i/>
          <w:iCs/>
        </w:rPr>
        <w:t>India–UK Trade and Financial Flows</w:t>
      </w:r>
      <w:r>
        <w:t xml:space="preserve"> (RBI software-services data; </w:t>
      </w:r>
      <w:proofErr w:type="gramStart"/>
      <w:r>
        <w:t>top-10</w:t>
      </w:r>
      <w:proofErr w:type="gramEnd"/>
      <w:r>
        <w:t xml:space="preserve"> export lines, FY2024). https://www.icra.in/</w:t>
      </w:r>
    </w:p>
    <w:p w14:paraId="021BE46B" w14:textId="77777777" w:rsidR="00861A4D" w:rsidRDefault="00861A4D" w:rsidP="00861A4D">
      <w:pPr>
        <w:pStyle w:val="ListParagraph"/>
        <w:numPr>
          <w:ilvl w:val="0"/>
          <w:numId w:val="3"/>
        </w:numPr>
        <w:spacing w:after="90" w:line="276" w:lineRule="auto"/>
        <w:contextualSpacing w:val="0"/>
        <w:jc w:val="both"/>
      </w:pPr>
      <w:r>
        <w:t xml:space="preserve">KPMG UK, </w:t>
      </w:r>
      <w:r>
        <w:rPr>
          <w:i/>
          <w:iCs/>
        </w:rPr>
        <w:t>UK–India CETA: A New Chapter in East–West Trade</w:t>
      </w:r>
      <w:r>
        <w:t xml:space="preserve"> (QVC/cumulation; whisky and auto tariff paths), 1 August 2025. https://kpmg.com/uk/en/insights/tax/uk-india-ceta.html</w:t>
      </w:r>
    </w:p>
    <w:p w14:paraId="03169E4A" w14:textId="77777777" w:rsidR="00861A4D" w:rsidRDefault="00861A4D" w:rsidP="00861A4D">
      <w:pPr>
        <w:pStyle w:val="ListParagraph"/>
        <w:numPr>
          <w:ilvl w:val="0"/>
          <w:numId w:val="3"/>
        </w:numPr>
        <w:spacing w:after="90" w:line="276" w:lineRule="auto"/>
        <w:contextualSpacing w:val="0"/>
        <w:jc w:val="both"/>
      </w:pPr>
      <w:r>
        <w:t xml:space="preserve">CMS INDUSLAW, </w:t>
      </w:r>
      <w:r>
        <w:rPr>
          <w:i/>
          <w:iCs/>
        </w:rPr>
        <w:t>India–UK CETA and its Strategic Implications for Investors</w:t>
      </w:r>
      <w:r>
        <w:t xml:space="preserve"> (</w:t>
      </w:r>
      <w:proofErr w:type="spellStart"/>
      <w:r>
        <w:t>Mondaq</w:t>
      </w:r>
      <w:proofErr w:type="spellEnd"/>
      <w:r>
        <w:t>), 15 August 2025. https://www.mondaq.com/india/international-trade-investment/1666856/</w:t>
      </w:r>
    </w:p>
    <w:p w14:paraId="15C31FF4" w14:textId="77777777" w:rsidR="00861A4D" w:rsidRDefault="00861A4D" w:rsidP="00861A4D">
      <w:pPr>
        <w:pStyle w:val="ListParagraph"/>
        <w:numPr>
          <w:ilvl w:val="0"/>
          <w:numId w:val="3"/>
        </w:numPr>
        <w:spacing w:after="90" w:line="276" w:lineRule="auto"/>
        <w:contextualSpacing w:val="0"/>
        <w:jc w:val="both"/>
      </w:pPr>
      <w:r>
        <w:t xml:space="preserve">Stewarts, </w:t>
      </w:r>
      <w:r>
        <w:rPr>
          <w:i/>
          <w:iCs/>
        </w:rPr>
        <w:t>BCI rule changes may open doors that the UK–India trade deal did not</w:t>
      </w:r>
      <w:r>
        <w:t>, 16 May 2025. https://www.stewartslaw.com/news/bci-rule-changes/</w:t>
      </w:r>
    </w:p>
    <w:p w14:paraId="79AD9E69" w14:textId="77777777" w:rsidR="00861A4D" w:rsidRDefault="00861A4D" w:rsidP="00861A4D">
      <w:pPr>
        <w:pStyle w:val="ListParagraph"/>
        <w:numPr>
          <w:ilvl w:val="0"/>
          <w:numId w:val="3"/>
        </w:numPr>
        <w:spacing w:after="90" w:line="276" w:lineRule="auto"/>
        <w:contextualSpacing w:val="0"/>
        <w:jc w:val="both"/>
      </w:pPr>
      <w:proofErr w:type="spellStart"/>
      <w:r>
        <w:t>Lexology</w:t>
      </w:r>
      <w:proofErr w:type="spellEnd"/>
      <w:r>
        <w:t xml:space="preserve">, </w:t>
      </w:r>
      <w:r>
        <w:rPr>
          <w:i/>
          <w:iCs/>
        </w:rPr>
        <w:t>A New Chapter in Bilateral Trade: India–UK FTA Effective 15 July 2026</w:t>
      </w:r>
      <w:r>
        <w:t xml:space="preserve"> (mobility quotas; DCC five-year extension). https://www.lexology.com/library/detail.aspx?g=27752615-3d30-449a-83bd-d9550edaa6a8</w:t>
      </w:r>
    </w:p>
    <w:p w14:paraId="14A3255E" w14:textId="77777777" w:rsidR="00861A4D" w:rsidRDefault="00861A4D" w:rsidP="00861A4D">
      <w:pPr>
        <w:pStyle w:val="ListParagraph"/>
        <w:numPr>
          <w:ilvl w:val="0"/>
          <w:numId w:val="3"/>
        </w:numPr>
        <w:spacing w:after="90" w:line="276" w:lineRule="auto"/>
        <w:contextualSpacing w:val="0"/>
        <w:jc w:val="both"/>
      </w:pPr>
      <w:r>
        <w:t xml:space="preserve">India-Briefing (Dezan Shira), </w:t>
      </w:r>
      <w:r>
        <w:rPr>
          <w:i/>
          <w:iCs/>
        </w:rPr>
        <w:t>India–UK Social Security Pact Takes Effect July 15, 2026</w:t>
      </w:r>
      <w:r>
        <w:t>. https://www.india-briefing.com/news/india-uk-social-security-pact-takes-effect-july-15-2026-45762.html/</w:t>
      </w:r>
    </w:p>
    <w:p w14:paraId="51DD34EE" w14:textId="77777777" w:rsidR="00861A4D" w:rsidRDefault="00861A4D" w:rsidP="00861A4D">
      <w:pPr>
        <w:pStyle w:val="ListParagraph"/>
        <w:numPr>
          <w:ilvl w:val="0"/>
          <w:numId w:val="3"/>
        </w:numPr>
        <w:spacing w:after="90" w:line="276" w:lineRule="auto"/>
        <w:contextualSpacing w:val="0"/>
        <w:jc w:val="both"/>
      </w:pPr>
      <w:proofErr w:type="spellStart"/>
      <w:r>
        <w:lastRenderedPageBreak/>
        <w:t>Interlegal</w:t>
      </w:r>
      <w:proofErr w:type="spellEnd"/>
      <w:r>
        <w:t xml:space="preserve">, </w:t>
      </w:r>
      <w:r>
        <w:rPr>
          <w:i/>
          <w:iCs/>
        </w:rPr>
        <w:t>Tariff Elimination in India–UK FTA 2025: Investor Guide</w:t>
      </w:r>
      <w:r>
        <w:t xml:space="preserve"> (independent sector estimates), 6 May 2026. https://www.interlegal.net/india-uk-fta-tariff-elimination-investor-guide/</w:t>
      </w:r>
    </w:p>
    <w:p w14:paraId="2E4467A1" w14:textId="77777777" w:rsidR="00861A4D" w:rsidRDefault="00861A4D" w:rsidP="00861A4D">
      <w:pPr>
        <w:pStyle w:val="ListParagraph"/>
        <w:numPr>
          <w:ilvl w:val="0"/>
          <w:numId w:val="3"/>
        </w:numPr>
        <w:spacing w:after="90" w:line="276" w:lineRule="auto"/>
        <w:contextualSpacing w:val="0"/>
        <w:jc w:val="both"/>
      </w:pPr>
      <w:r>
        <w:t xml:space="preserve">Journal of Commerce &amp; Policy, </w:t>
      </w:r>
      <w:r>
        <w:rPr>
          <w:i/>
          <w:iCs/>
        </w:rPr>
        <w:t>India–UK Free Trade Agreement: An Assessment</w:t>
      </w:r>
      <w:r>
        <w:t>, 25 October 2025. https://jcp.bujournals.com/articles/india-uk-free-trade-agreement-an-assessment</w:t>
      </w:r>
    </w:p>
    <w:p w14:paraId="114844D0" w14:textId="77777777" w:rsidR="00861A4D" w:rsidRDefault="00861A4D" w:rsidP="00861A4D">
      <w:pPr>
        <w:pStyle w:val="Heading2"/>
        <w:spacing w:before="240" w:after="120"/>
      </w:pPr>
      <w:r>
        <w:t>G.  Contemporaneous Reporting on Implementation (secondary; corroborating notified rules)</w:t>
      </w:r>
    </w:p>
    <w:p w14:paraId="1C849151" w14:textId="77777777" w:rsidR="00861A4D" w:rsidRDefault="00861A4D" w:rsidP="00861A4D">
      <w:pPr>
        <w:pStyle w:val="ListParagraph"/>
        <w:numPr>
          <w:ilvl w:val="0"/>
          <w:numId w:val="3"/>
        </w:numPr>
        <w:spacing w:after="90" w:line="276" w:lineRule="auto"/>
        <w:contextualSpacing w:val="0"/>
        <w:jc w:val="both"/>
      </w:pPr>
      <w:r>
        <w:t xml:space="preserve">Outlook Business, </w:t>
      </w:r>
      <w:r>
        <w:rPr>
          <w:i/>
          <w:iCs/>
        </w:rPr>
        <w:t>Govt Notifies Customs Tariff Rules for India-UK Trade Pact, Clears Way for July 15 Rollout</w:t>
      </w:r>
      <w:r>
        <w:t>, 5 July 2026 (also reports FY2025-26 bilateral merchandise trade USD 25.12bn, +8.62%).</w:t>
      </w:r>
    </w:p>
    <w:p w14:paraId="24C79B48" w14:textId="77777777" w:rsidR="00861A4D" w:rsidRDefault="00861A4D" w:rsidP="00861A4D">
      <w:pPr>
        <w:pStyle w:val="ListParagraph"/>
        <w:numPr>
          <w:ilvl w:val="0"/>
          <w:numId w:val="3"/>
        </w:numPr>
        <w:spacing w:after="90" w:line="276" w:lineRule="auto"/>
        <w:contextualSpacing w:val="0"/>
        <w:jc w:val="both"/>
      </w:pPr>
      <w:r>
        <w:t xml:space="preserve">Business Standard, </w:t>
      </w:r>
      <w:r>
        <w:rPr>
          <w:i/>
          <w:iCs/>
        </w:rPr>
        <w:t>India lays out tariffs, quotas for UK autos under FTA, to cut levy to 10%</w:t>
      </w:r>
      <w:r>
        <w:t>, 10 July 2026. https://www.business-standard.com/economy/news/126071001092_1.html</w:t>
      </w:r>
    </w:p>
    <w:p w14:paraId="189CDE3E" w14:textId="77777777" w:rsidR="00861A4D" w:rsidRDefault="00861A4D" w:rsidP="00861A4D">
      <w:pPr>
        <w:pStyle w:val="ListParagraph"/>
        <w:numPr>
          <w:ilvl w:val="0"/>
          <w:numId w:val="3"/>
        </w:numPr>
        <w:spacing w:after="90" w:line="276" w:lineRule="auto"/>
        <w:contextualSpacing w:val="0"/>
        <w:jc w:val="both"/>
      </w:pPr>
      <w:proofErr w:type="spellStart"/>
      <w:r>
        <w:t>NextIAS</w:t>
      </w:r>
      <w:proofErr w:type="spellEnd"/>
      <w:r>
        <w:t xml:space="preserve">, </w:t>
      </w:r>
      <w:r>
        <w:rPr>
          <w:i/>
          <w:iCs/>
        </w:rPr>
        <w:t>India–UK CETA</w:t>
      </w:r>
      <w:r>
        <w:t xml:space="preserve"> (non-tariff-barrier caveats), 11 July 2026.</w:t>
      </w:r>
    </w:p>
    <w:p w14:paraId="5506B622" w14:textId="77777777" w:rsidR="00861A4D" w:rsidRDefault="00861A4D" w:rsidP="00861A4D">
      <w:pPr>
        <w:spacing w:after="200"/>
      </w:pPr>
    </w:p>
    <w:p w14:paraId="7D86065F" w14:textId="77777777" w:rsidR="00861A4D" w:rsidRDefault="00861A4D" w:rsidP="00861A4D">
      <w:pPr>
        <w:pBdr>
          <w:top w:val="single" w:sz="8" w:space="8" w:color="7A2E2E"/>
        </w:pBdr>
        <w:spacing w:before="200"/>
        <w:jc w:val="center"/>
      </w:pPr>
      <w:r>
        <w:rPr>
          <w:i/>
          <w:iCs/>
          <w:color w:val="5A6570"/>
          <w:sz w:val="18"/>
          <w:szCs w:val="18"/>
        </w:rPr>
        <w:t>— End of Memorandum —</w:t>
      </w:r>
    </w:p>
    <w:p w14:paraId="17A406D2" w14:textId="77777777" w:rsidR="00775E80" w:rsidRDefault="00775E80"/>
    <w:sectPr w:rsidR="00775E80" w:rsidSect="00861A4D">
      <w:headerReference w:type="default" r:id="rId7"/>
      <w:footerReference w:type="default" r:id="rId8"/>
      <w:pgSz w:w="12240" w:h="15840"/>
      <w:pgMar w:top="1240" w:right="1440" w:bottom="12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08489" w14:textId="77777777" w:rsidR="0038579E" w:rsidRDefault="0038579E" w:rsidP="00861A4D">
      <w:r>
        <w:separator/>
      </w:r>
    </w:p>
  </w:endnote>
  <w:endnote w:type="continuationSeparator" w:id="0">
    <w:p w14:paraId="77958C8F" w14:textId="77777777" w:rsidR="0038579E" w:rsidRDefault="0038579E" w:rsidP="00861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A987" w14:textId="77777777" w:rsidR="00861A4D" w:rsidRDefault="00861A4D">
    <w:pPr>
      <w:pBdr>
        <w:top w:val="single" w:sz="4" w:space="4" w:color="D5DBE1"/>
      </w:pBdr>
      <w:spacing w:before="60"/>
      <w:jc w:val="center"/>
    </w:pPr>
    <w:r>
      <w:rPr>
        <w:rFonts w:ascii="Calibri" w:eastAsia="Calibri" w:hAnsi="Calibri" w:cs="Calibri"/>
        <w:color w:val="8A94A0"/>
        <w:sz w:val="15"/>
        <w:szCs w:val="15"/>
      </w:rPr>
      <w:t xml:space="preserve">13 July </w:t>
    </w:r>
    <w:proofErr w:type="gramStart"/>
    <w:r>
      <w:rPr>
        <w:rFonts w:ascii="Calibri" w:eastAsia="Calibri" w:hAnsi="Calibri" w:cs="Calibri"/>
        <w:color w:val="8A94A0"/>
        <w:sz w:val="15"/>
        <w:szCs w:val="15"/>
      </w:rPr>
      <w:t>2026  ·</w:t>
    </w:r>
    <w:proofErr w:type="gramEnd"/>
    <w:r>
      <w:rPr>
        <w:rFonts w:ascii="Calibri" w:eastAsia="Calibri" w:hAnsi="Calibri" w:cs="Calibri"/>
        <w:color w:val="8A94A0"/>
        <w:sz w:val="15"/>
        <w:szCs w:val="15"/>
      </w:rPr>
      <w:t xml:space="preserve">  Page </w:t>
    </w:r>
    <w:r>
      <w:rPr>
        <w:rFonts w:ascii="Calibri" w:eastAsia="Calibri" w:hAnsi="Calibri" w:cs="Calibri"/>
        <w:color w:val="8A94A0"/>
        <w:sz w:val="15"/>
        <w:szCs w:val="15"/>
      </w:rPr>
      <w:fldChar w:fldCharType="begin"/>
    </w:r>
    <w:r>
      <w:rPr>
        <w:rFonts w:ascii="Calibri" w:eastAsia="Calibri" w:hAnsi="Calibri" w:cs="Calibri"/>
        <w:color w:val="8A94A0"/>
        <w:sz w:val="15"/>
        <w:szCs w:val="15"/>
      </w:rPr>
      <w:instrText>PAGE</w:instrText>
    </w:r>
    <w:r>
      <w:rPr>
        <w:rFonts w:ascii="Calibri" w:eastAsia="Calibri" w:hAnsi="Calibri" w:cs="Calibri"/>
        <w:color w:val="8A94A0"/>
        <w:sz w:val="15"/>
        <w:szCs w:val="15"/>
      </w:rPr>
      <w:fldChar w:fldCharType="separate"/>
    </w:r>
    <w:r>
      <w:rPr>
        <w:rFonts w:ascii="Calibri" w:eastAsia="Calibri" w:hAnsi="Calibri" w:cs="Calibri"/>
        <w:noProof/>
        <w:color w:val="8A94A0"/>
        <w:sz w:val="15"/>
        <w:szCs w:val="15"/>
      </w:rPr>
      <w:t>1</w:t>
    </w:r>
    <w:r>
      <w:rPr>
        <w:rFonts w:ascii="Calibri" w:eastAsia="Calibri" w:hAnsi="Calibri" w:cs="Calibri"/>
        <w:color w:val="8A94A0"/>
        <w:sz w:val="15"/>
        <w:szCs w:val="15"/>
      </w:rPr>
      <w:fldChar w:fldCharType="end"/>
    </w:r>
    <w:r>
      <w:rPr>
        <w:rFonts w:ascii="Calibri" w:eastAsia="Calibri" w:hAnsi="Calibri" w:cs="Calibri"/>
        <w:color w:val="8A94A0"/>
        <w:sz w:val="15"/>
        <w:szCs w:val="15"/>
      </w:rPr>
      <w:t xml:space="preserve"> of </w:t>
    </w:r>
    <w:r>
      <w:rPr>
        <w:rFonts w:ascii="Calibri" w:eastAsia="Calibri" w:hAnsi="Calibri" w:cs="Calibri"/>
        <w:color w:val="8A94A0"/>
        <w:sz w:val="15"/>
        <w:szCs w:val="15"/>
      </w:rPr>
      <w:fldChar w:fldCharType="begin"/>
    </w:r>
    <w:r>
      <w:rPr>
        <w:rFonts w:ascii="Calibri" w:eastAsia="Calibri" w:hAnsi="Calibri" w:cs="Calibri"/>
        <w:color w:val="8A94A0"/>
        <w:sz w:val="15"/>
        <w:szCs w:val="15"/>
      </w:rPr>
      <w:instrText>NUMPAGES</w:instrText>
    </w:r>
    <w:r>
      <w:rPr>
        <w:rFonts w:ascii="Calibri" w:eastAsia="Calibri" w:hAnsi="Calibri" w:cs="Calibri"/>
        <w:color w:val="8A94A0"/>
        <w:sz w:val="15"/>
        <w:szCs w:val="15"/>
      </w:rPr>
      <w:fldChar w:fldCharType="separate"/>
    </w:r>
    <w:r>
      <w:rPr>
        <w:rFonts w:ascii="Calibri" w:eastAsia="Calibri" w:hAnsi="Calibri" w:cs="Calibri"/>
        <w:noProof/>
        <w:color w:val="8A94A0"/>
        <w:sz w:val="15"/>
        <w:szCs w:val="15"/>
      </w:rPr>
      <w:t>2</w:t>
    </w:r>
    <w:r>
      <w:rPr>
        <w:rFonts w:ascii="Calibri" w:eastAsia="Calibri" w:hAnsi="Calibri" w:cs="Calibri"/>
        <w:color w:val="8A94A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AE1D0" w14:textId="77777777" w:rsidR="0038579E" w:rsidRDefault="0038579E" w:rsidP="00861A4D">
      <w:r>
        <w:separator/>
      </w:r>
    </w:p>
  </w:footnote>
  <w:footnote w:type="continuationSeparator" w:id="0">
    <w:p w14:paraId="27258723" w14:textId="77777777" w:rsidR="0038579E" w:rsidRDefault="0038579E" w:rsidP="00861A4D">
      <w:r>
        <w:continuationSeparator/>
      </w:r>
    </w:p>
  </w:footnote>
  <w:footnote w:id="1">
    <w:p w14:paraId="19AF6A6B" w14:textId="77777777" w:rsidR="00861A4D" w:rsidRDefault="00861A4D" w:rsidP="00861A4D">
      <w:r>
        <w:rPr>
          <w:rStyle w:val="FootnoteReference"/>
        </w:rPr>
        <w:footnoteRef/>
      </w:r>
      <w:r>
        <w:rPr>
          <w:sz w:val="16"/>
          <w:szCs w:val="16"/>
        </w:rPr>
        <w:t>CBIC, Notification No. 62/2026-Customs (N.T.), dated 3 July 2026 — Customs Tariff (Determination of Origin of Goods under CETA between India and the United Kingdom) Rules, 2026, in force 15 July 2026; DGFT public notice on TRQ procedure for UK-origin vehicles, notified 10 July 2026. See Outlook Business, “Govt Notifies Customs Tariff Rules for India-UK Trade Pact” (5 July 2026); Business Standard, “India lays out tariffs, quotas for UK autos under FTA” (10 July 2026).</w:t>
      </w:r>
    </w:p>
  </w:footnote>
  <w:footnote w:id="2">
    <w:p w14:paraId="799240BE" w14:textId="77777777" w:rsidR="00861A4D" w:rsidRDefault="00861A4D" w:rsidP="00861A4D">
      <w:r>
        <w:rPr>
          <w:rStyle w:val="FootnoteReference"/>
        </w:rPr>
        <w:footnoteRef/>
      </w:r>
      <w:r>
        <w:rPr>
          <w:sz w:val="16"/>
          <w:szCs w:val="16"/>
        </w:rPr>
        <w:t>Ministry of Commerce &amp; Industry / PIB Backgrounder, “India–UK CETA” (PIB Press Note ID 154945, 27 July 2025); PIB, “India and UK Sign CETA” (PRID 2147805, 24 July 2025).</w:t>
      </w:r>
    </w:p>
  </w:footnote>
  <w:footnote w:id="3">
    <w:p w14:paraId="7ACAA9DD" w14:textId="77777777" w:rsidR="00861A4D" w:rsidRDefault="00861A4D" w:rsidP="00861A4D">
      <w:r>
        <w:rPr>
          <w:rStyle w:val="FootnoteReference"/>
        </w:rPr>
        <w:footnoteRef/>
      </w:r>
      <w:r>
        <w:rPr>
          <w:sz w:val="16"/>
          <w:szCs w:val="16"/>
        </w:rPr>
        <w:t>UK Department for Business and Trade, “Trade and investment factsheet: India”, released 23 June 2026 (ONS data, four quarters to end-Q4 2025). Figures are UK-reported and subject to bilateral asymmetry against India-reported data.</w:t>
      </w:r>
    </w:p>
  </w:footnote>
  <w:footnote w:id="4">
    <w:p w14:paraId="4BE37267" w14:textId="77777777" w:rsidR="00861A4D" w:rsidRDefault="00861A4D" w:rsidP="00861A4D">
      <w:r>
        <w:rPr>
          <w:rStyle w:val="FootnoteReference"/>
        </w:rPr>
        <w:footnoteRef/>
      </w:r>
      <w:r>
        <w:rPr>
          <w:sz w:val="16"/>
          <w:szCs w:val="16"/>
        </w:rPr>
        <w:t>Department of Commerce, TRADESTAT / EIDB; as reported in Outlook Business (5 July 2026), bilateral merchandise trade rose 8.62% to USD 25.12 billion in 2025-26 from USD 23.13 billion in 2024-25.</w:t>
      </w:r>
    </w:p>
  </w:footnote>
  <w:footnote w:id="5">
    <w:p w14:paraId="6FA8C1A4" w14:textId="77777777" w:rsidR="00861A4D" w:rsidRDefault="00861A4D" w:rsidP="00861A4D">
      <w:r>
        <w:rPr>
          <w:rStyle w:val="FootnoteReference"/>
        </w:rPr>
        <w:footnoteRef/>
      </w:r>
      <w:r>
        <w:rPr>
          <w:sz w:val="16"/>
          <w:szCs w:val="16"/>
        </w:rPr>
        <w:t>PIB, PRID 2147805 (24 July 2025); Department of Commerce, “India – United Kingdom Comprehensive Economic and Trade Agreement (CETA)”, commerce.gov.in; IBEF, “India-UK CETA” overview.</w:t>
      </w:r>
    </w:p>
  </w:footnote>
  <w:footnote w:id="6">
    <w:p w14:paraId="3819A3D2" w14:textId="77777777" w:rsidR="00861A4D" w:rsidRDefault="00861A4D" w:rsidP="00861A4D">
      <w:r>
        <w:rPr>
          <w:rStyle w:val="FootnoteReference"/>
        </w:rPr>
        <w:footnoteRef/>
      </w:r>
      <w:r>
        <w:rPr>
          <w:sz w:val="16"/>
          <w:szCs w:val="16"/>
        </w:rPr>
        <w:t>business.gov.uk (UK Government), “The UK-India trade deal”, FTA enters into force 15 July 2026 — long-run bilateral trade uplift of £25.5 billion p.a.; UK GDP +£4.8bn; India GDP +£5.1bn. These are modelled projections, not binding commitments.</w:t>
      </w:r>
    </w:p>
  </w:footnote>
  <w:footnote w:id="7">
    <w:p w14:paraId="4AAE70DA" w14:textId="77777777" w:rsidR="00861A4D" w:rsidRDefault="00861A4D" w:rsidP="00861A4D">
      <w:r>
        <w:rPr>
          <w:rStyle w:val="FootnoteReference"/>
        </w:rPr>
        <w:footnoteRef/>
      </w:r>
      <w:r>
        <w:rPr>
          <w:sz w:val="16"/>
          <w:szCs w:val="16"/>
        </w:rPr>
        <w:t xml:space="preserve">The consolidated chapter text is published by the Department of Commerce at commerce.gov.in (“India – United Kingdom CETA”, chapter-wise PDFs, 24 July 2025). Chapter descriptions below are cross-checked against the PIB Backgrounder, the FIEO chapter-wise concession note, and independent legal analyses (KPMG UK; CMS INDUSLAW; </w:t>
      </w:r>
      <w:proofErr w:type="spellStart"/>
      <w:r>
        <w:rPr>
          <w:sz w:val="16"/>
          <w:szCs w:val="16"/>
        </w:rPr>
        <w:t>Lexology</w:t>
      </w:r>
      <w:proofErr w:type="spellEnd"/>
      <w:r>
        <w:rPr>
          <w:sz w:val="16"/>
          <w:szCs w:val="16"/>
        </w:rPr>
        <w:t>).</w:t>
      </w:r>
    </w:p>
  </w:footnote>
  <w:footnote w:id="8">
    <w:p w14:paraId="212C3290" w14:textId="77777777" w:rsidR="00861A4D" w:rsidRDefault="00861A4D" w:rsidP="00861A4D">
      <w:r>
        <w:rPr>
          <w:rStyle w:val="FootnoteReference"/>
        </w:rPr>
        <w:footnoteRef/>
      </w:r>
      <w:r>
        <w:rPr>
          <w:sz w:val="16"/>
          <w:szCs w:val="16"/>
        </w:rPr>
        <w:t xml:space="preserve">IBEF, “India-UK CETA”; </w:t>
      </w:r>
      <w:proofErr w:type="spellStart"/>
      <w:r>
        <w:rPr>
          <w:sz w:val="16"/>
          <w:szCs w:val="16"/>
        </w:rPr>
        <w:t>Lexology</w:t>
      </w:r>
      <w:proofErr w:type="spellEnd"/>
      <w:r>
        <w:rPr>
          <w:sz w:val="16"/>
          <w:szCs w:val="16"/>
        </w:rPr>
        <w:t>, “A New Chapter in Bilateral Trade” (India-UK FTA effective 15 July 2026). Indicative UK duties removed on entry into force include up to 70% on processed foods, 21.5% on marine products, 18% on engineering goods and auto components, 16% on leather and footwear, 12% on textiles and clothing, and 8% on chemicals and pharmaceuticals.</w:t>
      </w:r>
    </w:p>
  </w:footnote>
  <w:footnote w:id="9">
    <w:p w14:paraId="379C9036" w14:textId="77777777" w:rsidR="00861A4D" w:rsidRDefault="00861A4D" w:rsidP="00861A4D">
      <w:r>
        <w:rPr>
          <w:rStyle w:val="FootnoteReference"/>
        </w:rPr>
        <w:footnoteRef/>
      </w:r>
      <w:r>
        <w:rPr>
          <w:sz w:val="16"/>
          <w:szCs w:val="16"/>
        </w:rPr>
        <w:t>CBIC Notification No. 62/2026-Customs (N.T.), 3 July 2026; Ministry of Finance (Department of Revenue). Analysis: KPMG UK, “UK-India CETA” (1 August 2025); CMS INDUSLAW, “India-UK CETA and its Strategic Implications for Investors” (</w:t>
      </w:r>
      <w:proofErr w:type="spellStart"/>
      <w:r>
        <w:rPr>
          <w:sz w:val="16"/>
          <w:szCs w:val="16"/>
        </w:rPr>
        <w:t>Mondaq</w:t>
      </w:r>
      <w:proofErr w:type="spellEnd"/>
      <w:r>
        <w:rPr>
          <w:sz w:val="16"/>
          <w:szCs w:val="16"/>
        </w:rPr>
        <w:t>, 15 August 2025).</w:t>
      </w:r>
    </w:p>
  </w:footnote>
  <w:footnote w:id="10">
    <w:p w14:paraId="0C552F8D" w14:textId="77777777" w:rsidR="00861A4D" w:rsidRDefault="00861A4D" w:rsidP="00861A4D">
      <w:r>
        <w:rPr>
          <w:rStyle w:val="FootnoteReference"/>
        </w:rPr>
        <w:footnoteRef/>
      </w:r>
      <w:r>
        <w:rPr>
          <w:sz w:val="16"/>
          <w:szCs w:val="16"/>
        </w:rPr>
        <w:t xml:space="preserve">CMS INDUSLAW / </w:t>
      </w:r>
      <w:proofErr w:type="spellStart"/>
      <w:r>
        <w:rPr>
          <w:sz w:val="16"/>
          <w:szCs w:val="16"/>
        </w:rPr>
        <w:t>Mondaq</w:t>
      </w:r>
      <w:proofErr w:type="spellEnd"/>
      <w:r>
        <w:rPr>
          <w:sz w:val="16"/>
          <w:szCs w:val="16"/>
        </w:rPr>
        <w:t xml:space="preserve"> (15 August 2025); KPMG UK (1 August 2025). Self-certification and importer’s-knowledge regimes shift documentary burden onto the trader and expose them to post-clearance verification.</w:t>
      </w:r>
    </w:p>
  </w:footnote>
  <w:footnote w:id="11">
    <w:p w14:paraId="3B0DF616" w14:textId="77777777" w:rsidR="00861A4D" w:rsidRDefault="00861A4D" w:rsidP="00861A4D">
      <w:r>
        <w:rPr>
          <w:rStyle w:val="FootnoteReference"/>
        </w:rPr>
        <w:footnoteRef/>
      </w:r>
      <w:r>
        <w:rPr>
          <w:sz w:val="16"/>
          <w:szCs w:val="16"/>
        </w:rPr>
        <w:t>IBEF, “India-UK CETA”, SPS section. The TBT chapter requires 60 days’ advance notice of new technical regulations and includes provisions for recognition of Indian conformity-assessment bodies (notably in electronics and telecom).</w:t>
      </w:r>
    </w:p>
  </w:footnote>
  <w:footnote w:id="12">
    <w:p w14:paraId="21A676DF" w14:textId="77777777" w:rsidR="00861A4D" w:rsidRDefault="00861A4D" w:rsidP="00861A4D">
      <w:r>
        <w:rPr>
          <w:rStyle w:val="FootnoteReference"/>
        </w:rPr>
        <w:footnoteRef/>
      </w:r>
      <w:r>
        <w:rPr>
          <w:sz w:val="16"/>
          <w:szCs w:val="16"/>
        </w:rPr>
        <w:t>PIB Backgrounder (services exports to the UK ~USD 19.8bn in 2023, trade surplus ~USD 6.6bn); India-Briefing, “India–UK Social Security Pact” (services exports to the UK ~USD 21.6bn in 2024).</w:t>
      </w:r>
    </w:p>
  </w:footnote>
  <w:footnote w:id="13">
    <w:p w14:paraId="0A2B0A6D" w14:textId="77777777" w:rsidR="00861A4D" w:rsidRDefault="00861A4D" w:rsidP="00861A4D">
      <w:r>
        <w:rPr>
          <w:rStyle w:val="FootnoteReference"/>
        </w:rPr>
        <w:footnoteRef/>
      </w:r>
      <w:r>
        <w:rPr>
          <w:sz w:val="16"/>
          <w:szCs w:val="16"/>
        </w:rPr>
        <w:t xml:space="preserve">UK Parliament, Written Evidence (International Agreements Committee), </w:t>
      </w:r>
      <w:proofErr w:type="spellStart"/>
      <w:r>
        <w:rPr>
          <w:sz w:val="16"/>
          <w:szCs w:val="16"/>
        </w:rPr>
        <w:t>TheCityUK</w:t>
      </w:r>
      <w:proofErr w:type="spellEnd"/>
      <w:r>
        <w:rPr>
          <w:sz w:val="16"/>
          <w:szCs w:val="16"/>
        </w:rPr>
        <w:t xml:space="preserve"> / financial-services evidence: CETA provides relatively little new market access for services; the DCC is a side agreement; mobility routes are temporary only with no path to settlement (October 2025).</w:t>
      </w:r>
    </w:p>
  </w:footnote>
  <w:footnote w:id="14">
    <w:p w14:paraId="303BC107" w14:textId="77777777" w:rsidR="00861A4D" w:rsidRDefault="00861A4D" w:rsidP="00861A4D">
      <w:r>
        <w:rPr>
          <w:rStyle w:val="FootnoteReference"/>
        </w:rPr>
        <w:footnoteRef/>
      </w:r>
      <w:r>
        <w:rPr>
          <w:sz w:val="16"/>
          <w:szCs w:val="16"/>
        </w:rPr>
        <w:t xml:space="preserve">India-Briefing, “India–UK Double Contributions Convention Takes Effect July 15”; </w:t>
      </w:r>
      <w:proofErr w:type="spellStart"/>
      <w:r>
        <w:rPr>
          <w:sz w:val="16"/>
          <w:szCs w:val="16"/>
        </w:rPr>
        <w:t>Lexology</w:t>
      </w:r>
      <w:proofErr w:type="spellEnd"/>
      <w:r>
        <w:rPr>
          <w:sz w:val="16"/>
          <w:szCs w:val="16"/>
        </w:rPr>
        <w:t xml:space="preserve"> (DCC signed 10 February 2026, exemption extended to five years). The Indian government estimates 75,000+ professionals and 900+ companies benefit; Indian-origin professionals contribute an estimated USD 500 million p.a. to UK social security.</w:t>
      </w:r>
    </w:p>
  </w:footnote>
  <w:footnote w:id="15">
    <w:p w14:paraId="7F6903AE" w14:textId="77777777" w:rsidR="00861A4D" w:rsidRDefault="00861A4D" w:rsidP="00861A4D">
      <w:r>
        <w:rPr>
          <w:rStyle w:val="FootnoteReference"/>
        </w:rPr>
        <w:footnoteRef/>
      </w:r>
      <w:proofErr w:type="spellStart"/>
      <w:r>
        <w:rPr>
          <w:sz w:val="16"/>
          <w:szCs w:val="16"/>
        </w:rPr>
        <w:t>Lexology</w:t>
      </w:r>
      <w:proofErr w:type="spellEnd"/>
      <w:r>
        <w:rPr>
          <w:sz w:val="16"/>
          <w:szCs w:val="16"/>
        </w:rPr>
        <w:t xml:space="preserve">, “A New Chapter in Bilateral Trade”; CMS INDUSLAW / </w:t>
      </w:r>
      <w:proofErr w:type="spellStart"/>
      <w:r>
        <w:rPr>
          <w:sz w:val="16"/>
          <w:szCs w:val="16"/>
        </w:rPr>
        <w:t>Mondaq</w:t>
      </w:r>
      <w:proofErr w:type="spellEnd"/>
      <w:r>
        <w:rPr>
          <w:sz w:val="16"/>
          <w:szCs w:val="16"/>
        </w:rPr>
        <w:t xml:space="preserve"> (15 August 2025).</w:t>
      </w:r>
    </w:p>
  </w:footnote>
  <w:footnote w:id="16">
    <w:p w14:paraId="7ABF17C1" w14:textId="77777777" w:rsidR="00861A4D" w:rsidRDefault="00861A4D" w:rsidP="00861A4D">
      <w:r>
        <w:rPr>
          <w:rStyle w:val="FootnoteReference"/>
        </w:rPr>
        <w:footnoteRef/>
      </w:r>
      <w:r>
        <w:rPr>
          <w:sz w:val="16"/>
          <w:szCs w:val="16"/>
        </w:rPr>
        <w:t>IBEF, “India-UK CETA”, digital-trade chapter (Chapter 12). Cross-border data flows are permitted with limited exceptions; forced source-code/algorithm disclosure is prohibited; cooperation on AI, cybersecurity, digital identity and e-governance.</w:t>
      </w:r>
    </w:p>
  </w:footnote>
  <w:footnote w:id="17">
    <w:p w14:paraId="0FFF3689" w14:textId="77777777" w:rsidR="00861A4D" w:rsidRDefault="00861A4D" w:rsidP="00861A4D">
      <w:r>
        <w:rPr>
          <w:rStyle w:val="FootnoteReference"/>
        </w:rPr>
        <w:footnoteRef/>
      </w:r>
      <w:r>
        <w:rPr>
          <w:sz w:val="16"/>
          <w:szCs w:val="16"/>
        </w:rPr>
        <w:t>IBEF, “India-UK CETA”, government-procurement chapter. Access thresholds and transparency obligations as reported; a Working Group on Government Procurement is established to facilitate SME participation.</w:t>
      </w:r>
    </w:p>
  </w:footnote>
  <w:footnote w:id="18">
    <w:p w14:paraId="4CDBDD24" w14:textId="77777777" w:rsidR="00861A4D" w:rsidRDefault="00861A4D" w:rsidP="00861A4D">
      <w:r>
        <w:rPr>
          <w:rStyle w:val="FootnoteReference"/>
        </w:rPr>
        <w:footnoteRef/>
      </w:r>
      <w:r>
        <w:rPr>
          <w:sz w:val="16"/>
          <w:szCs w:val="16"/>
        </w:rPr>
        <w:t>IBEF, “India-UK CETA” (regulatory autonomy; exclusions from dispute coverage; five-yearly reviews; amendment mechanics). Governance comprises a Joint Committee, sectoral sub-committees and working groups (rules of origin, mobility, IP, procurement, gender, anti-corruption and others).</w:t>
      </w:r>
    </w:p>
  </w:footnote>
  <w:footnote w:id="19">
    <w:p w14:paraId="29BF90D6" w14:textId="77777777" w:rsidR="00861A4D" w:rsidRDefault="00861A4D" w:rsidP="00861A4D">
      <w:r>
        <w:rPr>
          <w:rStyle w:val="FootnoteReference"/>
        </w:rPr>
        <w:footnoteRef/>
      </w:r>
      <w:r>
        <w:rPr>
          <w:sz w:val="16"/>
          <w:szCs w:val="16"/>
        </w:rPr>
        <w:t>UK Department for Business and Trade, “Trade and investment factsheet: India” (23 June 2026). Total trade £47.9bn; UK exports £19.3bn (goods £5.9bn / services £13.3bn); UK imports £28.7bn (goods £11.2bn / services £17.5bn); UK trade deficit £9.4bn. Reporting period: 12 months to end-December 2025.</w:t>
      </w:r>
    </w:p>
  </w:footnote>
  <w:footnote w:id="20">
    <w:p w14:paraId="352424A7" w14:textId="77777777" w:rsidR="00861A4D" w:rsidRDefault="00861A4D" w:rsidP="00861A4D">
      <w:r>
        <w:rPr>
          <w:rStyle w:val="FootnoteReference"/>
        </w:rPr>
        <w:footnoteRef/>
      </w:r>
      <w:r>
        <w:rPr>
          <w:sz w:val="16"/>
          <w:szCs w:val="16"/>
        </w:rPr>
        <w:t>Department of Commerce, TRADESTAT/EIDB; reported in Outlook Business (5 July 2026): bilateral merchandise trade USD 25.12bn in FY 2025-26, up 8.62% from USD 23.13bn in FY 2024-25. IBEF, “India-UK Trade”: in FY26 (to Nov 2025) bilateral trade USD 15.31bn, India surplus USD 2.56bn, UK 5th export destination / 19th import source; India’s exports to UK USD 8.93bn (to Nov 2025).</w:t>
      </w:r>
    </w:p>
  </w:footnote>
  <w:footnote w:id="21">
    <w:p w14:paraId="469EFC60" w14:textId="77777777" w:rsidR="00861A4D" w:rsidRDefault="00861A4D" w:rsidP="00861A4D">
      <w:r>
        <w:rPr>
          <w:rStyle w:val="FootnoteReference"/>
        </w:rPr>
        <w:footnoteRef/>
      </w:r>
      <w:r>
        <w:rPr>
          <w:sz w:val="16"/>
          <w:szCs w:val="16"/>
        </w:rPr>
        <w:t>UK Department for Business and Trade factsheet (23 June 2026): UK imports of services from India — Other Business Services £11.7bn (66.7%), Telecoms/computer/information £2.3bn (13.3%), Travel £2.3bn (13.1%); reporting period 12 months to end-Q4 2025.</w:t>
      </w:r>
    </w:p>
  </w:footnote>
  <w:footnote w:id="22">
    <w:p w14:paraId="5C44C351" w14:textId="77777777" w:rsidR="00861A4D" w:rsidRDefault="00861A4D" w:rsidP="00861A4D">
      <w:r>
        <w:rPr>
          <w:rStyle w:val="FootnoteReference"/>
        </w:rPr>
        <w:footnoteRef/>
      </w:r>
      <w:r>
        <w:rPr>
          <w:sz w:val="16"/>
          <w:szCs w:val="16"/>
        </w:rPr>
        <w:t>UK Department for Business and Trade factsheet (23 June 2026): UK exports of services to India — Travel £8.1bn (61%), Telecoms/computer/information £1.6bn (11.7%), Other Business Services £1.3bn (9.4%); reporting period 12 months to end-Q4 2025.</w:t>
      </w:r>
    </w:p>
  </w:footnote>
  <w:footnote w:id="23">
    <w:p w14:paraId="5505EF76" w14:textId="77777777" w:rsidR="00861A4D" w:rsidRDefault="00861A4D" w:rsidP="00861A4D">
      <w:r>
        <w:rPr>
          <w:rStyle w:val="FootnoteReference"/>
        </w:rPr>
        <w:footnoteRef/>
      </w:r>
      <w:r>
        <w:rPr>
          <w:sz w:val="16"/>
          <w:szCs w:val="16"/>
        </w:rPr>
        <w:t xml:space="preserve">DGFT public notice on TRQ procedure for UK-origin vehicles (10 July 2026); Business Standard (10 July 2026); </w:t>
      </w:r>
      <w:proofErr w:type="spellStart"/>
      <w:r>
        <w:rPr>
          <w:sz w:val="16"/>
          <w:szCs w:val="16"/>
        </w:rPr>
        <w:t>GaadiKey</w:t>
      </w:r>
      <w:proofErr w:type="spellEnd"/>
      <w:r>
        <w:rPr>
          <w:sz w:val="16"/>
          <w:szCs w:val="16"/>
        </w:rPr>
        <w:t xml:space="preserve"> summary of CETA auto TRQ schedule. Vehicles manufactured outside the UK (e.g. a British brand built elsewhere) do not qualify.</w:t>
      </w:r>
    </w:p>
  </w:footnote>
  <w:footnote w:id="24">
    <w:p w14:paraId="5FC0776E" w14:textId="77777777" w:rsidR="00861A4D" w:rsidRDefault="00861A4D" w:rsidP="00861A4D">
      <w:r>
        <w:rPr>
          <w:rStyle w:val="FootnoteReference"/>
        </w:rPr>
        <w:footnoteRef/>
      </w:r>
      <w:r>
        <w:rPr>
          <w:sz w:val="16"/>
          <w:szCs w:val="16"/>
        </w:rPr>
        <w:t xml:space="preserve">KPMG UK, “UK-India CETA” (1 August 2025); </w:t>
      </w:r>
      <w:proofErr w:type="spellStart"/>
      <w:r>
        <w:rPr>
          <w:sz w:val="16"/>
          <w:szCs w:val="16"/>
        </w:rPr>
        <w:t>Interlegal</w:t>
      </w:r>
      <w:proofErr w:type="spellEnd"/>
      <w:r>
        <w:rPr>
          <w:sz w:val="16"/>
          <w:szCs w:val="16"/>
        </w:rPr>
        <w:t>, “Tariff Elimination in India–UK FTA 2025” (whisky £1bn p.a. UK Government estimate). The £1bn figure is a UK Government projection.</w:t>
      </w:r>
    </w:p>
  </w:footnote>
  <w:footnote w:id="25">
    <w:p w14:paraId="75B29092" w14:textId="77777777" w:rsidR="00861A4D" w:rsidRDefault="00861A4D" w:rsidP="00861A4D">
      <w:r>
        <w:rPr>
          <w:rStyle w:val="FootnoteReference"/>
        </w:rPr>
        <w:footnoteRef/>
      </w:r>
      <w:r>
        <w:rPr>
          <w:sz w:val="16"/>
          <w:szCs w:val="16"/>
        </w:rPr>
        <w:t>UK factsheet (23 June 2026), clothing £952.5mn. Tariff-line detail: PIB Backgrounder — zero duty on 1,143 textiles/clothing tariff lines (11.7% of the basket), removing the earlier 12% duty and the disadvantage against Bangladesh, Pakistan and Cambodia.</w:t>
      </w:r>
    </w:p>
  </w:footnote>
  <w:footnote w:id="26">
    <w:p w14:paraId="5E613A88" w14:textId="77777777" w:rsidR="00861A4D" w:rsidRDefault="00861A4D" w:rsidP="00861A4D">
      <w:r>
        <w:rPr>
          <w:rStyle w:val="FootnoteReference"/>
        </w:rPr>
        <w:footnoteRef/>
      </w:r>
      <w:proofErr w:type="spellStart"/>
      <w:r>
        <w:rPr>
          <w:sz w:val="16"/>
          <w:szCs w:val="16"/>
        </w:rPr>
        <w:t>Interlegal</w:t>
      </w:r>
      <w:proofErr w:type="spellEnd"/>
      <w:r>
        <w:rPr>
          <w:sz w:val="16"/>
          <w:szCs w:val="16"/>
        </w:rPr>
        <w:t xml:space="preserve">, “Tariff Elimination in India–UK FTA 2025”: textiles &amp; apparel exports projected +USD 1.35bn annually; </w:t>
      </w:r>
      <w:proofErr w:type="spellStart"/>
      <w:r>
        <w:rPr>
          <w:sz w:val="16"/>
          <w:szCs w:val="16"/>
        </w:rPr>
        <w:t>Tiruppur</w:t>
      </w:r>
      <w:proofErr w:type="spellEnd"/>
      <w:r>
        <w:rPr>
          <w:sz w:val="16"/>
          <w:szCs w:val="16"/>
        </w:rPr>
        <w:t xml:space="preserve"> cluster benefit. This is an independent estimate, not a </w:t>
      </w:r>
      <w:proofErr w:type="gramStart"/>
      <w:r>
        <w:rPr>
          <w:sz w:val="16"/>
          <w:szCs w:val="16"/>
        </w:rPr>
        <w:t>Government</w:t>
      </w:r>
      <w:proofErr w:type="gramEnd"/>
      <w:r>
        <w:rPr>
          <w:sz w:val="16"/>
          <w:szCs w:val="16"/>
        </w:rPr>
        <w:t xml:space="preserve"> projection.</w:t>
      </w:r>
    </w:p>
  </w:footnote>
  <w:footnote w:id="27">
    <w:p w14:paraId="530F593C" w14:textId="77777777" w:rsidR="00861A4D" w:rsidRDefault="00861A4D" w:rsidP="00861A4D">
      <w:r>
        <w:rPr>
          <w:rStyle w:val="FootnoteReference"/>
        </w:rPr>
        <w:footnoteRef/>
      </w:r>
      <w:r>
        <w:rPr>
          <w:sz w:val="16"/>
          <w:szCs w:val="16"/>
        </w:rPr>
        <w:t xml:space="preserve">PIB Backgrounder: gems &amp; </w:t>
      </w:r>
      <w:proofErr w:type="spellStart"/>
      <w:r>
        <w:rPr>
          <w:sz w:val="16"/>
          <w:szCs w:val="16"/>
        </w:rPr>
        <w:t>jewellery</w:t>
      </w:r>
      <w:proofErr w:type="spellEnd"/>
      <w:r>
        <w:rPr>
          <w:sz w:val="16"/>
          <w:szCs w:val="16"/>
        </w:rPr>
        <w:t xml:space="preserve"> exports to the UK projected to double within 2–3 years (Government projection). </w:t>
      </w:r>
      <w:proofErr w:type="spellStart"/>
      <w:r>
        <w:rPr>
          <w:sz w:val="16"/>
          <w:szCs w:val="16"/>
        </w:rPr>
        <w:t>Interlegal</w:t>
      </w:r>
      <w:proofErr w:type="spellEnd"/>
      <w:r>
        <w:rPr>
          <w:sz w:val="16"/>
          <w:szCs w:val="16"/>
        </w:rPr>
        <w:t xml:space="preserve">: USD 1.63bn export segment (independent estimate). QVC for most precious-metal </w:t>
      </w:r>
      <w:proofErr w:type="spellStart"/>
      <w:r>
        <w:rPr>
          <w:sz w:val="16"/>
          <w:szCs w:val="16"/>
        </w:rPr>
        <w:t>jewellery</w:t>
      </w:r>
      <w:proofErr w:type="spellEnd"/>
      <w:r>
        <w:rPr>
          <w:sz w:val="16"/>
          <w:szCs w:val="16"/>
        </w:rPr>
        <w:t xml:space="preserve"> is a low 3–7% (KPMG UK, 1 Aug 2025).</w:t>
      </w:r>
    </w:p>
  </w:footnote>
  <w:footnote w:id="28">
    <w:p w14:paraId="0EDF26DF" w14:textId="77777777" w:rsidR="00861A4D" w:rsidRDefault="00861A4D" w:rsidP="00861A4D">
      <w:r>
        <w:rPr>
          <w:rStyle w:val="FootnoteReference"/>
        </w:rPr>
        <w:footnoteRef/>
      </w:r>
      <w:r>
        <w:rPr>
          <w:sz w:val="16"/>
          <w:szCs w:val="16"/>
        </w:rPr>
        <w:t>PIB Backgrounder / FIEO: UK is India’s 6th-largest engineering export market; engineering exports grew 11.7% in 2024-25; UK engineering imports ~USD 193.52bn, India’s share ~USD 4.28bn; UK tariffs of up to 18% removed. Reporting year: FY 2024-25.</w:t>
      </w:r>
    </w:p>
  </w:footnote>
  <w:footnote w:id="29">
    <w:p w14:paraId="21E2E4D9" w14:textId="77777777" w:rsidR="00861A4D" w:rsidRDefault="00861A4D" w:rsidP="00861A4D">
      <w:r>
        <w:rPr>
          <w:rStyle w:val="FootnoteReference"/>
        </w:rPr>
        <w:footnoteRef/>
      </w:r>
      <w:r>
        <w:rPr>
          <w:sz w:val="16"/>
          <w:szCs w:val="16"/>
        </w:rPr>
        <w:t>UK factsheet (23 June 2026): medicinal &amp; pharmaceutical products £704.3mn (6.3% of UK goods imports from India, +5.0%). CETA removes UK duties of up to 8% and provides for mutual recognition of Good Manufacturing Practices per independent analysis (</w:t>
      </w:r>
      <w:proofErr w:type="spellStart"/>
      <w:r>
        <w:rPr>
          <w:sz w:val="16"/>
          <w:szCs w:val="16"/>
        </w:rPr>
        <w:t>Interlegal</w:t>
      </w:r>
      <w:proofErr w:type="spellEnd"/>
      <w:r>
        <w:rPr>
          <w:sz w:val="16"/>
          <w:szCs w:val="16"/>
        </w:rPr>
        <w:t>).</w:t>
      </w:r>
    </w:p>
  </w:footnote>
  <w:footnote w:id="30">
    <w:p w14:paraId="18721647" w14:textId="77777777" w:rsidR="00861A4D" w:rsidRDefault="00861A4D" w:rsidP="00861A4D">
      <w:r>
        <w:rPr>
          <w:rStyle w:val="FootnoteReference"/>
        </w:rPr>
        <w:footnoteRef/>
      </w:r>
      <w:r>
        <w:rPr>
          <w:sz w:val="16"/>
          <w:szCs w:val="16"/>
        </w:rPr>
        <w:t xml:space="preserve">PIB Backgrounder / FIEO: UK marine import market ~USD 5.4bn, India’s share ~2.25%; UK shrimp duties 4.2–8.5% eliminated; ~95% of agriculture tariff lines duty-free; UK </w:t>
      </w:r>
      <w:proofErr w:type="spellStart"/>
      <w:r>
        <w:rPr>
          <w:sz w:val="16"/>
          <w:szCs w:val="16"/>
        </w:rPr>
        <w:t>agri</w:t>
      </w:r>
      <w:proofErr w:type="spellEnd"/>
      <w:r>
        <w:rPr>
          <w:sz w:val="16"/>
          <w:szCs w:val="16"/>
        </w:rPr>
        <w:t>-imports ~USD 50.68bn against India’s ~USD 309.5mn. Reporting basis as published.</w:t>
      </w:r>
    </w:p>
  </w:footnote>
  <w:footnote w:id="31">
    <w:p w14:paraId="6BCD532B" w14:textId="77777777" w:rsidR="00861A4D" w:rsidRDefault="00861A4D" w:rsidP="00861A4D">
      <w:r>
        <w:rPr>
          <w:rStyle w:val="FootnoteReference"/>
        </w:rPr>
        <w:footnoteRef/>
      </w:r>
      <w:proofErr w:type="spellStart"/>
      <w:r>
        <w:rPr>
          <w:sz w:val="16"/>
          <w:szCs w:val="16"/>
        </w:rPr>
        <w:t>Lexology</w:t>
      </w:r>
      <w:proofErr w:type="spellEnd"/>
      <w:r>
        <w:rPr>
          <w:sz w:val="16"/>
          <w:szCs w:val="16"/>
        </w:rPr>
        <w:t xml:space="preserve"> (16% leather/footwear duty removed on entry into force); PIB Backgrounder (leather, footwear, toys, sports goods among </w:t>
      </w:r>
      <w:proofErr w:type="spellStart"/>
      <w:r>
        <w:rPr>
          <w:sz w:val="16"/>
          <w:szCs w:val="16"/>
        </w:rPr>
        <w:t>labour-intensive</w:t>
      </w:r>
      <w:proofErr w:type="spellEnd"/>
      <w:r>
        <w:rPr>
          <w:sz w:val="16"/>
          <w:szCs w:val="16"/>
        </w:rPr>
        <w:t xml:space="preserve"> beneficiaries).</w:t>
      </w:r>
    </w:p>
  </w:footnote>
  <w:footnote w:id="32">
    <w:p w14:paraId="3EFC8D5C" w14:textId="77777777" w:rsidR="00861A4D" w:rsidRDefault="00861A4D" w:rsidP="00861A4D">
      <w:r>
        <w:rPr>
          <w:rStyle w:val="FootnoteReference"/>
        </w:rPr>
        <w:footnoteRef/>
      </w:r>
      <w:r>
        <w:rPr>
          <w:sz w:val="16"/>
          <w:szCs w:val="16"/>
        </w:rPr>
        <w:t>PIB Backgrounder: electronics is India’s 4th-largest export market to the UK, +25% in 2024-25, projected to double to ~USD 4bn by 2030 (Government projection); plastics exports ~USD 0.509bn in FY 2024-25 projected to ~USD 800mn over three years (Government projection). Reporting year: FY 2024-25.</w:t>
      </w:r>
    </w:p>
  </w:footnote>
  <w:footnote w:id="33">
    <w:p w14:paraId="79C7DC42" w14:textId="77777777" w:rsidR="00861A4D" w:rsidRDefault="00861A4D" w:rsidP="00861A4D">
      <w:r>
        <w:rPr>
          <w:rStyle w:val="FootnoteReference"/>
        </w:rPr>
        <w:footnoteRef/>
      </w:r>
      <w:r>
        <w:rPr>
          <w:sz w:val="16"/>
          <w:szCs w:val="16"/>
        </w:rPr>
        <w:t>UK factsheet (23 June 2026): UK imports from India of Other Business Services £11.7bn, Telecoms/computer/information £2.3bn. Caveat: UK Parliament written evidence notes CETA grants relatively little new services market access, largely binding the status quo.</w:t>
      </w:r>
    </w:p>
  </w:footnote>
  <w:footnote w:id="34">
    <w:p w14:paraId="0359C804" w14:textId="77777777" w:rsidR="00861A4D" w:rsidRDefault="00861A4D" w:rsidP="00861A4D">
      <w:r>
        <w:rPr>
          <w:rStyle w:val="FootnoteReference"/>
        </w:rPr>
        <w:footnoteRef/>
      </w:r>
      <w:r>
        <w:rPr>
          <w:sz w:val="16"/>
          <w:szCs w:val="16"/>
        </w:rPr>
        <w:t xml:space="preserve">UK Parliament written evidence (International Agreements Committee, Oct 2025): the 1994 IPPA was revoked by India in 2016–17; a new UK–India BIT is being negotiated separately from CETA and is believed to be well advanced. CMS INDUSLAW / </w:t>
      </w:r>
      <w:proofErr w:type="spellStart"/>
      <w:r>
        <w:rPr>
          <w:sz w:val="16"/>
          <w:szCs w:val="16"/>
        </w:rPr>
        <w:t>Mondaq</w:t>
      </w:r>
      <w:proofErr w:type="spellEnd"/>
      <w:r>
        <w:rPr>
          <w:sz w:val="16"/>
          <w:szCs w:val="16"/>
        </w:rPr>
        <w:t xml:space="preserve"> (15 Aug 2025).</w:t>
      </w:r>
    </w:p>
  </w:footnote>
  <w:footnote w:id="35">
    <w:p w14:paraId="265AF4A2" w14:textId="77777777" w:rsidR="00861A4D" w:rsidRDefault="00861A4D" w:rsidP="00861A4D">
      <w:r>
        <w:rPr>
          <w:rStyle w:val="FootnoteReference"/>
        </w:rPr>
        <w:footnoteRef/>
      </w:r>
      <w:r>
        <w:rPr>
          <w:sz w:val="16"/>
          <w:szCs w:val="16"/>
        </w:rPr>
        <w:t xml:space="preserve">Stewarts / </w:t>
      </w:r>
      <w:proofErr w:type="spellStart"/>
      <w:r>
        <w:rPr>
          <w:sz w:val="16"/>
          <w:szCs w:val="16"/>
        </w:rPr>
        <w:t>Lexology</w:t>
      </w:r>
      <w:proofErr w:type="spellEnd"/>
      <w:r>
        <w:rPr>
          <w:sz w:val="16"/>
          <w:szCs w:val="16"/>
        </w:rPr>
        <w:t xml:space="preserve"> (16 May 2025): BCI amendment of 14 May 2025; FIFO 60-day limit and client-disclosure requirements </w:t>
      </w:r>
      <w:proofErr w:type="spellStart"/>
      <w:r>
        <w:rPr>
          <w:sz w:val="16"/>
          <w:szCs w:val="16"/>
        </w:rPr>
        <w:t>criticised</w:t>
      </w:r>
      <w:proofErr w:type="spellEnd"/>
      <w:r>
        <w:rPr>
          <w:sz w:val="16"/>
          <w:szCs w:val="16"/>
        </w:rPr>
        <w:t xml:space="preserve"> as impractical and raising confidentiality concerns. UK Parliament written evidence (Bar Council of England &amp; Wales): FIFO regime unworkable for self-employed counsel; BCI review committee chaired by Cyril Shroff formed June 2025.</w:t>
      </w:r>
    </w:p>
  </w:footnote>
  <w:footnote w:id="36">
    <w:p w14:paraId="0A67A0A7" w14:textId="77777777" w:rsidR="00861A4D" w:rsidRDefault="00861A4D" w:rsidP="00861A4D">
      <w:r>
        <w:rPr>
          <w:rStyle w:val="FootnoteReference"/>
        </w:rPr>
        <w:footnoteRef/>
      </w:r>
      <w:proofErr w:type="spellStart"/>
      <w:r>
        <w:rPr>
          <w:sz w:val="16"/>
          <w:szCs w:val="16"/>
        </w:rPr>
        <w:t>NextIAS</w:t>
      </w:r>
      <w:proofErr w:type="spellEnd"/>
      <w:r>
        <w:rPr>
          <w:sz w:val="16"/>
          <w:szCs w:val="16"/>
        </w:rPr>
        <w:t xml:space="preserve"> analysis (11 July 2026): Indian exporters may face difficulty meeting UK quality/safety/SPS/TBT standards; non-tariff barriers persist. Umm- Al-Qura assessment (Feb 2026): CETA </w:t>
      </w:r>
      <w:proofErr w:type="spellStart"/>
      <w:r>
        <w:rPr>
          <w:sz w:val="16"/>
          <w:szCs w:val="16"/>
        </w:rPr>
        <w:t>emphasises</w:t>
      </w:r>
      <w:proofErr w:type="spellEnd"/>
      <w:r>
        <w:rPr>
          <w:sz w:val="16"/>
          <w:szCs w:val="16"/>
        </w:rPr>
        <w:t xml:space="preserve"> non-tariff measures as the real barriers.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AEA2E" w14:textId="77777777" w:rsidR="00861A4D" w:rsidRDefault="00861A4D">
    <w:pPr>
      <w:pBdr>
        <w:bottom w:val="single" w:sz="4" w:space="4" w:color="D5DBE1"/>
      </w:pBdr>
      <w:spacing w:after="60"/>
      <w:jc w:val="right"/>
    </w:pPr>
    <w:r>
      <w:rPr>
        <w:rFonts w:ascii="Calibri" w:eastAsia="Calibri" w:hAnsi="Calibri" w:cs="Calibri"/>
        <w:color w:val="8A94A0"/>
        <w:sz w:val="15"/>
        <w:szCs w:val="15"/>
      </w:rPr>
      <w:t xml:space="preserve">Privileged &amp; </w:t>
    </w:r>
    <w:proofErr w:type="gramStart"/>
    <w:r>
      <w:rPr>
        <w:rFonts w:ascii="Calibri" w:eastAsia="Calibri" w:hAnsi="Calibri" w:cs="Calibri"/>
        <w:color w:val="8A94A0"/>
        <w:sz w:val="15"/>
        <w:szCs w:val="15"/>
      </w:rPr>
      <w:t>Confidential  ·</w:t>
    </w:r>
    <w:proofErr w:type="gramEnd"/>
    <w:r>
      <w:rPr>
        <w:rFonts w:ascii="Calibri" w:eastAsia="Calibri" w:hAnsi="Calibri" w:cs="Calibri"/>
        <w:color w:val="8A94A0"/>
        <w:sz w:val="15"/>
        <w:szCs w:val="15"/>
      </w:rPr>
      <w:t xml:space="preserve">  India–UK CETA Research Memorandum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F2A6B"/>
    <w:multiLevelType w:val="hybridMultilevel"/>
    <w:tmpl w:val="FBD4A8CC"/>
    <w:lvl w:ilvl="0" w:tplc="19148A64">
      <w:start w:val="1"/>
      <w:numFmt w:val="bullet"/>
      <w:lvlText w:val="•"/>
      <w:lvlJc w:val="left"/>
      <w:pPr>
        <w:ind w:left="460" w:hanging="260"/>
      </w:pPr>
    </w:lvl>
    <w:lvl w:ilvl="1" w:tplc="92E4CEBC">
      <w:start w:val="1"/>
      <w:numFmt w:val="bullet"/>
      <w:lvlText w:val="–"/>
      <w:lvlJc w:val="left"/>
      <w:pPr>
        <w:ind w:left="900" w:hanging="260"/>
      </w:pPr>
    </w:lvl>
    <w:lvl w:ilvl="2" w:tplc="C1569B62">
      <w:numFmt w:val="decimal"/>
      <w:lvlText w:val=""/>
      <w:lvlJc w:val="left"/>
    </w:lvl>
    <w:lvl w:ilvl="3" w:tplc="AEFC648E">
      <w:numFmt w:val="decimal"/>
      <w:lvlText w:val=""/>
      <w:lvlJc w:val="left"/>
    </w:lvl>
    <w:lvl w:ilvl="4" w:tplc="EFE8364E">
      <w:numFmt w:val="decimal"/>
      <w:lvlText w:val=""/>
      <w:lvlJc w:val="left"/>
    </w:lvl>
    <w:lvl w:ilvl="5" w:tplc="D9064EC2">
      <w:numFmt w:val="decimal"/>
      <w:lvlText w:val=""/>
      <w:lvlJc w:val="left"/>
    </w:lvl>
    <w:lvl w:ilvl="6" w:tplc="D11CA72E">
      <w:numFmt w:val="decimal"/>
      <w:lvlText w:val=""/>
      <w:lvlJc w:val="left"/>
    </w:lvl>
    <w:lvl w:ilvl="7" w:tplc="15081348">
      <w:numFmt w:val="decimal"/>
      <w:lvlText w:val=""/>
      <w:lvlJc w:val="left"/>
    </w:lvl>
    <w:lvl w:ilvl="8" w:tplc="125A50E4">
      <w:numFmt w:val="decimal"/>
      <w:lvlText w:val=""/>
      <w:lvlJc w:val="left"/>
    </w:lvl>
  </w:abstractNum>
  <w:abstractNum w:abstractNumId="1" w15:restartNumberingAfterBreak="0">
    <w:nsid w:val="5DB835A7"/>
    <w:multiLevelType w:val="hybridMultilevel"/>
    <w:tmpl w:val="18FCD95A"/>
    <w:lvl w:ilvl="0" w:tplc="085AC7E2">
      <w:start w:val="1"/>
      <w:numFmt w:val="decimal"/>
      <w:lvlText w:val="%1."/>
      <w:lvlJc w:val="left"/>
      <w:pPr>
        <w:ind w:left="460" w:hanging="300"/>
      </w:pPr>
    </w:lvl>
    <w:lvl w:ilvl="1" w:tplc="A0185CD6">
      <w:numFmt w:val="decimal"/>
      <w:lvlText w:val=""/>
      <w:lvlJc w:val="left"/>
    </w:lvl>
    <w:lvl w:ilvl="2" w:tplc="E5629F6E">
      <w:numFmt w:val="decimal"/>
      <w:lvlText w:val=""/>
      <w:lvlJc w:val="left"/>
    </w:lvl>
    <w:lvl w:ilvl="3" w:tplc="DE9A440A">
      <w:numFmt w:val="decimal"/>
      <w:lvlText w:val=""/>
      <w:lvlJc w:val="left"/>
    </w:lvl>
    <w:lvl w:ilvl="4" w:tplc="C9D4453E">
      <w:numFmt w:val="decimal"/>
      <w:lvlText w:val=""/>
      <w:lvlJc w:val="left"/>
    </w:lvl>
    <w:lvl w:ilvl="5" w:tplc="D02CE25A">
      <w:numFmt w:val="decimal"/>
      <w:lvlText w:val=""/>
      <w:lvlJc w:val="left"/>
    </w:lvl>
    <w:lvl w:ilvl="6" w:tplc="452879C4">
      <w:numFmt w:val="decimal"/>
      <w:lvlText w:val=""/>
      <w:lvlJc w:val="left"/>
    </w:lvl>
    <w:lvl w:ilvl="7" w:tplc="C456AC84">
      <w:numFmt w:val="decimal"/>
      <w:lvlText w:val=""/>
      <w:lvlJc w:val="left"/>
    </w:lvl>
    <w:lvl w:ilvl="8" w:tplc="BF605A38">
      <w:numFmt w:val="decimal"/>
      <w:lvlText w:val=""/>
      <w:lvlJc w:val="left"/>
    </w:lvl>
  </w:abstractNum>
  <w:abstractNum w:abstractNumId="2" w15:restartNumberingAfterBreak="0">
    <w:nsid w:val="5EEF3F21"/>
    <w:multiLevelType w:val="hybridMultilevel"/>
    <w:tmpl w:val="1020EE96"/>
    <w:lvl w:ilvl="0" w:tplc="83FCD864">
      <w:start w:val="1"/>
      <w:numFmt w:val="decimal"/>
      <w:lvlText w:val="%1."/>
      <w:lvlJc w:val="left"/>
      <w:pPr>
        <w:ind w:left="460" w:hanging="360"/>
      </w:pPr>
    </w:lvl>
    <w:lvl w:ilvl="1" w:tplc="1026DF00">
      <w:numFmt w:val="decimal"/>
      <w:lvlText w:val=""/>
      <w:lvlJc w:val="left"/>
    </w:lvl>
    <w:lvl w:ilvl="2" w:tplc="7E249548">
      <w:numFmt w:val="decimal"/>
      <w:lvlText w:val=""/>
      <w:lvlJc w:val="left"/>
    </w:lvl>
    <w:lvl w:ilvl="3" w:tplc="69CE9F0C">
      <w:numFmt w:val="decimal"/>
      <w:lvlText w:val=""/>
      <w:lvlJc w:val="left"/>
    </w:lvl>
    <w:lvl w:ilvl="4" w:tplc="2E9EF2F0">
      <w:numFmt w:val="decimal"/>
      <w:lvlText w:val=""/>
      <w:lvlJc w:val="left"/>
    </w:lvl>
    <w:lvl w:ilvl="5" w:tplc="6A0E223E">
      <w:numFmt w:val="decimal"/>
      <w:lvlText w:val=""/>
      <w:lvlJc w:val="left"/>
    </w:lvl>
    <w:lvl w:ilvl="6" w:tplc="11EA80F8">
      <w:numFmt w:val="decimal"/>
      <w:lvlText w:val=""/>
      <w:lvlJc w:val="left"/>
    </w:lvl>
    <w:lvl w:ilvl="7" w:tplc="3306CA80">
      <w:numFmt w:val="decimal"/>
      <w:lvlText w:val=""/>
      <w:lvlJc w:val="left"/>
    </w:lvl>
    <w:lvl w:ilvl="8" w:tplc="1B3C398E">
      <w:numFmt w:val="decimal"/>
      <w:lvlText w:val=""/>
      <w:lvlJc w:val="left"/>
    </w:lvl>
  </w:abstractNum>
  <w:num w:numId="1" w16cid:durableId="1429809237">
    <w:abstractNumId w:val="1"/>
    <w:lvlOverride w:ilvl="0">
      <w:startOverride w:val="1"/>
    </w:lvlOverride>
  </w:num>
  <w:num w:numId="2" w16cid:durableId="207182133">
    <w:abstractNumId w:val="0"/>
    <w:lvlOverride w:ilvl="0">
      <w:startOverride w:val="1"/>
    </w:lvlOverride>
  </w:num>
  <w:num w:numId="3" w16cid:durableId="17417551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4D"/>
    <w:rsid w:val="0038579E"/>
    <w:rsid w:val="00701021"/>
    <w:rsid w:val="00775E80"/>
    <w:rsid w:val="00861A4D"/>
    <w:rsid w:val="00D61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3D460"/>
  <w15:chartTrackingRefBased/>
  <w15:docId w15:val="{B9BAAA54-4E70-47B5-A25A-8FD9CC375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A4D"/>
    <w:pPr>
      <w:spacing w:after="0" w:line="240" w:lineRule="auto"/>
    </w:pPr>
    <w:rPr>
      <w:rFonts w:ascii="Georgia" w:eastAsia="Georgia" w:hAnsi="Georgia" w:cs="Georgia"/>
      <w:color w:val="1A1A2E"/>
      <w:kern w:val="0"/>
      <w:sz w:val="21"/>
      <w:szCs w:val="21"/>
      <w14:ligatures w14:val="none"/>
    </w:rPr>
  </w:style>
  <w:style w:type="paragraph" w:styleId="Heading1">
    <w:name w:val="heading 1"/>
    <w:basedOn w:val="Normal"/>
    <w:next w:val="Normal"/>
    <w:link w:val="Heading1Char"/>
    <w:uiPriority w:val="9"/>
    <w:qFormat/>
    <w:rsid w:val="00861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1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1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A4D"/>
    <w:rPr>
      <w:rFonts w:eastAsiaTheme="majorEastAsia" w:cstheme="majorBidi"/>
      <w:color w:val="272727" w:themeColor="text1" w:themeTint="D8"/>
    </w:rPr>
  </w:style>
  <w:style w:type="paragraph" w:styleId="Title">
    <w:name w:val="Title"/>
    <w:basedOn w:val="Normal"/>
    <w:next w:val="Normal"/>
    <w:link w:val="TitleChar"/>
    <w:uiPriority w:val="10"/>
    <w:qFormat/>
    <w:rsid w:val="00861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A4D"/>
    <w:pPr>
      <w:spacing w:before="160"/>
      <w:jc w:val="center"/>
    </w:pPr>
    <w:rPr>
      <w:i/>
      <w:iCs/>
      <w:color w:val="404040" w:themeColor="text1" w:themeTint="BF"/>
    </w:rPr>
  </w:style>
  <w:style w:type="character" w:customStyle="1" w:styleId="QuoteChar">
    <w:name w:val="Quote Char"/>
    <w:basedOn w:val="DefaultParagraphFont"/>
    <w:link w:val="Quote"/>
    <w:uiPriority w:val="29"/>
    <w:rsid w:val="00861A4D"/>
    <w:rPr>
      <w:i/>
      <w:iCs/>
      <w:color w:val="404040" w:themeColor="text1" w:themeTint="BF"/>
    </w:rPr>
  </w:style>
  <w:style w:type="paragraph" w:styleId="ListParagraph">
    <w:name w:val="List Paragraph"/>
    <w:basedOn w:val="Normal"/>
    <w:qFormat/>
    <w:rsid w:val="00861A4D"/>
    <w:pPr>
      <w:ind w:left="720"/>
      <w:contextualSpacing/>
    </w:pPr>
  </w:style>
  <w:style w:type="character" w:styleId="IntenseEmphasis">
    <w:name w:val="Intense Emphasis"/>
    <w:basedOn w:val="DefaultParagraphFont"/>
    <w:uiPriority w:val="21"/>
    <w:qFormat/>
    <w:rsid w:val="00861A4D"/>
    <w:rPr>
      <w:i/>
      <w:iCs/>
      <w:color w:val="0F4761" w:themeColor="accent1" w:themeShade="BF"/>
    </w:rPr>
  </w:style>
  <w:style w:type="paragraph" w:styleId="IntenseQuote">
    <w:name w:val="Intense Quote"/>
    <w:basedOn w:val="Normal"/>
    <w:next w:val="Normal"/>
    <w:link w:val="IntenseQuoteChar"/>
    <w:uiPriority w:val="30"/>
    <w:qFormat/>
    <w:rsid w:val="00861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A4D"/>
    <w:rPr>
      <w:i/>
      <w:iCs/>
      <w:color w:val="0F4761" w:themeColor="accent1" w:themeShade="BF"/>
    </w:rPr>
  </w:style>
  <w:style w:type="character" w:styleId="IntenseReference">
    <w:name w:val="Intense Reference"/>
    <w:basedOn w:val="DefaultParagraphFont"/>
    <w:uiPriority w:val="32"/>
    <w:qFormat/>
    <w:rsid w:val="00861A4D"/>
    <w:rPr>
      <w:b/>
      <w:bCs/>
      <w:smallCaps/>
      <w:color w:val="0F4761" w:themeColor="accent1" w:themeShade="BF"/>
      <w:spacing w:val="5"/>
    </w:rPr>
  </w:style>
  <w:style w:type="character" w:styleId="FootnoteReference">
    <w:name w:val="footnote reference"/>
    <w:uiPriority w:val="99"/>
    <w:semiHidden/>
    <w:unhideWhenUsed/>
    <w:rsid w:val="00861A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6273</Words>
  <Characters>39710</Characters>
  <Application>Microsoft Office Word</Application>
  <DocSecurity>0</DocSecurity>
  <Lines>735</Lines>
  <Paragraphs>396</Paragraphs>
  <ScaleCrop>false</ScaleCrop>
  <Company/>
  <LinksUpToDate>false</LinksUpToDate>
  <CharactersWithSpaces>45587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Nimbekar, Saksham</dc:creator>
  <cp:keywords/>
  <dc:description/>
  <cp:lastModifiedBy>Nimbekar, Saksham</cp:lastModifiedBy>
  <cp:revision>1</cp:revision>
  <dcterms:created xsi:type="dcterms:W3CDTF">2026-07-13T09:48:00Z</dcterms:created>
  <dcterms:modified xsi:type="dcterms:W3CDTF">2026-07-13T09:49:00Z</dcterms:modified>
</cp:coreProperties>
</file>