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pacing w:val="40"/>
          <w:sz w:val="18"/>
          <w:szCs w:val="18"/>
        </w:rPr>
        <w:t xml:space="preserve">CLIENT ADVISORY</w:t>
      </w:r>
    </w:p>
    <w:p>
      <w:pPr>
        <w:pBdr>
          <w:bottom w:val="single" w:color="1F3864" w:sz="16" w:space="6"/>
        </w:pBdr>
        <w:spacing w:after="60"/>
      </w:pPr>
      <w:r>
        <w:rPr>
          <w:rFonts w:ascii="Georgia" w:cs="Georgia" w:eastAsia="Georgia" w:hAnsi="Georgia"/>
          <w:b/>
          <w:bCs/>
          <w:color w:val="1F3864"/>
          <w:sz w:val="34"/>
          <w:szCs w:val="34"/>
        </w:rPr>
        <w:t xml:space="preserve">The India–UK CETA: What Changes for Your Import–Export Business</w:t>
      </w:r>
    </w:p>
    <w:p>
      <w:pPr>
        <w:spacing w:after="40" w:before="80"/>
      </w:pPr>
      <w:r>
        <w:rPr>
          <w:rFonts w:ascii="Calibri" w:cs="Calibri" w:eastAsia="Calibri" w:hAnsi="Calibri"/>
          <w:i/>
          <w:iCs/>
          <w:color w:val="595959"/>
          <w:sz w:val="20"/>
          <w:szCs w:val="20"/>
        </w:rPr>
        <w:t xml:space="preserve">Prepared for clients trading goods and services between India and the United Kingdom</w:t>
      </w:r>
    </w:p>
    <w:p>
      <w:pPr>
        <w:spacing w:after="60"/>
      </w:pPr>
      <w:r>
        <w:rPr>
          <w:rFonts w:ascii="Calibri" w:cs="Calibri" w:eastAsia="Calibri" w:hAnsi="Calibri"/>
          <w:color w:val="1A1A1A"/>
          <w:sz w:val="19"/>
          <w:szCs w:val="19"/>
        </w:rPr>
        <w:t xml:space="preserve">Date: 15 July 2026</w:t>
      </w:r>
      <w:r>
        <w:rPr>
          <w:rFonts w:ascii="Calibri" w:cs="Calibri" w:eastAsia="Calibri" w:hAnsi="Calibri"/>
          <w:color w:val="BFBFBF"/>
          <w:sz w:val="19"/>
          <w:szCs w:val="19"/>
        </w:rPr>
        <w:t xml:space="preserve">     •     </w:t>
      </w:r>
      <w:r>
        <w:rPr>
          <w:rFonts w:ascii="Calibri" w:cs="Calibri" w:eastAsia="Calibri" w:hAnsi="Calibri"/>
          <w:b/>
          <w:bCs/>
          <w:color w:val="1A1A1A"/>
          <w:sz w:val="19"/>
          <w:szCs w:val="19"/>
        </w:rPr>
        <w:t xml:space="preserve">CETA in force from: 15 July 2026</w:t>
      </w:r>
    </w:p>
    <w:p>
      <w:pPr>
        <w:pBdr>
          <w:top w:val="single" w:color="F0E0BE" w:sz="4" w:space="4"/>
          <w:bottom w:val="single" w:color="F0E0BE" w:sz="4" w:space="4"/>
          <w:left w:val="single" w:color="D9A441" w:sz="18" w:space="6"/>
          <w:right w:val="single" w:color="F0E0BE" w:sz="4" w:space="4"/>
        </w:pBdr>
        <w:shd w:fill="FFF7E6" w:color="auto" w:val="clear"/>
        <w:spacing w:after="130" w:before="60" w:line="264"/>
        <w:ind w:left="120" w:right="120"/>
      </w:pPr>
      <w:r>
        <w:rPr>
          <w:rFonts w:ascii="Calibri" w:cs="Calibri" w:eastAsia="Calibri" w:hAnsi="Calibri"/>
          <w:b/>
          <w:bCs/>
          <w:color w:val="833C00"/>
          <w:sz w:val="18"/>
          <w:szCs w:val="18"/>
        </w:rPr>
        <w:t xml:space="preserve">A note on sources.  </w:t>
      </w:r>
      <w:r>
        <w:rPr>
          <w:rFonts w:ascii="Calibri" w:cs="Calibri" w:eastAsia="Calibri" w:hAnsi="Calibri"/>
          <w:i/>
          <w:iCs/>
          <w:color w:val="5A4A1E"/>
          <w:sz w:val="18"/>
          <w:szCs w:val="18"/>
        </w:rPr>
        <w:t xml:space="preserve">To keep the numbers simple and comparable, every trade figure in this note is taken from one official dataset — the UK Department for Business &amp; Trade “Trade and Investment Factsheet: India” (released 23 June 2026), which is built on ONS and HMRC data. Tariff-change figures come from the Government of India (Ministry of Commerce &amp; Industry / PIB). The legal mechanics come from the CETA text and the relevant CBIC notification and circular. Technical terms are explained in plain English the first time they appear.</w:t>
      </w:r>
    </w:p>
    <w:p>
      <w:pPr>
        <w:pStyle w:val="Heading1"/>
        <w:keepNext/>
        <w:pBdr>
          <w:bottom w:val="single" w:color="1F3864" w:sz="10" w:space="4"/>
        </w:pBdr>
        <w:spacing w:after="130" w:before="260"/>
      </w:pPr>
      <w:r>
        <w:rPr>
          <w:rFonts w:ascii="Georgia" w:cs="Georgia" w:eastAsia="Georgia" w:hAnsi="Georgia"/>
          <w:b/>
          <w:bCs/>
          <w:color w:val="1F3864"/>
          <w:sz w:val="27"/>
          <w:szCs w:val="27"/>
        </w:rPr>
        <w:t xml:space="preserve">1.  The short version</w:t>
      </w:r>
    </w:p>
    <w:p>
      <w:pPr>
        <w:spacing w:after="140" w:before="0" w:line="288"/>
        <w:jc w:val="left"/>
      </w:pPr>
      <w:r>
        <w:rPr>
          <w:rFonts w:ascii="Calibri" w:cs="Calibri" w:eastAsia="Calibri" w:hAnsi="Calibri"/>
          <w:b w:val="false"/>
          <w:bCs w:val="false"/>
          <w:i w:val="false"/>
          <w:iCs w:val="false"/>
          <w:color w:val="1A1A1A"/>
          <w:sz w:val="21"/>
          <w:szCs w:val="21"/>
        </w:rPr>
        <w:t xml:space="preserve">The India–UK Comprehensive Economic and Trade Agreement (“CETA” — the formal name for the India–UK free trade agreement) comes into force today, 15 July 2026. In one line: it removes most of the import duty that has, until now, sat on goods crossing between the two countries. Whether that helps you, and how soon, depends on which direction you trade in.</w:t>
      </w:r>
    </w:p>
    <w:p>
      <w:pPr>
        <w:pStyle w:val="ListParagraph"/>
        <w:numPr>
          <w:ilvl w:val="0"/>
          <w:numId w:val="2"/>
        </w:numPr>
        <w:spacing w:after="70" w:line="276"/>
      </w:pPr>
      <w:r>
        <w:rPr>
          <w:rFonts w:ascii="Calibri" w:cs="Calibri" w:eastAsia="Calibri" w:hAnsi="Calibri"/>
          <w:b/>
          <w:bCs/>
          <w:color w:val="1A1A1A"/>
          <w:sz w:val="19"/>
          <w:szCs w:val="19"/>
        </w:rPr>
        <w:t xml:space="preserve">If you export from India to the UK: </w:t>
      </w:r>
      <w:r>
        <w:rPr>
          <w:rFonts w:ascii="Calibri" w:cs="Calibri" w:eastAsia="Calibri" w:hAnsi="Calibri"/>
          <w:b w:val="false"/>
          <w:bCs w:val="false"/>
          <w:color w:val="1A1A1A"/>
          <w:sz w:val="19"/>
          <w:szCs w:val="19"/>
        </w:rPr>
        <w:t xml:space="preserve">the UK drops import duty to zero on about 99% of Indian goods </w:t>
      </w:r>
      <w:r>
        <w:rPr>
          <w:rFonts w:ascii="Calibri" w:cs="Calibri" w:eastAsia="Calibri" w:hAnsi="Calibri"/>
          <w:b/>
          <w:bCs/>
          <w:color w:val="1A1A1A"/>
          <w:sz w:val="19"/>
          <w:szCs w:val="19"/>
        </w:rPr>
        <w:t xml:space="preserve">from day one</w:t>
      </w:r>
      <w:r>
        <w:rPr>
          <w:rFonts w:ascii="Calibri" w:cs="Calibri" w:eastAsia="Calibri" w:hAnsi="Calibri"/>
          <w:b w:val="false"/>
          <w:bCs w:val="false"/>
          <w:color w:val="1A1A1A"/>
          <w:sz w:val="19"/>
          <w:szCs w:val="19"/>
        </w:rPr>
        <w:t xml:space="preserve">. Duties that reached 70% on some processed foods, and 8–21% on marine products, engineering goods, leather and textiles, are gone immediately. This is the side with the bigger, faster win.</w:t>
      </w:r>
    </w:p>
    <w:p>
      <w:pPr>
        <w:pStyle w:val="ListParagraph"/>
        <w:numPr>
          <w:ilvl w:val="0"/>
          <w:numId w:val="2"/>
        </w:numPr>
        <w:spacing w:after="70" w:line="276"/>
      </w:pPr>
      <w:r>
        <w:rPr>
          <w:rFonts w:ascii="Calibri" w:cs="Calibri" w:eastAsia="Calibri" w:hAnsi="Calibri"/>
          <w:b/>
          <w:bCs/>
          <w:color w:val="1A1A1A"/>
          <w:sz w:val="19"/>
          <w:szCs w:val="19"/>
        </w:rPr>
        <w:t xml:space="preserve">If you import from the UK into India: </w:t>
      </w:r>
      <w:r>
        <w:rPr>
          <w:rFonts w:ascii="Calibri" w:cs="Calibri" w:eastAsia="Calibri" w:hAnsi="Calibri"/>
          <w:b w:val="false"/>
          <w:bCs w:val="false"/>
          <w:color w:val="1A1A1A"/>
          <w:sz w:val="19"/>
          <w:szCs w:val="19"/>
        </w:rPr>
        <w:t xml:space="preserve">India is also opening up, but </w:t>
      </w:r>
      <w:r>
        <w:rPr>
          <w:rFonts w:ascii="Calibri" w:cs="Calibri" w:eastAsia="Calibri" w:hAnsi="Calibri"/>
          <w:b/>
          <w:bCs/>
          <w:color w:val="1A1A1A"/>
          <w:sz w:val="19"/>
          <w:szCs w:val="19"/>
        </w:rPr>
        <w:t xml:space="preserve">mostly gradually</w:t>
      </w:r>
      <w:r>
        <w:rPr>
          <w:rFonts w:ascii="Calibri" w:cs="Calibri" w:eastAsia="Calibri" w:hAnsi="Calibri"/>
          <w:b w:val="false"/>
          <w:bCs w:val="false"/>
          <w:color w:val="1A1A1A"/>
          <w:sz w:val="19"/>
          <w:szCs w:val="19"/>
        </w:rPr>
        <w:t xml:space="preserve">. Only about a quarter of UK goods (by value) get duty-free entry on day one; the rest is phased over 5, 7 or 10 years, and the sensitive items — cars and spirits — come in under annual quotas and price conditions.</w:t>
      </w:r>
    </w:p>
    <w:p>
      <w:pPr>
        <w:pStyle w:val="ListParagraph"/>
        <w:numPr>
          <w:ilvl w:val="0"/>
          <w:numId w:val="2"/>
        </w:numPr>
        <w:spacing w:after="70" w:line="276"/>
      </w:pPr>
      <w:r>
        <w:rPr>
          <w:rFonts w:ascii="Calibri" w:cs="Calibri" w:eastAsia="Calibri" w:hAnsi="Calibri"/>
          <w:b/>
          <w:bCs/>
          <w:color w:val="1A1A1A"/>
          <w:sz w:val="19"/>
          <w:szCs w:val="19"/>
        </w:rPr>
        <w:t xml:space="preserve">The saving is not automatic. </w:t>
      </w:r>
      <w:r>
        <w:rPr>
          <w:rFonts w:ascii="Calibri" w:cs="Calibri" w:eastAsia="Calibri" w:hAnsi="Calibri"/>
          <w:b w:val="false"/>
          <w:bCs w:val="false"/>
          <w:color w:val="1A1A1A"/>
          <w:sz w:val="19"/>
          <w:szCs w:val="19"/>
        </w:rPr>
        <w:t xml:space="preserve">To pay the lower duty at the border, your goods must meet the </w:t>
      </w:r>
      <w:r>
        <w:rPr>
          <w:rFonts w:ascii="Calibri" w:cs="Calibri" w:eastAsia="Calibri" w:hAnsi="Calibri"/>
          <w:b/>
          <w:bCs/>
          <w:color w:val="1A1A1A"/>
          <w:sz w:val="19"/>
          <w:szCs w:val="19"/>
        </w:rPr>
        <w:t xml:space="preserve">Rules of Origin</w:t>
      </w:r>
      <w:r>
        <w:rPr>
          <w:rFonts w:ascii="Calibri" w:cs="Calibri" w:eastAsia="Calibri" w:hAnsi="Calibri"/>
          <w:b w:val="false"/>
          <w:bCs w:val="false"/>
          <w:color w:val="1A1A1A"/>
          <w:sz w:val="19"/>
          <w:szCs w:val="19"/>
        </w:rPr>
        <w:t xml:space="preserve"> (proof that the goods are genuinely “made in” India or the UK, not just routed through) and travel with the correct origin paperwork. This is where most of the compliance work — and most of the risk of getting it wrong — now sits.</w:t>
      </w:r>
    </w:p>
    <w:p>
      <w:pPr>
        <w:pStyle w:val="ListParagraph"/>
        <w:numPr>
          <w:ilvl w:val="0"/>
          <w:numId w:val="2"/>
        </w:numPr>
        <w:spacing w:after="70" w:line="276"/>
      </w:pPr>
      <w:r>
        <w:rPr>
          <w:rFonts w:ascii="Calibri" w:cs="Calibri" w:eastAsia="Calibri" w:hAnsi="Calibri"/>
          <w:b/>
          <w:bCs/>
          <w:color w:val="1A1A1A"/>
          <w:sz w:val="19"/>
          <w:szCs w:val="19"/>
        </w:rPr>
        <w:t xml:space="preserve">Your tax position does not change. </w:t>
      </w:r>
      <w:r>
        <w:rPr>
          <w:rFonts w:ascii="Calibri" w:cs="Calibri" w:eastAsia="Calibri" w:hAnsi="Calibri"/>
          <w:b w:val="false"/>
          <w:bCs w:val="false"/>
          <w:color w:val="1A1A1A"/>
          <w:sz w:val="19"/>
          <w:szCs w:val="19"/>
        </w:rPr>
        <w:t xml:space="preserve">CETA does not touch GST or customs valuation. What changes is your </w:t>
      </w:r>
      <w:r>
        <w:rPr>
          <w:rFonts w:ascii="Calibri" w:cs="Calibri" w:eastAsia="Calibri" w:hAnsi="Calibri"/>
          <w:b/>
          <w:bCs/>
          <w:color w:val="1A1A1A"/>
          <w:sz w:val="19"/>
          <w:szCs w:val="19"/>
        </w:rPr>
        <w:t xml:space="preserve">landed cost</w:t>
      </w:r>
      <w:r>
        <w:rPr>
          <w:rFonts w:ascii="Calibri" w:cs="Calibri" w:eastAsia="Calibri" w:hAnsi="Calibri"/>
          <w:b w:val="false"/>
          <w:bCs w:val="false"/>
          <w:color w:val="1A1A1A"/>
          <w:sz w:val="19"/>
          <w:szCs w:val="19"/>
        </w:rPr>
        <w:t xml:space="preserve"> (the all-in cost of getting goods to the buyer, including duty), and therefore your pricing and margins.</w:t>
      </w:r>
    </w:p>
    <w:p>
      <w:pPr>
        <w:pStyle w:val="Heading1"/>
        <w:keepNext/>
        <w:pBdr>
          <w:bottom w:val="single" w:color="1F3864" w:sz="10" w:space="4"/>
        </w:pBdr>
        <w:spacing w:after="130" w:before="260"/>
      </w:pPr>
      <w:r>
        <w:rPr>
          <w:rFonts w:ascii="Georgia" w:cs="Georgia" w:eastAsia="Georgia" w:hAnsi="Georgia"/>
          <w:b/>
          <w:bCs/>
          <w:color w:val="1F3864"/>
          <w:sz w:val="27"/>
          <w:szCs w:val="27"/>
        </w:rPr>
        <w:t xml:space="preserve">2.  The relationship today — one clean set of numbers</w:t>
      </w:r>
    </w:p>
    <w:p>
      <w:pPr>
        <w:spacing w:after="140" w:before="0" w:line="288"/>
        <w:jc w:val="left"/>
      </w:pPr>
      <w:r>
        <w:rPr>
          <w:rFonts w:ascii="Calibri" w:cs="Calibri" w:eastAsia="Calibri" w:hAnsi="Calibri"/>
          <w:b w:val="false"/>
          <w:bCs w:val="false"/>
          <w:i w:val="false"/>
          <w:iCs w:val="false"/>
          <w:color w:val="1A1A1A"/>
          <w:sz w:val="21"/>
          <w:szCs w:val="21"/>
        </w:rPr>
        <w:t xml:space="preserve">Before looking at what changes, it helps to see where the two countries actually stand. The figures below are all from the same official UK source (Department for Business &amp; Trade, June 2026), so exports and imports, and goods and services, are directly comparable — they are not stitched together from different places.</w:t>
      </w:r>
    </w:p>
    <w:tbl>
      <w:tblPr>
        <w:tblW w:type="dxa" w:w="8760"/>
        <w:tblBorders>
          <w:top w:val="single" w:color="BFBFBF" w:sz="4"/>
          <w:left w:val="none"/>
          <w:bottom w:val="single" w:color="BFBFBF" w:sz="4"/>
          <w:right w:val="none"/>
          <w:insideH w:val="single" w:color="D9D9D9" w:sz="2"/>
          <w:insideV w:val="single" w:color="E4E4E4" w:sz="2"/>
        </w:tblBorders>
      </w:tblPr>
      <w:tblGrid>
        <w:gridCol w:w="3200"/>
        <w:gridCol w:w="2000"/>
        <w:gridCol w:w="2000"/>
        <w:gridCol w:w="1560"/>
      </w:tblGrid>
      <w:tr>
        <w:trPr>
          <w:tblHeader/>
        </w:trPr>
        <w:tc>
          <w:tcPr>
            <w:tcW w:type="dxa" w:w="320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Trade with India (12 months to end-2025)</w:t>
            </w:r>
          </w:p>
        </w:tc>
        <w:tc>
          <w:tcPr>
            <w:tcW w:type="dxa" w:w="200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Value</w:t>
            </w:r>
          </w:p>
        </w:tc>
        <w:tc>
          <w:tcPr>
            <w:tcW w:type="dxa" w:w="200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Change vs prior year</w:t>
            </w:r>
          </w:p>
        </w:tc>
        <w:tc>
          <w:tcPr>
            <w:tcW w:type="dxa" w:w="156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Share / rank</w:t>
            </w:r>
          </w:p>
        </w:tc>
      </w:tr>
      <w:tr>
        <w:tc>
          <w:tcPr>
            <w:tcW w:type="dxa" w:w="32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Total trade (goods + services)</w:t>
            </w:r>
          </w:p>
        </w:tc>
        <w:tc>
          <w:tcPr>
            <w:tcW w:type="dxa" w:w="2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£47.9 bn</w:t>
            </w:r>
          </w:p>
        </w:tc>
        <w:tc>
          <w:tcPr>
            <w:tcW w:type="dxa" w:w="2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+10.0%</w:t>
            </w:r>
          </w:p>
        </w:tc>
        <w:tc>
          <w:tcPr>
            <w:tcW w:type="dxa" w:w="15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UK’s 11th partner</w:t>
            </w:r>
          </w:p>
        </w:tc>
      </w:tr>
      <w:tr>
        <w:tc>
          <w:tcPr>
            <w:tcW w:type="dxa" w:w="32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UK exports to India</w:t>
            </w:r>
          </w:p>
        </w:tc>
        <w:tc>
          <w:tcPr>
            <w:tcW w:type="dxa" w:w="20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£19.3 bn</w:t>
            </w:r>
          </w:p>
        </w:tc>
        <w:tc>
          <w:tcPr>
            <w:tcW w:type="dxa" w:w="20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+15.4%</w:t>
            </w:r>
          </w:p>
        </w:tc>
        <w:tc>
          <w:tcPr>
            <w:tcW w:type="dxa" w:w="156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w:t>
            </w:r>
          </w:p>
        </w:tc>
      </w:tr>
      <w:tr>
        <w:tc>
          <w:tcPr>
            <w:tcW w:type="dxa" w:w="32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  – of which goods</w:t>
            </w:r>
          </w:p>
        </w:tc>
        <w:tc>
          <w:tcPr>
            <w:tcW w:type="dxa" w:w="2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£5.9 bn</w:t>
            </w:r>
          </w:p>
        </w:tc>
        <w:tc>
          <w:tcPr>
            <w:tcW w:type="dxa" w:w="2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−3.7%</w:t>
            </w:r>
          </w:p>
        </w:tc>
        <w:tc>
          <w:tcPr>
            <w:tcW w:type="dxa" w:w="15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30.7%</w:t>
            </w:r>
          </w:p>
        </w:tc>
      </w:tr>
      <w:tr>
        <w:tc>
          <w:tcPr>
            <w:tcW w:type="dxa" w:w="32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  – of which services</w:t>
            </w:r>
          </w:p>
        </w:tc>
        <w:tc>
          <w:tcPr>
            <w:tcW w:type="dxa" w:w="20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£13.3 bn</w:t>
            </w:r>
          </w:p>
        </w:tc>
        <w:tc>
          <w:tcPr>
            <w:tcW w:type="dxa" w:w="20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+26.4%</w:t>
            </w:r>
          </w:p>
        </w:tc>
        <w:tc>
          <w:tcPr>
            <w:tcW w:type="dxa" w:w="156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69.3%</w:t>
            </w:r>
          </w:p>
        </w:tc>
      </w:tr>
      <w:tr>
        <w:tc>
          <w:tcPr>
            <w:tcW w:type="dxa" w:w="32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UK imports from India</w:t>
            </w:r>
          </w:p>
        </w:tc>
        <w:tc>
          <w:tcPr>
            <w:tcW w:type="dxa" w:w="2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£28.7 bn</w:t>
            </w:r>
          </w:p>
        </w:tc>
        <w:tc>
          <w:tcPr>
            <w:tcW w:type="dxa" w:w="2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+6.6%</w:t>
            </w:r>
          </w:p>
        </w:tc>
        <w:tc>
          <w:tcPr>
            <w:tcW w:type="dxa" w:w="15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w:t>
            </w:r>
          </w:p>
        </w:tc>
      </w:tr>
      <w:tr>
        <w:tc>
          <w:tcPr>
            <w:tcW w:type="dxa" w:w="32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  – of which goods</w:t>
            </w:r>
          </w:p>
        </w:tc>
        <w:tc>
          <w:tcPr>
            <w:tcW w:type="dxa" w:w="20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£11.2 bn</w:t>
            </w:r>
          </w:p>
        </w:tc>
        <w:tc>
          <w:tcPr>
            <w:tcW w:type="dxa" w:w="20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+1.7%</w:t>
            </w:r>
          </w:p>
        </w:tc>
        <w:tc>
          <w:tcPr>
            <w:tcW w:type="dxa" w:w="156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39.0%</w:t>
            </w:r>
          </w:p>
        </w:tc>
      </w:tr>
      <w:tr>
        <w:tc>
          <w:tcPr>
            <w:tcW w:type="dxa" w:w="32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  – of which services</w:t>
            </w:r>
          </w:p>
        </w:tc>
        <w:tc>
          <w:tcPr>
            <w:tcW w:type="dxa" w:w="2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£17.5 bn</w:t>
            </w:r>
          </w:p>
        </w:tc>
        <w:tc>
          <w:tcPr>
            <w:tcW w:type="dxa" w:w="2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+10.0%</w:t>
            </w:r>
          </w:p>
        </w:tc>
        <w:tc>
          <w:tcPr>
            <w:tcW w:type="dxa" w:w="15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61.0%</w:t>
            </w:r>
          </w:p>
        </w:tc>
      </w:tr>
    </w:tbl>
    <w:p>
      <w:pPr>
        <w:spacing w:after="150" w:before="40"/>
      </w:pPr>
      <w:r>
        <w:rPr>
          <w:rFonts w:ascii="Calibri" w:cs="Calibri" w:eastAsia="Calibri" w:hAnsi="Calibri"/>
          <w:i/>
          <w:iCs/>
          <w:color w:val="595959"/>
          <w:sz w:val="16"/>
          <w:szCs w:val="16"/>
        </w:rPr>
        <w:t xml:space="preserve">Source: UK Department for Business &amp; Trade, Trade and Investment Factsheet: India, 23 June 2026 (ONS data, seasonally adjusted). “bn” = billion.</w:t>
      </w:r>
    </w:p>
    <w:p>
      <w:pPr>
        <w:spacing w:after="140" w:before="0" w:line="288"/>
        <w:jc w:val="left"/>
      </w:pPr>
      <w:r>
        <w:rPr>
          <w:rFonts w:ascii="Calibri" w:cs="Calibri" w:eastAsia="Calibri" w:hAnsi="Calibri"/>
          <w:b w:val="false"/>
          <w:bCs w:val="false"/>
          <w:i w:val="false"/>
          <w:iCs w:val="false"/>
          <w:color w:val="1A1A1A"/>
          <w:sz w:val="21"/>
          <w:szCs w:val="21"/>
        </w:rPr>
        <w:t xml:space="preserve">Two things stand out, and both matter commercially. First, the UK buys far more from India than it sells (a trade surplus for India of roughly £9.4 billion). Second, for both countries the relationship is now driven by services, not goods — services are the larger half in each direction. So while the headlines are about tariffs on goods, a large part of the real value in this relationship is in services, which we cover in Section 6.</w:t>
      </w:r>
    </w:p>
    <w:p>
      <w:pPr>
        <w:pStyle w:val="Heading2"/>
        <w:keepNext/>
        <w:spacing w:after="90" w:before="190"/>
      </w:pPr>
      <w:r>
        <w:rPr>
          <w:rFonts w:ascii="Calibri" w:cs="Calibri" w:eastAsia="Calibri" w:hAnsi="Calibri"/>
          <w:b/>
          <w:bCs/>
          <w:color w:val="2E4A7A"/>
          <w:sz w:val="22"/>
          <w:szCs w:val="22"/>
        </w:rPr>
        <w:t xml:space="preserve">What actually crosses the border</w:t>
      </w:r>
    </w:p>
    <w:p>
      <w:pPr>
        <w:spacing w:after="140" w:before="0" w:line="288"/>
        <w:jc w:val="left"/>
      </w:pPr>
      <w:r>
        <w:rPr>
          <w:rFonts w:ascii="Calibri" w:cs="Calibri" w:eastAsia="Calibri" w:hAnsi="Calibri"/>
          <w:b w:val="false"/>
          <w:bCs w:val="false"/>
          <w:i w:val="false"/>
          <w:iCs w:val="false"/>
          <w:color w:val="1A1A1A"/>
          <w:sz w:val="21"/>
          <w:szCs w:val="21"/>
        </w:rPr>
        <w:t xml:space="preserve">The same source lists the leading products in each direction. This tells you which sectors have the most at stake.</w:t>
      </w:r>
    </w:p>
    <w:tbl>
      <w:tblPr>
        <w:tblW w:type="dxa" w:w="8760"/>
        <w:tblBorders>
          <w:top w:val="single" w:color="BFBFBF" w:sz="4"/>
          <w:left w:val="none"/>
          <w:bottom w:val="single" w:color="BFBFBF" w:sz="4"/>
          <w:right w:val="none"/>
          <w:insideH w:val="single" w:color="D9D9D9" w:sz="2"/>
          <w:insideV w:val="single" w:color="E4E4E4" w:sz="2"/>
        </w:tblBorders>
      </w:tblPr>
      <w:tblGrid>
        <w:gridCol w:w="4380"/>
        <w:gridCol w:w="4380"/>
      </w:tblGrid>
      <w:tr>
        <w:trPr>
          <w:tblHeader/>
        </w:trPr>
        <w:tc>
          <w:tcPr>
            <w:tcW w:type="dxa" w:w="438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Top goods the UK buys FROM India</w:t>
            </w:r>
          </w:p>
        </w:tc>
        <w:tc>
          <w:tcPr>
            <w:tcW w:type="dxa" w:w="438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Top goods the UK sells TO India</w:t>
            </w:r>
          </w:p>
        </w:tc>
      </w:tr>
      <w:tr>
        <w:tc>
          <w:tcPr>
            <w:tcW w:type="dxa" w:w="438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Mechanical power generators — £1.0 bn</w:t>
            </w:r>
          </w:p>
        </w:tc>
        <w:tc>
          <w:tcPr>
            <w:tcW w:type="dxa" w:w="438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Metal ores &amp; scrap — £815.9 m</w:t>
            </w:r>
          </w:p>
        </w:tc>
      </w:tr>
      <w:tr>
        <w:tc>
          <w:tcPr>
            <w:tcW w:type="dxa" w:w="438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Refined oil — £987.2 m</w:t>
            </w:r>
          </w:p>
        </w:tc>
        <w:tc>
          <w:tcPr>
            <w:tcW w:type="dxa" w:w="438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Mechanical power generators — £680.8 m</w:t>
            </w:r>
          </w:p>
        </w:tc>
      </w:tr>
      <w:tr>
        <w:tc>
          <w:tcPr>
            <w:tcW w:type="dxa" w:w="438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Clothing — £952.5 m</w:t>
            </w:r>
          </w:p>
        </w:tc>
        <w:tc>
          <w:tcPr>
            <w:tcW w:type="dxa" w:w="438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Non-ferrous metals — £556.7 m</w:t>
            </w:r>
          </w:p>
        </w:tc>
      </w:tr>
      <w:tr>
        <w:tc>
          <w:tcPr>
            <w:tcW w:type="dxa" w:w="438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Medicinal &amp; pharmaceutical products — £704.3 m</w:t>
            </w:r>
          </w:p>
        </w:tc>
        <w:tc>
          <w:tcPr>
            <w:tcW w:type="dxa" w:w="438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Beverages &amp; tobacco — £302.2 m</w:t>
            </w:r>
          </w:p>
        </w:tc>
      </w:tr>
      <w:tr>
        <w:tc>
          <w:tcPr>
            <w:tcW w:type="dxa" w:w="438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Organic chemicals — £600.9 m</w:t>
            </w:r>
          </w:p>
        </w:tc>
        <w:tc>
          <w:tcPr>
            <w:tcW w:type="dxa" w:w="438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General industrial machinery — £276.4 m</w:t>
            </w:r>
          </w:p>
        </w:tc>
      </w:tr>
    </w:tbl>
    <w:p>
      <w:pPr>
        <w:spacing w:after="150" w:before="40"/>
      </w:pPr>
      <w:r>
        <w:rPr>
          <w:rFonts w:ascii="Calibri" w:cs="Calibri" w:eastAsia="Calibri" w:hAnsi="Calibri"/>
          <w:i/>
          <w:iCs/>
          <w:color w:val="595959"/>
          <w:sz w:val="16"/>
          <w:szCs w:val="16"/>
        </w:rPr>
        <w:t xml:space="preserve">Source: as above, ONS trade-in-goods by commodity, 12 months to end-2025. “m” = million.</w:t>
      </w:r>
    </w:p>
    <w:p>
      <w:pPr>
        <w:spacing w:after="140" w:before="0" w:line="288"/>
        <w:jc w:val="left"/>
      </w:pPr>
      <w:r>
        <w:rPr>
          <w:rFonts w:ascii="Calibri" w:cs="Calibri" w:eastAsia="Calibri" w:hAnsi="Calibri"/>
          <w:b w:val="false"/>
          <w:bCs w:val="false"/>
          <w:i w:val="false"/>
          <w:iCs w:val="false"/>
          <w:color w:val="1A1A1A"/>
          <w:sz w:val="21"/>
          <w:szCs w:val="21"/>
        </w:rPr>
        <w:t xml:space="preserve">If your business is in clothing/textiles, pharmaceuticals, chemicals, marine products, leather or engineering goods, you sit in the sectors where India’s duty-free access into the UK bites hardest — read Section 4. If you import UK spirits, cars, machinery or chemicals into India, read Section 5.</w:t>
      </w:r>
    </w:p>
    <w:p>
      <w:r>
        <w:br w:type="page"/>
      </w:r>
    </w:p>
    <w:p>
      <w:pPr>
        <w:pStyle w:val="Heading1"/>
        <w:keepNext/>
        <w:pBdr>
          <w:bottom w:val="single" w:color="1F3864" w:sz="10" w:space="4"/>
        </w:pBdr>
        <w:spacing w:after="130" w:before="260"/>
      </w:pPr>
      <w:r>
        <w:rPr>
          <w:rFonts w:ascii="Georgia" w:cs="Georgia" w:eastAsia="Georgia" w:hAnsi="Georgia"/>
          <w:b/>
          <w:bCs/>
          <w:color w:val="1F3864"/>
          <w:sz w:val="27"/>
          <w:szCs w:val="27"/>
        </w:rPr>
        <w:t xml:space="preserve">3.  CETA in plain terms</w:t>
      </w:r>
    </w:p>
    <w:p>
      <w:pPr>
        <w:spacing w:after="140" w:before="0" w:line="288"/>
        <w:jc w:val="left"/>
      </w:pPr>
      <w:r>
        <w:rPr>
          <w:rFonts w:ascii="Calibri" w:cs="Calibri" w:eastAsia="Calibri" w:hAnsi="Calibri"/>
          <w:b w:val="false"/>
          <w:bCs w:val="false"/>
          <w:i w:val="false"/>
          <w:iCs w:val="false"/>
          <w:color w:val="1A1A1A"/>
          <w:sz w:val="21"/>
          <w:szCs w:val="21"/>
        </w:rPr>
        <w:t xml:space="preserve">CETA is a bilateral free trade agreement — an agreement between two countries to make trade between them cheaper and simpler. It runs to 30 chapters and covers far more than tariffs: services, investment, digital trade, intellectual property, government purchasing and the movement of professionals. The parts most likely to affect your business are set out below.</w:t>
      </w:r>
    </w:p>
    <w:tbl>
      <w:tblPr>
        <w:tblW w:type="dxa" w:w="8760"/>
        <w:tblBorders>
          <w:top w:val="single" w:color="BFBFBF" w:sz="4"/>
          <w:left w:val="none"/>
          <w:bottom w:val="single" w:color="BFBFBF" w:sz="4"/>
          <w:right w:val="none"/>
          <w:insideH w:val="single" w:color="D9D9D9" w:sz="2"/>
          <w:insideV w:val="single" w:color="E4E4E4" w:sz="2"/>
        </w:tblBorders>
      </w:tblPr>
      <w:tblGrid>
        <w:gridCol w:w="2500"/>
        <w:gridCol w:w="6260"/>
      </w:tblGrid>
      <w:tr>
        <w:trPr>
          <w:tblHeader/>
        </w:trPr>
        <w:tc>
          <w:tcPr>
            <w:tcW w:type="dxa" w:w="250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Feature</w:t>
            </w:r>
          </w:p>
        </w:tc>
        <w:tc>
          <w:tcPr>
            <w:tcW w:type="dxa" w:w="626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What it means for you</w:t>
            </w:r>
          </w:p>
        </w:tc>
      </w:tr>
      <w:tr>
        <w:tc>
          <w:tcPr>
            <w:tcW w:type="dxa" w:w="2500"/>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Duty cuts on goods</w:t>
            </w:r>
          </w:p>
        </w:tc>
        <w:tc>
          <w:tcPr>
            <w:tcW w:type="dxa" w:w="6260"/>
            <w:tcMar>
              <w:top w:type="dxa" w:w="60"/>
              <w:left w:type="dxa" w:w="90"/>
              <w:bottom w:type="dxa" w:w="60"/>
              <w:right w:type="dxa" w:w="90"/>
            </w:tcMar>
            <w:vAlign w:val="top"/>
          </w:tcPr>
          <w:p>
            <w:pPr>
              <w:spacing w:after="0" w:before="0" w:line="276"/>
              <w:jc w:val="left"/>
            </w:pPr>
            <w:r>
              <w:rPr>
                <w:rFonts w:ascii="Calibri" w:cs="Calibri" w:eastAsia="Calibri" w:hAnsi="Calibri"/>
                <w:b w:val="false"/>
                <w:bCs w:val="false"/>
                <w:color w:val="1A1A1A"/>
                <w:sz w:val="19"/>
                <w:szCs w:val="19"/>
              </w:rPr>
              <w:t xml:space="preserve">The UK removes duty on ~99% of Indian goods immediately. India opens ~89.5% of its own tariff lines to UK goods, but mostly over time (see Sections 4–5). </w:t>
            </w:r>
            <w:r>
              <w:rPr>
                <w:rFonts w:ascii="Calibri" w:cs="Calibri" w:eastAsia="Calibri" w:hAnsi="Calibri"/>
                <w:b/>
                <w:bCs/>
                <w:color w:val="1A1A1A"/>
                <w:sz w:val="19"/>
                <w:szCs w:val="19"/>
              </w:rPr>
              <w:t xml:space="preserve">Reference: CETA Chapter 2 (Trade in Goods), Annex 2A tariff schedules.</w:t>
            </w:r>
          </w:p>
        </w:tc>
      </w:tr>
      <w:tr>
        <w:tc>
          <w:tcPr>
            <w:tcW w:type="dxa" w:w="2500"/>
            <w:shd w:fill="EDF1F7" w:color="auto" w:val="clear"/>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Rules of Origin</w:t>
            </w:r>
          </w:p>
        </w:tc>
        <w:tc>
          <w:tcPr>
            <w:tcW w:type="dxa" w:w="6260"/>
            <w:shd w:fill="EDF1F7" w:color="auto" w:val="clear"/>
            <w:tcMar>
              <w:top w:type="dxa" w:w="60"/>
              <w:left w:type="dxa" w:w="90"/>
              <w:bottom w:type="dxa" w:w="60"/>
              <w:right w:type="dxa" w:w="90"/>
            </w:tcMar>
            <w:vAlign w:val="top"/>
          </w:tcPr>
          <w:p>
            <w:pPr>
              <w:spacing w:after="0" w:before="0" w:line="276"/>
              <w:jc w:val="left"/>
            </w:pPr>
            <w:r>
              <w:rPr>
                <w:rFonts w:ascii="Calibri" w:cs="Calibri" w:eastAsia="Calibri" w:hAnsi="Calibri"/>
                <w:b w:val="false"/>
                <w:bCs w:val="false"/>
                <w:color w:val="1A1A1A"/>
                <w:sz w:val="19"/>
                <w:szCs w:val="19"/>
              </w:rPr>
              <w:t xml:space="preserve">The conditions a product must meet to count as “Indian” or “UK” and so qualify for the lower duty. Goods merely repackaged, relabelled or lightly assembled do </w:t>
            </w:r>
            <w:r>
              <w:rPr>
                <w:rFonts w:ascii="Calibri" w:cs="Calibri" w:eastAsia="Calibri" w:hAnsi="Calibri"/>
                <w:b w:val="false"/>
                <w:bCs w:val="false"/>
                <w:color w:val="1A1A1A"/>
                <w:sz w:val="19"/>
                <w:szCs w:val="19"/>
              </w:rPr>
              <w:t xml:space="preserve">not</w:t>
            </w:r>
            <w:r>
              <w:rPr>
                <w:rFonts w:ascii="Calibri" w:cs="Calibri" w:eastAsia="Calibri" w:hAnsi="Calibri"/>
                <w:b w:val="false"/>
                <w:bCs w:val="false"/>
                <w:color w:val="1A1A1A"/>
                <w:sz w:val="19"/>
                <w:szCs w:val="19"/>
              </w:rPr>
              <w:t xml:space="preserve"> qualify. </w:t>
            </w:r>
            <w:r>
              <w:rPr>
                <w:rFonts w:ascii="Calibri" w:cs="Calibri" w:eastAsia="Calibri" w:hAnsi="Calibri"/>
                <w:b/>
                <w:bCs/>
                <w:color w:val="1A1A1A"/>
                <w:sz w:val="19"/>
                <w:szCs w:val="19"/>
              </w:rPr>
              <w:t xml:space="preserve">Reference: CETA Chapter 3; India-side rules notified by CBIC on 3 July 2026 under the Customs Tariff Act, 1975.</w:t>
            </w:r>
          </w:p>
        </w:tc>
      </w:tr>
      <w:tr>
        <w:tc>
          <w:tcPr>
            <w:tcW w:type="dxa" w:w="2500"/>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Self-certification of origin</w:t>
            </w:r>
          </w:p>
        </w:tc>
        <w:tc>
          <w:tcPr>
            <w:tcW w:type="dxa" w:w="6260"/>
            <w:tcMar>
              <w:top w:type="dxa" w:w="60"/>
              <w:left w:type="dxa" w:w="90"/>
              <w:bottom w:type="dxa" w:w="60"/>
              <w:right w:type="dxa" w:w="90"/>
            </w:tcMar>
            <w:vAlign w:val="top"/>
          </w:tcPr>
          <w:p>
            <w:pPr>
              <w:spacing w:after="0" w:before="0" w:line="276"/>
              <w:jc w:val="left"/>
            </w:pPr>
            <w:r>
              <w:rPr>
                <w:rFonts w:ascii="Calibri" w:cs="Calibri" w:eastAsia="Calibri" w:hAnsi="Calibri"/>
                <w:b w:val="false"/>
                <w:bCs w:val="false"/>
                <w:color w:val="1A1A1A"/>
                <w:sz w:val="19"/>
                <w:szCs w:val="19"/>
              </w:rPr>
              <w:t xml:space="preserve">You can certify your own goods’ origin — no need, in most cases, for a chamber-of-commerce certificate. For imports into India, the UK exporter’s declaration is emailed to CBIC and the importer, a Unique Reference Number is issued, and that number goes on the Bill of Entry. </w:t>
            </w:r>
            <w:r>
              <w:rPr>
                <w:rFonts w:ascii="Calibri" w:cs="Calibri" w:eastAsia="Calibri" w:hAnsi="Calibri"/>
                <w:b/>
                <w:bCs/>
                <w:color w:val="1A1A1A"/>
                <w:sz w:val="19"/>
                <w:szCs w:val="19"/>
              </w:rPr>
              <w:t xml:space="preserve">Reference: CBIC Circular No. 33/2026-Customs, 13 July 2026.</w:t>
            </w:r>
          </w:p>
        </w:tc>
      </w:tr>
      <w:tr>
        <w:tc>
          <w:tcPr>
            <w:tcW w:type="dxa" w:w="2500"/>
            <w:shd w:fill="EDF1F7" w:color="auto" w:val="clear"/>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Faster customs</w:t>
            </w:r>
          </w:p>
        </w:tc>
        <w:tc>
          <w:tcPr>
            <w:tcW w:type="dxa" w:w="6260"/>
            <w:shd w:fill="EDF1F7" w:color="auto" w:val="clear"/>
            <w:tcMar>
              <w:top w:type="dxa" w:w="60"/>
              <w:left w:type="dxa" w:w="90"/>
              <w:bottom w:type="dxa" w:w="60"/>
              <w:right w:type="dxa" w:w="90"/>
            </w:tcMar>
            <w:vAlign w:val="top"/>
          </w:tcPr>
          <w:p>
            <w:pPr>
              <w:spacing w:after="0" w:before="0" w:line="276"/>
              <w:jc w:val="left"/>
            </w:pPr>
            <w:r>
              <w:rPr>
                <w:rFonts w:ascii="Calibri" w:cs="Calibri" w:eastAsia="Calibri" w:hAnsi="Calibri"/>
                <w:b w:val="false"/>
                <w:bCs w:val="false"/>
                <w:color w:val="1A1A1A"/>
                <w:sz w:val="19"/>
                <w:szCs w:val="19"/>
              </w:rPr>
              <w:t xml:space="preserve">Simplified procedures, digital clearance, and a target to release compliant goods within 48 hours. Traders with Authorised Economic Operator (AEO) status get the smoothest treatment. </w:t>
            </w:r>
            <w:r>
              <w:rPr>
                <w:rFonts w:ascii="Calibri" w:cs="Calibri" w:eastAsia="Calibri" w:hAnsi="Calibri"/>
                <w:b/>
                <w:bCs/>
                <w:color w:val="1A1A1A"/>
                <w:sz w:val="19"/>
                <w:szCs w:val="19"/>
              </w:rPr>
              <w:t xml:space="preserve">Reference: CETA Chapter 5 (Customs and Trade Facilitation).</w:t>
            </w:r>
          </w:p>
        </w:tc>
      </w:tr>
      <w:tr>
        <w:tc>
          <w:tcPr>
            <w:tcW w:type="dxa" w:w="2500"/>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Services &amp; professionals</w:t>
            </w:r>
          </w:p>
        </w:tc>
        <w:tc>
          <w:tcPr>
            <w:tcW w:type="dxa" w:w="6260"/>
            <w:tcMar>
              <w:top w:type="dxa" w:w="60"/>
              <w:left w:type="dxa" w:w="90"/>
              <w:bottom w:type="dxa" w:w="60"/>
              <w:right w:type="dxa" w:w="90"/>
            </w:tcMar>
            <w:vAlign w:val="top"/>
          </w:tcPr>
          <w:p>
            <w:pPr>
              <w:spacing w:after="0" w:before="0" w:line="276"/>
              <w:jc w:val="left"/>
            </w:pPr>
            <w:r>
              <w:rPr>
                <w:rFonts w:ascii="Calibri" w:cs="Calibri" w:eastAsia="Calibri" w:hAnsi="Calibri"/>
                <w:b w:val="false"/>
                <w:bCs w:val="false"/>
                <w:color w:val="1A1A1A"/>
                <w:sz w:val="19"/>
                <w:szCs w:val="19"/>
              </w:rPr>
              <w:t xml:space="preserve">Wide UK market access for Indian services, plus clear visa routes for Indian professionals and a social-security saving (Section 6). </w:t>
            </w:r>
            <w:r>
              <w:rPr>
                <w:rFonts w:ascii="Calibri" w:cs="Calibri" w:eastAsia="Calibri" w:hAnsi="Calibri"/>
                <w:b/>
                <w:bCs/>
                <w:color w:val="1A1A1A"/>
                <w:sz w:val="19"/>
                <w:szCs w:val="19"/>
              </w:rPr>
              <w:t xml:space="preserve">Reference: CETA Chapters 8–10; Double Contribution Convention.</w:t>
            </w:r>
          </w:p>
        </w:tc>
      </w:tr>
      <w:tr>
        <w:tc>
          <w:tcPr>
            <w:tcW w:type="dxa" w:w="2500"/>
            <w:shd w:fill="EDF1F7" w:color="auto" w:val="clear"/>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What it does NOT do</w:t>
            </w:r>
          </w:p>
        </w:tc>
        <w:tc>
          <w:tcPr>
            <w:tcW w:type="dxa" w:w="6260"/>
            <w:shd w:fill="EDF1F7" w:color="auto" w:val="clear"/>
            <w:tcMar>
              <w:top w:type="dxa" w:w="60"/>
              <w:left w:type="dxa" w:w="90"/>
              <w:bottom w:type="dxa" w:w="60"/>
              <w:right w:type="dxa" w:w="90"/>
            </w:tcMar>
            <w:vAlign w:val="top"/>
          </w:tcPr>
          <w:p>
            <w:pPr>
              <w:spacing w:after="0" w:before="0" w:line="276"/>
              <w:jc w:val="left"/>
            </w:pPr>
            <w:r>
              <w:rPr>
                <w:rFonts w:ascii="Calibri" w:cs="Calibri" w:eastAsia="Calibri" w:hAnsi="Calibri"/>
                <w:b w:val="false"/>
                <w:bCs w:val="false"/>
                <w:color w:val="1A1A1A"/>
                <w:sz w:val="19"/>
                <w:szCs w:val="19"/>
              </w:rPr>
              <w:t xml:space="preserve">It does not change GST or customs valuation, does not remove product-safety/quality rules, and does not (yet) give full investor protection — a separate Bilateral Investment Treaty is still being negotiated.</w:t>
            </w:r>
          </w:p>
        </w:tc>
      </w:tr>
    </w:tbl>
    <w:p>
      <w:pPr>
        <w:pBdr>
          <w:top w:val="single" w:color="F0E0BE" w:sz="4" w:space="4"/>
          <w:bottom w:val="single" w:color="F0E0BE" w:sz="4" w:space="4"/>
          <w:left w:val="single" w:color="D9A441" w:sz="18" w:space="6"/>
          <w:right w:val="single" w:color="F0E0BE" w:sz="4" w:space="4"/>
        </w:pBdr>
        <w:shd w:fill="FFF7E6" w:color="auto" w:val="clear"/>
        <w:spacing w:after="130" w:before="60" w:line="264"/>
        <w:ind w:left="120" w:right="120"/>
      </w:pPr>
      <w:r>
        <w:rPr>
          <w:rFonts w:ascii="Calibri" w:cs="Calibri" w:eastAsia="Calibri" w:hAnsi="Calibri"/>
          <w:b/>
          <w:bCs/>
          <w:color w:val="833C00"/>
          <w:sz w:val="18"/>
          <w:szCs w:val="18"/>
        </w:rPr>
        <w:t xml:space="preserve">Drafting note — for verification.  </w:t>
      </w:r>
      <w:r>
        <w:rPr>
          <w:rFonts w:ascii="Calibri" w:cs="Calibri" w:eastAsia="Calibri" w:hAnsi="Calibri"/>
          <w:i/>
          <w:iCs/>
          <w:color w:val="5A4A1E"/>
          <w:sz w:val="18"/>
          <w:szCs w:val="18"/>
        </w:rPr>
        <w:t xml:space="preserve">Chapter/Annex references above are to the published CETA text (India–UK CETA Combined, Table of Contents and Chapters 2, 3, 5, 8–10). The India-side Rules of Origin are the “Customs Tariff (Determination of Origin of Goods under CETA …) Rules, 2026”, CBIC notification dated 3 July 2026; self-certification mechanics are from CBIC Circular No. 33/2026-Customs dated 13 July 2026. Confirm the exact article numbers against the schedule before quoting to a client in writing.</w:t>
      </w:r>
    </w:p>
    <w:p>
      <w:r>
        <w:br w:type="page"/>
      </w:r>
    </w:p>
    <w:p>
      <w:pPr>
        <w:pStyle w:val="Heading1"/>
        <w:keepNext/>
        <w:pBdr>
          <w:bottom w:val="single" w:color="1F3864" w:sz="10" w:space="4"/>
        </w:pBdr>
        <w:spacing w:after="130" w:before="260"/>
      </w:pPr>
      <w:r>
        <w:rPr>
          <w:rFonts w:ascii="Georgia" w:cs="Georgia" w:eastAsia="Georgia" w:hAnsi="Georgia"/>
          <w:b/>
          <w:bCs/>
          <w:color w:val="1F3864"/>
          <w:sz w:val="27"/>
          <w:szCs w:val="27"/>
        </w:rPr>
        <w:t xml:space="preserve">4.  If you export from India to the UK</w:t>
      </w:r>
    </w:p>
    <w:p>
      <w:pPr>
        <w:spacing w:after="140" w:before="0" w:line="288"/>
        <w:jc w:val="left"/>
      </w:pPr>
      <w:r>
        <w:rPr>
          <w:rFonts w:ascii="Calibri" w:cs="Calibri" w:eastAsia="Calibri" w:hAnsi="Calibri"/>
          <w:b w:val="false"/>
          <w:bCs w:val="false"/>
          <w:i w:val="false"/>
          <w:iCs w:val="false"/>
          <w:color w:val="1A1A1A"/>
          <w:sz w:val="21"/>
          <w:szCs w:val="21"/>
        </w:rPr>
        <w:t xml:space="preserve">This is the side with the immediate benefit. From today, the UK charges no import duty on the covered Indian goods below. “Up to” means the duty varied by product within the sector before CETA; after CETA the whole covered basket goes to zero at once.</w:t>
      </w:r>
    </w:p>
    <w:tbl>
      <w:tblPr>
        <w:tblW w:type="dxa" w:w="8760"/>
        <w:tblBorders>
          <w:top w:val="single" w:color="BFBFBF" w:sz="4"/>
          <w:left w:val="none"/>
          <w:bottom w:val="single" w:color="BFBFBF" w:sz="4"/>
          <w:right w:val="none"/>
          <w:insideH w:val="single" w:color="D9D9D9" w:sz="2"/>
          <w:insideV w:val="single" w:color="E4E4E4" w:sz="2"/>
        </w:tblBorders>
      </w:tblPr>
      <w:tblGrid>
        <w:gridCol w:w="3000"/>
        <w:gridCol w:w="1900"/>
        <w:gridCol w:w="1500"/>
        <w:gridCol w:w="2360"/>
      </w:tblGrid>
      <w:tr>
        <w:trPr>
          <w:tblHeader/>
        </w:trPr>
        <w:tc>
          <w:tcPr>
            <w:tcW w:type="dxa" w:w="300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Sector (India → UK)</w:t>
            </w:r>
          </w:p>
        </w:tc>
        <w:tc>
          <w:tcPr>
            <w:tcW w:type="dxa" w:w="190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UK duty before</w:t>
            </w:r>
          </w:p>
        </w:tc>
        <w:tc>
          <w:tcPr>
            <w:tcW w:type="dxa" w:w="150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UK duty now</w:t>
            </w:r>
          </w:p>
        </w:tc>
        <w:tc>
          <w:tcPr>
            <w:tcW w:type="dxa" w:w="236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When</w:t>
            </w:r>
          </w:p>
        </w:tc>
      </w:tr>
      <w:tr>
        <w:tc>
          <w:tcPr>
            <w:tcW w:type="dxa" w:w="3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Processed foods</w:t>
            </w:r>
          </w:p>
        </w:tc>
        <w:tc>
          <w:tcPr>
            <w:tcW w:type="dxa" w:w="19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up to 70%</w:t>
            </w:r>
          </w:p>
        </w:tc>
        <w:tc>
          <w:tcPr>
            <w:tcW w:type="dxa" w:w="15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0%</w:t>
            </w:r>
          </w:p>
        </w:tc>
        <w:tc>
          <w:tcPr>
            <w:tcW w:type="dxa" w:w="23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Immediate (15 Jul 2026)</w:t>
            </w:r>
          </w:p>
        </w:tc>
      </w:tr>
      <w:tr>
        <w:tc>
          <w:tcPr>
            <w:tcW w:type="dxa" w:w="30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Marine products (shrimp, fish, etc.)</w:t>
            </w:r>
          </w:p>
        </w:tc>
        <w:tc>
          <w:tcPr>
            <w:tcW w:type="dxa" w:w="19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up to 21.5%</w:t>
            </w:r>
          </w:p>
        </w:tc>
        <w:tc>
          <w:tcPr>
            <w:tcW w:type="dxa" w:w="15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0%</w:t>
            </w:r>
          </w:p>
        </w:tc>
        <w:tc>
          <w:tcPr>
            <w:tcW w:type="dxa" w:w="236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Immediate</w:t>
            </w:r>
          </w:p>
        </w:tc>
      </w:tr>
      <w:tr>
        <w:tc>
          <w:tcPr>
            <w:tcW w:type="dxa" w:w="3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Engineering goods &amp; auto components</w:t>
            </w:r>
          </w:p>
        </w:tc>
        <w:tc>
          <w:tcPr>
            <w:tcW w:type="dxa" w:w="19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up to 18%</w:t>
            </w:r>
          </w:p>
        </w:tc>
        <w:tc>
          <w:tcPr>
            <w:tcW w:type="dxa" w:w="15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0%</w:t>
            </w:r>
          </w:p>
        </w:tc>
        <w:tc>
          <w:tcPr>
            <w:tcW w:type="dxa" w:w="23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Immediate</w:t>
            </w:r>
          </w:p>
        </w:tc>
      </w:tr>
      <w:tr>
        <w:tc>
          <w:tcPr>
            <w:tcW w:type="dxa" w:w="30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Leather &amp; footwear</w:t>
            </w:r>
          </w:p>
        </w:tc>
        <w:tc>
          <w:tcPr>
            <w:tcW w:type="dxa" w:w="19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up to 16%</w:t>
            </w:r>
          </w:p>
        </w:tc>
        <w:tc>
          <w:tcPr>
            <w:tcW w:type="dxa" w:w="15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0%</w:t>
            </w:r>
          </w:p>
        </w:tc>
        <w:tc>
          <w:tcPr>
            <w:tcW w:type="dxa" w:w="236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Immediate</w:t>
            </w:r>
          </w:p>
        </w:tc>
      </w:tr>
      <w:tr>
        <w:tc>
          <w:tcPr>
            <w:tcW w:type="dxa" w:w="3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Textiles &amp; clothing</w:t>
            </w:r>
          </w:p>
        </w:tc>
        <w:tc>
          <w:tcPr>
            <w:tcW w:type="dxa" w:w="19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up to 12%</w:t>
            </w:r>
          </w:p>
        </w:tc>
        <w:tc>
          <w:tcPr>
            <w:tcW w:type="dxa" w:w="15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0%</w:t>
            </w:r>
          </w:p>
        </w:tc>
        <w:tc>
          <w:tcPr>
            <w:tcW w:type="dxa" w:w="23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Immediate</w:t>
            </w:r>
          </w:p>
        </w:tc>
      </w:tr>
      <w:tr>
        <w:tc>
          <w:tcPr>
            <w:tcW w:type="dxa" w:w="30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Chemicals &amp; pharmaceuticals</w:t>
            </w:r>
          </w:p>
        </w:tc>
        <w:tc>
          <w:tcPr>
            <w:tcW w:type="dxa" w:w="19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up to 8%</w:t>
            </w:r>
          </w:p>
        </w:tc>
        <w:tc>
          <w:tcPr>
            <w:tcW w:type="dxa" w:w="15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0%</w:t>
            </w:r>
          </w:p>
        </w:tc>
        <w:tc>
          <w:tcPr>
            <w:tcW w:type="dxa" w:w="236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Immediate</w:t>
            </w:r>
          </w:p>
        </w:tc>
      </w:tr>
      <w:tr>
        <w:tc>
          <w:tcPr>
            <w:tcW w:type="dxa" w:w="30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Gems, jewellery &amp; toys</w:t>
            </w:r>
          </w:p>
        </w:tc>
        <w:tc>
          <w:tcPr>
            <w:tcW w:type="dxa" w:w="19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generally 4–16%</w:t>
            </w:r>
          </w:p>
        </w:tc>
        <w:tc>
          <w:tcPr>
            <w:tcW w:type="dxa" w:w="15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0%</w:t>
            </w:r>
          </w:p>
        </w:tc>
        <w:tc>
          <w:tcPr>
            <w:tcW w:type="dxa" w:w="23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Immediate</w:t>
            </w:r>
          </w:p>
        </w:tc>
      </w:tr>
    </w:tbl>
    <w:p>
      <w:pPr>
        <w:spacing w:after="150" w:before="40"/>
      </w:pPr>
      <w:r>
        <w:rPr>
          <w:rFonts w:ascii="Calibri" w:cs="Calibri" w:eastAsia="Calibri" w:hAnsi="Calibri"/>
          <w:i/>
          <w:iCs/>
          <w:color w:val="595959"/>
          <w:sz w:val="16"/>
          <w:szCs w:val="16"/>
        </w:rPr>
        <w:t xml:space="preserve">Source: Government of India, Ministry of Commerce &amp; Industry / PIB. These are the government’s headline sector figures; the exact rate for your product depends on its HS code (the international product-classification number used at customs). We recommend a line-by-line check — see the checklist in Section 8.</w:t>
      </w:r>
    </w:p>
    <w:p>
      <w:pPr>
        <w:pStyle w:val="Heading2"/>
        <w:keepNext/>
        <w:spacing w:after="90" w:before="190"/>
      </w:pPr>
      <w:r>
        <w:rPr>
          <w:rFonts w:ascii="Calibri" w:cs="Calibri" w:eastAsia="Calibri" w:hAnsi="Calibri"/>
          <w:b/>
          <w:bCs/>
          <w:color w:val="2E4A7A"/>
          <w:sz w:val="22"/>
          <w:szCs w:val="22"/>
        </w:rPr>
        <w:t xml:space="preserve">What this means for you</w:t>
      </w:r>
    </w:p>
    <w:p>
      <w:pPr>
        <w:spacing w:after="140" w:before="0" w:line="288"/>
        <w:jc w:val="left"/>
      </w:pPr>
      <w:r>
        <w:rPr>
          <w:rFonts w:ascii="Calibri" w:cs="Calibri" w:eastAsia="Calibri" w:hAnsi="Calibri"/>
          <w:b w:val="false"/>
          <w:bCs w:val="false"/>
          <w:i w:val="false"/>
          <w:iCs w:val="false"/>
          <w:color w:val="1A1A1A"/>
          <w:sz w:val="21"/>
          <w:szCs w:val="21"/>
        </w:rPr>
        <w:t xml:space="preserve">Your UK buyer no longer pays the duty that was previously built into the delivered price. In practice that shows up in one of two ways: either your goods become cheaper than a competitor’s from a country without a UK deal (China, for many products), or you keep the difference as margin. Which one happens is a commercial negotiation — it will not happen by itself, and it depends on what your contract says about who benefits from duty savings.</w:t>
      </w:r>
    </w:p>
    <w:p>
      <w:pPr>
        <w:spacing w:after="140" w:before="0" w:line="288"/>
        <w:jc w:val="left"/>
      </w:pPr>
      <w:r>
        <w:rPr>
          <w:rFonts w:ascii="Calibri" w:cs="Calibri" w:eastAsia="Calibri" w:hAnsi="Calibri"/>
          <w:b w:val="false"/>
          <w:bCs w:val="false"/>
          <w:i w:val="false"/>
          <w:iCs w:val="false"/>
          <w:color w:val="1A1A1A"/>
          <w:sz w:val="21"/>
          <w:szCs w:val="21"/>
        </w:rPr>
        <w:t xml:space="preserve">A worked example. Clothing was the UK’s third-largest goods import from India last year, at £952.5 million, and it previously faced UK duty of up to 12%. On that volume, removing a 12% duty is worth well over £100 million a year across the sector. Whether that lands with the Indian exporter or the UK buyer is exactly the kind of point worth pinning down in your supply contracts now.</w:t>
      </w:r>
    </w:p>
    <w:p>
      <w:pPr>
        <w:pStyle w:val="Heading2"/>
        <w:keepNext/>
        <w:spacing w:after="90" w:before="190"/>
      </w:pPr>
      <w:r>
        <w:rPr>
          <w:rFonts w:ascii="Calibri" w:cs="Calibri" w:eastAsia="Calibri" w:hAnsi="Calibri"/>
          <w:b/>
          <w:bCs/>
          <w:color w:val="2E4A7A"/>
          <w:sz w:val="22"/>
          <w:szCs w:val="22"/>
        </w:rPr>
        <w:t xml:space="preserve">The catch: you must prove origin</w:t>
      </w:r>
    </w:p>
    <w:p>
      <w:pPr>
        <w:spacing w:after="140" w:before="0" w:line="288"/>
        <w:jc w:val="left"/>
      </w:pPr>
      <w:r>
        <w:rPr>
          <w:rFonts w:ascii="Calibri" w:cs="Calibri" w:eastAsia="Calibri" w:hAnsi="Calibri"/>
          <w:b w:val="false"/>
          <w:bCs w:val="false"/>
          <w:i w:val="false"/>
          <w:iCs w:val="false"/>
          <w:color w:val="1A1A1A"/>
          <w:sz w:val="21"/>
          <w:szCs w:val="21"/>
        </w:rPr>
        <w:t xml:space="preserve">The zero rate applies only if your goods qualify under the Rules of Origin and you can show it. In outline, a product qualifies if it is either wholly obtained in India (e.g. grown or extracted there) or has been substantially transformed there — meaning it meets a product-specific rule, which is usually a change in tariff classification, a minimum local value content, or a specified manufacturing process. There is also a small tolerance for non-originating inputs (broadly 7.5% for certain agricultural goods and 12.5% for most other goods, measured by value or weight).</w:t>
      </w:r>
    </w:p>
    <w:p>
      <w:pPr>
        <w:pStyle w:val="ListParagraph"/>
        <w:numPr>
          <w:ilvl w:val="0"/>
          <w:numId w:val="2"/>
        </w:numPr>
        <w:spacing w:after="70" w:line="276"/>
      </w:pPr>
      <w:r>
        <w:rPr>
          <w:rFonts w:ascii="Calibri" w:cs="Calibri" w:eastAsia="Calibri" w:hAnsi="Calibri"/>
          <w:b/>
          <w:bCs/>
          <w:color w:val="1A1A1A"/>
          <w:sz w:val="19"/>
          <w:szCs w:val="19"/>
        </w:rPr>
        <w:t xml:space="preserve">Practical risk: </w:t>
      </w:r>
      <w:r>
        <w:rPr>
          <w:rFonts w:ascii="Calibri" w:cs="Calibri" w:eastAsia="Calibri" w:hAnsi="Calibri"/>
          <w:b w:val="false"/>
          <w:bCs w:val="false"/>
          <w:color w:val="1A1A1A"/>
          <w:sz w:val="19"/>
          <w:szCs w:val="19"/>
        </w:rPr>
        <w:t xml:space="preserve">if you import your yarn, fabric, components or active ingredients and do only light work in India, you may fail the test. Textiles, chemicals and engineering assemblers should check this </w:t>
      </w:r>
      <w:r>
        <w:rPr>
          <w:rFonts w:ascii="Calibri" w:cs="Calibri" w:eastAsia="Calibri" w:hAnsi="Calibri"/>
          <w:b/>
          <w:bCs/>
          <w:color w:val="1A1A1A"/>
          <w:sz w:val="19"/>
          <w:szCs w:val="19"/>
        </w:rPr>
        <w:t xml:space="preserve">before</w:t>
      </w:r>
      <w:r>
        <w:rPr>
          <w:rFonts w:ascii="Calibri" w:cs="Calibri" w:eastAsia="Calibri" w:hAnsi="Calibri"/>
          <w:b w:val="false"/>
          <w:bCs w:val="false"/>
          <w:color w:val="1A1A1A"/>
          <w:sz w:val="19"/>
          <w:szCs w:val="19"/>
        </w:rPr>
        <w:t xml:space="preserve"> relying on the zero rate.</w:t>
      </w:r>
    </w:p>
    <w:p>
      <w:pPr>
        <w:pStyle w:val="ListParagraph"/>
        <w:numPr>
          <w:ilvl w:val="0"/>
          <w:numId w:val="2"/>
        </w:numPr>
        <w:spacing w:after="70" w:line="276"/>
      </w:pPr>
      <w:r>
        <w:rPr>
          <w:rFonts w:ascii="Calibri" w:cs="Calibri" w:eastAsia="Calibri" w:hAnsi="Calibri"/>
          <w:b/>
          <w:bCs/>
          <w:color w:val="1A1A1A"/>
          <w:sz w:val="19"/>
          <w:szCs w:val="19"/>
        </w:rPr>
        <w:t xml:space="preserve">Verification risk: </w:t>
      </w:r>
      <w:r>
        <w:rPr>
          <w:rFonts w:ascii="Calibri" w:cs="Calibri" w:eastAsia="Calibri" w:hAnsi="Calibri"/>
          <w:b w:val="false"/>
          <w:bCs w:val="false"/>
          <w:color w:val="1A1A1A"/>
          <w:sz w:val="19"/>
          <w:szCs w:val="19"/>
        </w:rPr>
        <w:t xml:space="preserve">UK customs (HMRC) and Indian customs (CBIC) can check origin claims after the goods have cleared, and claw back duty with penalties if the claim does not hold up. Keep your production and sourcing records.</w:t>
      </w:r>
    </w:p>
    <w:p>
      <w:pPr>
        <w:pBdr>
          <w:top w:val="single" w:color="F0E0BE" w:sz="4" w:space="4"/>
          <w:bottom w:val="single" w:color="F0E0BE" w:sz="4" w:space="4"/>
          <w:left w:val="single" w:color="D9A441" w:sz="18" w:space="6"/>
          <w:right w:val="single" w:color="F0E0BE" w:sz="4" w:space="4"/>
        </w:pBdr>
        <w:shd w:fill="FFF7E6" w:color="auto" w:val="clear"/>
        <w:spacing w:after="130" w:before="60" w:line="264"/>
        <w:ind w:left="120" w:right="120"/>
      </w:pPr>
      <w:r>
        <w:rPr>
          <w:rFonts w:ascii="Calibri" w:cs="Calibri" w:eastAsia="Calibri" w:hAnsi="Calibri"/>
          <w:b/>
          <w:bCs/>
          <w:color w:val="833C00"/>
          <w:sz w:val="18"/>
          <w:szCs w:val="18"/>
        </w:rPr>
        <w:t xml:space="preserve">Reference.  </w:t>
      </w:r>
      <w:r>
        <w:rPr>
          <w:rFonts w:ascii="Calibri" w:cs="Calibri" w:eastAsia="Calibri" w:hAnsi="Calibri"/>
          <w:i/>
          <w:iCs/>
          <w:color w:val="5A4A1E"/>
          <w:sz w:val="18"/>
          <w:szCs w:val="18"/>
        </w:rPr>
        <w:t xml:space="preserve">Rules of Origin — CETA Chapter 3 (de minimis tolerance, Article 3.9; product-specific rules, Annex 3A; origin declaration and certificate templates, Annexes 3B–3C). India-side administration under the CBIC Rules of Origin, 2026 (Customs Tariff Act, 1975).</w:t>
      </w:r>
    </w:p>
    <w:p>
      <w:r>
        <w:br w:type="page"/>
      </w:r>
    </w:p>
    <w:p>
      <w:pPr>
        <w:pStyle w:val="Heading1"/>
        <w:keepNext/>
        <w:pBdr>
          <w:bottom w:val="single" w:color="1F3864" w:sz="10" w:space="4"/>
        </w:pBdr>
        <w:spacing w:after="130" w:before="260"/>
      </w:pPr>
      <w:r>
        <w:rPr>
          <w:rFonts w:ascii="Georgia" w:cs="Georgia" w:eastAsia="Georgia" w:hAnsi="Georgia"/>
          <w:b/>
          <w:bCs/>
          <w:color w:val="1F3864"/>
          <w:sz w:val="27"/>
          <w:szCs w:val="27"/>
        </w:rPr>
        <w:t xml:space="preserve">5.  If you import from the UK into India</w:t>
      </w:r>
    </w:p>
    <w:p>
      <w:pPr>
        <w:spacing w:after="140" w:before="0" w:line="288"/>
        <w:jc w:val="left"/>
      </w:pPr>
      <w:r>
        <w:rPr>
          <w:rFonts w:ascii="Calibri" w:cs="Calibri" w:eastAsia="Calibri" w:hAnsi="Calibri"/>
          <w:b w:val="false"/>
          <w:bCs w:val="false"/>
          <w:i w:val="false"/>
          <w:iCs w:val="false"/>
          <w:color w:val="1A1A1A"/>
          <w:sz w:val="21"/>
          <w:szCs w:val="21"/>
        </w:rPr>
        <w:t xml:space="preserve">On this side, most tariff cuts arrive gradually rather than all at once, and the two most sensitive categories — cars and spirits — come in under annual quotas (a capped quantity that gets the lower rate) and, for spirits, a minimum price condition. Only about 24.5% of UK exports (by value) get an immediate zero rate; the rest is phased over 5, 7 or 10 years.</w:t>
      </w:r>
    </w:p>
    <w:tbl>
      <w:tblPr>
        <w:tblW w:type="dxa" w:w="8760"/>
        <w:tblBorders>
          <w:top w:val="single" w:color="BFBFBF" w:sz="4"/>
          <w:left w:val="none"/>
          <w:bottom w:val="single" w:color="BFBFBF" w:sz="4"/>
          <w:right w:val="none"/>
          <w:insideH w:val="single" w:color="D9D9D9" w:sz="2"/>
          <w:insideV w:val="single" w:color="E4E4E4" w:sz="2"/>
        </w:tblBorders>
      </w:tblPr>
      <w:tblGrid>
        <w:gridCol w:w="2600"/>
        <w:gridCol w:w="1500"/>
        <w:gridCol w:w="2200"/>
        <w:gridCol w:w="2460"/>
      </w:tblGrid>
      <w:tr>
        <w:trPr>
          <w:tblHeader/>
        </w:trPr>
        <w:tc>
          <w:tcPr>
            <w:tcW w:type="dxa" w:w="260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Sector (UK → India)</w:t>
            </w:r>
          </w:p>
        </w:tc>
        <w:tc>
          <w:tcPr>
            <w:tcW w:type="dxa" w:w="150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India duty before</w:t>
            </w:r>
          </w:p>
        </w:tc>
        <w:tc>
          <w:tcPr>
            <w:tcW w:type="dxa" w:w="220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India duty after</w:t>
            </w:r>
          </w:p>
        </w:tc>
        <w:tc>
          <w:tcPr>
            <w:tcW w:type="dxa" w:w="2460"/>
            <w:shd w:fill="1F3864"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8"/>
                <w:szCs w:val="18"/>
              </w:rPr>
              <w:t xml:space="preserve">Conditions / timing</w:t>
            </w:r>
          </w:p>
        </w:tc>
      </w:tr>
      <w:tr>
        <w:tc>
          <w:tcPr>
            <w:tcW w:type="dxa" w:w="2600"/>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Whisky &amp; gin</w:t>
            </w:r>
          </w:p>
        </w:tc>
        <w:tc>
          <w:tcPr>
            <w:tcW w:type="dxa" w:w="15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150%</w:t>
            </w:r>
          </w:p>
        </w:tc>
        <w:tc>
          <w:tcPr>
            <w:tcW w:type="dxa" w:w="22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75% now → 40% by Yr 10</w:t>
            </w:r>
          </w:p>
        </w:tc>
        <w:tc>
          <w:tcPr>
            <w:tcW w:type="dxa" w:w="24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Only above a Minimum Import Price (~US$5/litre). Other premium spirits phase 150% → 110% → 75%.</w:t>
            </w:r>
          </w:p>
        </w:tc>
      </w:tr>
      <w:tr>
        <w:tc>
          <w:tcPr>
            <w:tcW w:type="dxa" w:w="2600"/>
            <w:shd w:fill="EDF1F7" w:color="auto" w:val="clear"/>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Large petrol/diesel cars</w:t>
            </w:r>
          </w:p>
        </w:tc>
        <w:tc>
          <w:tcPr>
            <w:tcW w:type="dxa" w:w="15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110%</w:t>
            </w:r>
          </w:p>
        </w:tc>
        <w:tc>
          <w:tcPr>
            <w:tcW w:type="dxa" w:w="22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30% (Yr 1) → 10% (Yr 5)</w:t>
            </w:r>
          </w:p>
        </w:tc>
        <w:tc>
          <w:tcPr>
            <w:tcW w:type="dxa" w:w="246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Inside an annual quota; normal duty applies once the quota is used up.</w:t>
            </w:r>
          </w:p>
        </w:tc>
      </w:tr>
      <w:tr>
        <w:tc>
          <w:tcPr>
            <w:tcW w:type="dxa" w:w="2600"/>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Smaller / mass-market cars</w:t>
            </w:r>
          </w:p>
        </w:tc>
        <w:tc>
          <w:tcPr>
            <w:tcW w:type="dxa" w:w="15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66%</w:t>
            </w:r>
          </w:p>
        </w:tc>
        <w:tc>
          <w:tcPr>
            <w:tcW w:type="dxa" w:w="22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50% (Yr 1) → 10% (Yr 5)</w:t>
            </w:r>
          </w:p>
        </w:tc>
        <w:tc>
          <w:tcPr>
            <w:tcW w:type="dxa" w:w="24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Inside an annual quota per band.</w:t>
            </w:r>
          </w:p>
        </w:tc>
      </w:tr>
      <w:tr>
        <w:tc>
          <w:tcPr>
            <w:tcW w:type="dxa" w:w="2600"/>
            <w:shd w:fill="EDF1F7" w:color="auto" w:val="clear"/>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Electric / hybrid cars</w:t>
            </w:r>
          </w:p>
        </w:tc>
        <w:tc>
          <w:tcPr>
            <w:tcW w:type="dxa" w:w="15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110%</w:t>
            </w:r>
          </w:p>
        </w:tc>
        <w:tc>
          <w:tcPr>
            <w:tcW w:type="dxa" w:w="22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Lower rates from Yr 6</w:t>
            </w:r>
          </w:p>
        </w:tc>
        <w:tc>
          <w:tcPr>
            <w:tcW w:type="dxa" w:w="246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Quota-based, by price band; no change for the first 5 years.</w:t>
            </w:r>
          </w:p>
        </w:tc>
      </w:tr>
      <w:tr>
        <w:tc>
          <w:tcPr>
            <w:tcW w:type="dxa" w:w="2600"/>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Machinery, chemicals, medical devices, cosmetics, chocolate, biscuits</w:t>
            </w:r>
          </w:p>
        </w:tc>
        <w:tc>
          <w:tcPr>
            <w:tcW w:type="dxa" w:w="15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various</w:t>
            </w:r>
          </w:p>
        </w:tc>
        <w:tc>
          <w:tcPr>
            <w:tcW w:type="dxa" w:w="220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Reducing to 0% over 5–10 yrs</w:t>
            </w:r>
          </w:p>
        </w:tc>
        <w:tc>
          <w:tcPr>
            <w:tcW w:type="dxa" w:w="2460"/>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Phased; the exact path depends on the product’s staging category (EIF / E5 / E7 / E10).</w:t>
            </w:r>
          </w:p>
        </w:tc>
      </w:tr>
      <w:tr>
        <w:tc>
          <w:tcPr>
            <w:tcW w:type="dxa" w:w="2600"/>
            <w:shd w:fill="EDF1F7" w:color="auto" w:val="clear"/>
            <w:tcMar>
              <w:top w:type="dxa" w:w="60"/>
              <w:left w:type="dxa" w:w="90"/>
              <w:bottom w:type="dxa" w:w="60"/>
              <w:right w:type="dxa" w:w="90"/>
            </w:tcMar>
            <w:vAlign w:val="top"/>
          </w:tcPr>
          <w:p>
            <w:pPr>
              <w:spacing w:after="0" w:before="0" w:line="276"/>
              <w:jc w:val="left"/>
            </w:pPr>
            <w:r>
              <w:rPr>
                <w:rFonts w:ascii="Calibri" w:cs="Calibri" w:eastAsia="Calibri" w:hAnsi="Calibri"/>
                <w:b/>
                <w:bCs/>
                <w:color w:val="1A1A1A"/>
                <w:sz w:val="19"/>
                <w:szCs w:val="19"/>
              </w:rPr>
              <w:t xml:space="preserve">Dairy, cereals, millets, edible oils, apples, gold bars, smartphones</w:t>
            </w:r>
          </w:p>
        </w:tc>
        <w:tc>
          <w:tcPr>
            <w:tcW w:type="dxa" w:w="15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MFN duty</w:t>
            </w:r>
          </w:p>
        </w:tc>
        <w:tc>
          <w:tcPr>
            <w:tcW w:type="dxa" w:w="220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No change</w:t>
            </w:r>
          </w:p>
        </w:tc>
        <w:tc>
          <w:tcPr>
            <w:tcW w:type="dxa" w:w="2460"/>
            <w:shd w:fill="EDF1F7" w:color="auto" w:val="clear"/>
            <w:tcMar>
              <w:top w:type="dxa" w:w="60"/>
              <w:left w:type="dxa" w:w="90"/>
              <w:bottom w:type="dxa" w:w="60"/>
              <w:right w:type="dxa" w:w="90"/>
            </w:tcMar>
            <w:vAlign w:val="top"/>
          </w:tcPr>
          <w:p>
            <w:pPr>
              <w:spacing w:after="0" w:line="250"/>
            </w:pPr>
            <w:r>
              <w:rPr>
                <w:rFonts w:ascii="Calibri" w:cs="Calibri" w:eastAsia="Calibri" w:hAnsi="Calibri"/>
                <w:b w:val="false"/>
                <w:bCs w:val="false"/>
                <w:color w:val="1A1A1A"/>
                <w:sz w:val="19"/>
                <w:szCs w:val="19"/>
              </w:rPr>
              <w:t xml:space="preserve">Excluded / protected — not opened under CETA.</w:t>
            </w:r>
          </w:p>
        </w:tc>
      </w:tr>
    </w:tbl>
    <w:p>
      <w:pPr>
        <w:spacing w:after="150" w:before="40"/>
      </w:pPr>
      <w:r>
        <w:rPr>
          <w:rFonts w:ascii="Calibri" w:cs="Calibri" w:eastAsia="Calibri" w:hAnsi="Calibri"/>
          <w:i/>
          <w:iCs/>
          <w:color w:val="595959"/>
          <w:sz w:val="16"/>
          <w:szCs w:val="16"/>
        </w:rPr>
        <w:t xml:space="preserve">Source: Government of India, Ministry of Commerce &amp; Industry / PIB, read with the Rules of Origin and staging categories in the CETA schedules. “MFN duty” = the standard duty India charges all countries. “Yr” = year from entry into force.</w:t>
      </w:r>
    </w:p>
    <w:p>
      <w:pPr>
        <w:pStyle w:val="Heading2"/>
        <w:keepNext/>
        <w:spacing w:after="90" w:before="190"/>
      </w:pPr>
      <w:r>
        <w:rPr>
          <w:rFonts w:ascii="Calibri" w:cs="Calibri" w:eastAsia="Calibri" w:hAnsi="Calibri"/>
          <w:b/>
          <w:bCs/>
          <w:color w:val="2E4A7A"/>
          <w:sz w:val="22"/>
          <w:szCs w:val="22"/>
        </w:rPr>
        <w:t xml:space="preserve">What this means for you</w:t>
      </w:r>
    </w:p>
    <w:p>
      <w:pPr>
        <w:spacing w:after="140" w:before="0" w:line="288"/>
        <w:jc w:val="left"/>
      </w:pPr>
      <w:r>
        <w:rPr>
          <w:rFonts w:ascii="Calibri" w:cs="Calibri" w:eastAsia="Calibri" w:hAnsi="Calibri"/>
          <w:b w:val="false"/>
          <w:bCs w:val="false"/>
          <w:i w:val="false"/>
          <w:iCs w:val="false"/>
          <w:color w:val="1A1A1A"/>
          <w:sz w:val="21"/>
          <w:szCs w:val="21"/>
        </w:rPr>
        <w:t xml:space="preserve">If you import UK cars or spirits, the lower duty is available only within that year’s quota and (for spirits) only above the minimum price — so plan around it. Quota allocations are limited and typically granted first-come, first-served, so apply early in the year. For most other UK goods (machinery, chemicals and the like), the duty falls in equal annual steps, so your landed cost improves a little each year rather than in one jump; model this into multi-year supply contracts rather than assuming an immediate saving.</w:t>
      </w:r>
    </w:p>
    <w:p>
      <w:pPr>
        <w:spacing w:after="140" w:before="0" w:line="288"/>
        <w:jc w:val="left"/>
      </w:pPr>
      <w:r>
        <w:rPr>
          <w:rFonts w:ascii="Calibri" w:cs="Calibri" w:eastAsia="Calibri" w:hAnsi="Calibri"/>
          <w:b w:val="false"/>
          <w:bCs w:val="false"/>
          <w:i w:val="false"/>
          <w:iCs w:val="false"/>
          <w:color w:val="1A1A1A"/>
          <w:sz w:val="21"/>
          <w:szCs w:val="21"/>
        </w:rPr>
        <w:t xml:space="preserve">Because so much is phased, be careful with “headline vs actual”. The rate you can actually claim on a given shipment depends on the product’s staging category and, for quota goods, on whether quota is still available that year. We can map your specific products to their staging category so you know the real rate, not just the headline.</w:t>
      </w:r>
    </w:p>
    <w:p>
      <w:pPr>
        <w:pBdr>
          <w:top w:val="single" w:color="F0E0BE" w:sz="4" w:space="4"/>
          <w:bottom w:val="single" w:color="F0E0BE" w:sz="4" w:space="4"/>
          <w:left w:val="single" w:color="D9A441" w:sz="18" w:space="6"/>
          <w:right w:val="single" w:color="F0E0BE" w:sz="4" w:space="4"/>
        </w:pBdr>
        <w:shd w:fill="FFF7E6" w:color="auto" w:val="clear"/>
        <w:spacing w:after="130" w:before="60" w:line="264"/>
        <w:ind w:left="120" w:right="120"/>
      </w:pPr>
      <w:r>
        <w:rPr>
          <w:rFonts w:ascii="Calibri" w:cs="Calibri" w:eastAsia="Calibri" w:hAnsi="Calibri"/>
          <w:b/>
          <w:bCs/>
          <w:color w:val="833C00"/>
          <w:sz w:val="18"/>
          <w:szCs w:val="18"/>
        </w:rPr>
        <w:t xml:space="preserve">Reference.  </w:t>
      </w:r>
      <w:r>
        <w:rPr>
          <w:rFonts w:ascii="Calibri" w:cs="Calibri" w:eastAsia="Calibri" w:hAnsi="Calibri"/>
          <w:i/>
          <w:iCs/>
          <w:color w:val="5A4A1E"/>
          <w:sz w:val="18"/>
          <w:szCs w:val="18"/>
        </w:rPr>
        <w:t xml:space="preserve">Tariff staging categories (EIF, E5, E7, E10 and variants) are defined in CETA Chapter 2 and Annex 2A (India’s schedule, Appendix 2A-a). Vehicle and spirits quotas are administered on the India side through the DGFT/CBIC; confirm the current-year quota notice before advising on a specific import.</w:t>
      </w:r>
    </w:p>
    <w:p>
      <w:r>
        <w:br w:type="page"/>
      </w:r>
    </w:p>
    <w:p>
      <w:pPr>
        <w:pStyle w:val="Heading1"/>
        <w:keepNext/>
        <w:pBdr>
          <w:bottom w:val="single" w:color="1F3864" w:sz="10" w:space="4"/>
        </w:pBdr>
        <w:spacing w:after="130" w:before="260"/>
      </w:pPr>
      <w:r>
        <w:rPr>
          <w:rFonts w:ascii="Georgia" w:cs="Georgia" w:eastAsia="Georgia" w:hAnsi="Georgia"/>
          <w:b/>
          <w:bCs/>
          <w:color w:val="1F3864"/>
          <w:sz w:val="27"/>
          <w:szCs w:val="27"/>
        </w:rPr>
        <w:t xml:space="preserve">6.  Services, people and investment</w:t>
      </w:r>
    </w:p>
    <w:p>
      <w:pPr>
        <w:spacing w:after="140" w:before="0" w:line="288"/>
        <w:jc w:val="left"/>
      </w:pPr>
      <w:r>
        <w:rPr>
          <w:rFonts w:ascii="Calibri" w:cs="Calibri" w:eastAsia="Calibri" w:hAnsi="Calibri"/>
          <w:b w:val="false"/>
          <w:bCs w:val="false"/>
          <w:i w:val="false"/>
          <w:iCs w:val="false"/>
          <w:color w:val="1A1A1A"/>
          <w:sz w:val="21"/>
          <w:szCs w:val="21"/>
        </w:rPr>
        <w:t xml:space="preserve">As Section 2 showed, services are the larger half of this relationship. If your business supplies services into the UK — IT, back-office, professional or consulting — or sends staff there, several changes matter as much as the tariff cuts.</w:t>
      </w:r>
    </w:p>
    <w:p>
      <w:pPr>
        <w:pStyle w:val="Heading3"/>
        <w:keepNext/>
        <w:spacing w:after="60" w:before="140"/>
      </w:pPr>
      <w:r>
        <w:rPr>
          <w:rFonts w:ascii="Calibri" w:cs="Calibri" w:eastAsia="Calibri" w:hAnsi="Calibri"/>
          <w:b/>
          <w:bCs/>
          <w:color w:val="000000"/>
          <w:sz w:val="21"/>
          <w:szCs w:val="21"/>
        </w:rPr>
        <w:t xml:space="preserve">Services market access</w:t>
      </w:r>
    </w:p>
    <w:p>
      <w:pPr>
        <w:spacing w:after="140" w:before="0" w:line="288"/>
        <w:jc w:val="left"/>
      </w:pPr>
      <w:r>
        <w:rPr>
          <w:rFonts w:ascii="Calibri" w:cs="Calibri" w:eastAsia="Calibri" w:hAnsi="Calibri"/>
          <w:b w:val="false"/>
          <w:bCs w:val="false"/>
          <w:i w:val="false"/>
          <w:iCs w:val="false"/>
          <w:color w:val="1A1A1A"/>
          <w:sz w:val="21"/>
          <w:szCs w:val="21"/>
        </w:rPr>
        <w:t xml:space="preserve">The UK has made wide commitments across services sub-sectors, including IT and IT-enabled services, professional services (accountancy, engineering, consulting), financial services, education and telecoms. For many Indian providers this mostly confirms and locks in access they already had, which is valuable because it makes the rules predictable rather than because it opens brand-new doors. Reference: CETA Chapter 8 (Trade in Services) and Chapter 9 (Financial Services); India’s side allows UK investment in some services, with foreign investment in the relevant financial-services line capped at 74% (Annex 9A).</w:t>
      </w:r>
    </w:p>
    <w:p>
      <w:pPr>
        <w:pStyle w:val="Heading3"/>
        <w:keepNext/>
        <w:spacing w:after="60" w:before="140"/>
      </w:pPr>
      <w:r>
        <w:rPr>
          <w:rFonts w:ascii="Calibri" w:cs="Calibri" w:eastAsia="Calibri" w:hAnsi="Calibri"/>
          <w:b/>
          <w:bCs/>
          <w:color w:val="000000"/>
          <w:sz w:val="21"/>
          <w:szCs w:val="21"/>
        </w:rPr>
        <w:t xml:space="preserve">Moving people to the UK</w:t>
      </w:r>
    </w:p>
    <w:p>
      <w:pPr>
        <w:spacing w:after="140" w:before="0" w:line="288"/>
        <w:jc w:val="left"/>
      </w:pPr>
      <w:r>
        <w:rPr>
          <w:rFonts w:ascii="Calibri" w:cs="Calibri" w:eastAsia="Calibri" w:hAnsi="Calibri"/>
          <w:b w:val="false"/>
          <w:bCs w:val="false"/>
          <w:i w:val="false"/>
          <w:iCs w:val="false"/>
          <w:color w:val="1A1A1A"/>
          <w:sz w:val="21"/>
          <w:szCs w:val="21"/>
        </w:rPr>
        <w:t xml:space="preserve">CETA gives Indian professionals defined, predictable routes into the UK — short business visits, intra-corporate transfers, contractual service suppliers and independent professionals — without a labour-market test, and with no numerical cap on most categories. There is also a dedicated quota of 1,800 places a year for chefs, yoga instructors and classical musicians. Reference: CETA Chapter 10 and Annex 10A.</w:t>
      </w:r>
    </w:p>
    <w:p>
      <w:pPr>
        <w:pStyle w:val="Heading3"/>
        <w:keepNext/>
        <w:spacing w:after="60" w:before="140"/>
      </w:pPr>
      <w:r>
        <w:rPr>
          <w:rFonts w:ascii="Calibri" w:cs="Calibri" w:eastAsia="Calibri" w:hAnsi="Calibri"/>
          <w:b/>
          <w:bCs/>
          <w:color w:val="000000"/>
          <w:sz w:val="21"/>
          <w:szCs w:val="21"/>
        </w:rPr>
        <w:t xml:space="preserve">The social-security saving (DCC)</w:t>
      </w:r>
    </w:p>
    <w:p>
      <w:pPr>
        <w:spacing w:after="140" w:before="0" w:line="288"/>
        <w:jc w:val="left"/>
      </w:pPr>
      <w:r>
        <w:rPr>
          <w:rFonts w:ascii="Calibri" w:cs="Calibri" w:eastAsia="Calibri" w:hAnsi="Calibri"/>
          <w:b w:val="false"/>
          <w:bCs w:val="false"/>
          <w:i w:val="false"/>
          <w:iCs w:val="false"/>
          <w:color w:val="1A1A1A"/>
          <w:sz w:val="21"/>
          <w:szCs w:val="21"/>
        </w:rPr>
        <w:t xml:space="preserve">A companion agreement — the Double Contribution Convention (DCC), signed 10 February 2026 and in force today alongside CETA — means Indian staff on temporary UK assignments, and their employers, no longer pay UK social security (National Insurance) on top of their Indian contributions. The exemption now runs up to 5 years (raised from the 3 years originally discussed). The Indian government estimates over 75,000 professionals and 900-plus companies will benefit. To use it, the employer obtains a Certificate of Coverage from the Indian authority before the assignment.</w:t>
      </w:r>
    </w:p>
    <w:p>
      <w:pPr>
        <w:pStyle w:val="ListParagraph"/>
        <w:numPr>
          <w:ilvl w:val="0"/>
          <w:numId w:val="2"/>
        </w:numPr>
        <w:spacing w:after="70" w:line="276"/>
      </w:pPr>
      <w:r>
        <w:rPr>
          <w:rFonts w:ascii="Calibri" w:cs="Calibri" w:eastAsia="Calibri" w:hAnsi="Calibri"/>
          <w:b/>
          <w:bCs/>
          <w:color w:val="1A1A1A"/>
          <w:sz w:val="19"/>
          <w:szCs w:val="19"/>
        </w:rPr>
        <w:t xml:space="preserve">Why it matters: </w:t>
      </w:r>
      <w:r>
        <w:rPr>
          <w:rFonts w:ascii="Calibri" w:cs="Calibri" w:eastAsia="Calibri" w:hAnsi="Calibri"/>
          <w:b w:val="false"/>
          <w:bCs w:val="false"/>
          <w:color w:val="1A1A1A"/>
          <w:sz w:val="19"/>
          <w:szCs w:val="19"/>
        </w:rPr>
        <w:t xml:space="preserve">for an IT or GCC employer seconding staff to the UK, this is a direct payroll saving of roughly a fifth of salary cost per assignee — but only if the Certificate of Coverage paperwork is in place. Review your global-assignment and tax-equalisation policies now.</w:t>
      </w:r>
    </w:p>
    <w:p>
      <w:pPr>
        <w:pStyle w:val="Heading3"/>
        <w:keepNext/>
        <w:spacing w:after="60" w:before="140"/>
      </w:pPr>
      <w:r>
        <w:rPr>
          <w:rFonts w:ascii="Calibri" w:cs="Calibri" w:eastAsia="Calibri" w:hAnsi="Calibri"/>
          <w:b/>
          <w:bCs/>
          <w:color w:val="000000"/>
          <w:sz w:val="21"/>
          <w:szCs w:val="21"/>
        </w:rPr>
        <w:t xml:space="preserve">Investment</w:t>
      </w:r>
    </w:p>
    <w:p>
      <w:pPr>
        <w:spacing w:after="140" w:before="0" w:line="288"/>
        <w:jc w:val="left"/>
      </w:pPr>
      <w:r>
        <w:rPr>
          <w:rFonts w:ascii="Calibri" w:cs="Calibri" w:eastAsia="Calibri" w:hAnsi="Calibri"/>
          <w:b w:val="false"/>
          <w:bCs w:val="false"/>
          <w:i w:val="false"/>
          <w:iCs w:val="false"/>
          <w:color w:val="1A1A1A"/>
          <w:sz w:val="21"/>
          <w:szCs w:val="21"/>
        </w:rPr>
        <w:t xml:space="preserve">CETA’s investment chapter provides baseline protections (non-discrimination, fair treatment, protection against expropriation) but does not include a full investor-State arbitration mechanism, and the earlier India–UK investment treaty was terminated in 2016–17. A replacement Bilateral Investment Treaty is still under negotiation. In practice this means cross-border investments should rely on well-drafted contracts (institutional arbitration, a neutral seat) rather than treaty protection for now.</w:t>
      </w:r>
    </w:p>
    <w:p>
      <w:r>
        <w:br w:type="page"/>
      </w:r>
    </w:p>
    <w:p>
      <w:pPr>
        <w:pStyle w:val="Heading1"/>
        <w:keepNext/>
        <w:pBdr>
          <w:bottom w:val="single" w:color="1F3864" w:sz="10" w:space="4"/>
        </w:pBdr>
        <w:spacing w:after="130" w:before="260"/>
      </w:pPr>
      <w:r>
        <w:rPr>
          <w:rFonts w:ascii="Georgia" w:cs="Georgia" w:eastAsia="Georgia" w:hAnsi="Georgia"/>
          <w:b/>
          <w:bCs/>
          <w:color w:val="1F3864"/>
          <w:sz w:val="27"/>
          <w:szCs w:val="27"/>
        </w:rPr>
        <w:t xml:space="preserve">7.  What CETA does not change</w:t>
      </w:r>
    </w:p>
    <w:p>
      <w:pPr>
        <w:spacing w:after="140" w:before="0" w:line="288"/>
        <w:jc w:val="left"/>
      </w:pPr>
      <w:r>
        <w:rPr>
          <w:rFonts w:ascii="Calibri" w:cs="Calibri" w:eastAsia="Calibri" w:hAnsi="Calibri"/>
          <w:b w:val="false"/>
          <w:bCs w:val="false"/>
          <w:i w:val="false"/>
          <w:iCs w:val="false"/>
          <w:color w:val="1A1A1A"/>
          <w:sz w:val="21"/>
          <w:szCs w:val="21"/>
        </w:rPr>
        <w:t xml:space="preserve">It is as important to know the limits as the benefits. The following are outside the deal, and clients regularly get caught out by assuming otherwise:</w:t>
      </w:r>
    </w:p>
    <w:p>
      <w:pPr>
        <w:pStyle w:val="ListParagraph"/>
        <w:numPr>
          <w:ilvl w:val="0"/>
          <w:numId w:val="2"/>
        </w:numPr>
        <w:spacing w:after="70" w:line="276"/>
      </w:pPr>
      <w:r>
        <w:rPr>
          <w:rFonts w:ascii="Calibri" w:cs="Calibri" w:eastAsia="Calibri" w:hAnsi="Calibri"/>
          <w:b/>
          <w:bCs/>
          <w:color w:val="1A1A1A"/>
          <w:sz w:val="19"/>
          <w:szCs w:val="19"/>
        </w:rPr>
        <w:t xml:space="preserve">Your taxes. </w:t>
      </w:r>
      <w:r>
        <w:rPr>
          <w:rFonts w:ascii="Calibri" w:cs="Calibri" w:eastAsia="Calibri" w:hAnsi="Calibri"/>
          <w:b w:val="false"/>
          <w:bCs w:val="false"/>
          <w:color w:val="1A1A1A"/>
          <w:sz w:val="19"/>
          <w:szCs w:val="19"/>
        </w:rPr>
        <w:t xml:space="preserve">GST, customs valuation and transfer pricing are untouched. Your tax filings are the same — though a lower duty changes the value on which some of them are calculated.</w:t>
      </w:r>
    </w:p>
    <w:p>
      <w:pPr>
        <w:pStyle w:val="ListParagraph"/>
        <w:numPr>
          <w:ilvl w:val="0"/>
          <w:numId w:val="2"/>
        </w:numPr>
        <w:spacing w:after="70" w:line="276"/>
      </w:pPr>
      <w:r>
        <w:rPr>
          <w:rFonts w:ascii="Calibri" w:cs="Calibri" w:eastAsia="Calibri" w:hAnsi="Calibri"/>
          <w:b/>
          <w:bCs/>
          <w:color w:val="1A1A1A"/>
          <w:sz w:val="19"/>
          <w:szCs w:val="19"/>
        </w:rPr>
        <w:t xml:space="preserve">Product standards and approvals. </w:t>
      </w:r>
      <w:r>
        <w:rPr>
          <w:rFonts w:ascii="Calibri" w:cs="Calibri" w:eastAsia="Calibri" w:hAnsi="Calibri"/>
          <w:b w:val="false"/>
          <w:bCs w:val="false"/>
          <w:color w:val="1A1A1A"/>
          <w:sz w:val="19"/>
          <w:szCs w:val="19"/>
        </w:rPr>
        <w:t xml:space="preserve">Zero duty does not mean zero rules. UK and Indian safety, quality and technical standards still apply in full, and goods can still be turned away at the border on standards grounds. Indian approvals (e.g. FSSAI for food, CDSCO for medical products) and UK ones (e.g. UKCA marking, FSA, MHRA) are unchanged.</w:t>
      </w:r>
    </w:p>
    <w:p>
      <w:pPr>
        <w:pStyle w:val="ListParagraph"/>
        <w:numPr>
          <w:ilvl w:val="0"/>
          <w:numId w:val="2"/>
        </w:numPr>
        <w:spacing w:after="70" w:line="276"/>
      </w:pPr>
      <w:r>
        <w:rPr>
          <w:rFonts w:ascii="Calibri" w:cs="Calibri" w:eastAsia="Calibri" w:hAnsi="Calibri"/>
          <w:b/>
          <w:bCs/>
          <w:color w:val="1A1A1A"/>
          <w:sz w:val="19"/>
          <w:szCs w:val="19"/>
        </w:rPr>
        <w:t xml:space="preserve">Excluded goods. </w:t>
      </w:r>
      <w:r>
        <w:rPr>
          <w:rFonts w:ascii="Calibri" w:cs="Calibri" w:eastAsia="Calibri" w:hAnsi="Calibri"/>
          <w:b w:val="false"/>
          <w:bCs w:val="false"/>
          <w:color w:val="1A1A1A"/>
          <w:sz w:val="19"/>
          <w:szCs w:val="19"/>
        </w:rPr>
        <w:t xml:space="preserve">Dairy, cereals, millets, edible oils, apples, gold bars and smartphones are outside the deal — the old duty and process continue.</w:t>
      </w:r>
    </w:p>
    <w:p>
      <w:pPr>
        <w:pStyle w:val="ListParagraph"/>
        <w:numPr>
          <w:ilvl w:val="0"/>
          <w:numId w:val="2"/>
        </w:numPr>
        <w:spacing w:after="70" w:line="276"/>
      </w:pPr>
      <w:r>
        <w:rPr>
          <w:rFonts w:ascii="Calibri" w:cs="Calibri" w:eastAsia="Calibri" w:hAnsi="Calibri"/>
          <w:b/>
          <w:bCs/>
          <w:color w:val="1A1A1A"/>
          <w:sz w:val="19"/>
          <w:szCs w:val="19"/>
        </w:rPr>
        <w:t xml:space="preserve">Full investment protection. </w:t>
      </w:r>
      <w:r>
        <w:rPr>
          <w:rFonts w:ascii="Calibri" w:cs="Calibri" w:eastAsia="Calibri" w:hAnsi="Calibri"/>
          <w:b w:val="false"/>
          <w:bCs w:val="false"/>
          <w:color w:val="1A1A1A"/>
          <w:sz w:val="19"/>
          <w:szCs w:val="19"/>
        </w:rPr>
        <w:t xml:space="preserve">As noted in Section 6, there is no full investor-State arbitration route yet.</w:t>
      </w:r>
    </w:p>
    <w:p>
      <w:pPr>
        <w:pStyle w:val="Heading1"/>
        <w:keepNext/>
        <w:pBdr>
          <w:bottom w:val="single" w:color="1F3864" w:sz="10" w:space="4"/>
        </w:pBdr>
        <w:spacing w:after="130" w:before="260"/>
      </w:pPr>
      <w:r>
        <w:rPr>
          <w:rFonts w:ascii="Georgia" w:cs="Georgia" w:eastAsia="Georgia" w:hAnsi="Georgia"/>
          <w:b/>
          <w:bCs/>
          <w:color w:val="1F3864"/>
          <w:sz w:val="27"/>
          <w:szCs w:val="27"/>
        </w:rPr>
        <w:t xml:space="preserve">8.  Your practical checklist</w:t>
      </w:r>
    </w:p>
    <w:p>
      <w:pPr>
        <w:pStyle w:val="Heading3"/>
        <w:keepNext/>
        <w:spacing w:after="60" w:before="140"/>
      </w:pPr>
      <w:r>
        <w:rPr>
          <w:rFonts w:ascii="Calibri" w:cs="Calibri" w:eastAsia="Calibri" w:hAnsi="Calibri"/>
          <w:b/>
          <w:bCs/>
          <w:color w:val="000000"/>
          <w:sz w:val="21"/>
          <w:szCs w:val="21"/>
        </w:rPr>
        <w:t xml:space="preserve">Before you rely on any CETA rate</w:t>
      </w:r>
    </w:p>
    <w:p>
      <w:pPr>
        <w:pStyle w:val="ListParagraph"/>
        <w:numPr>
          <w:ilvl w:val="0"/>
          <w:numId w:val="3"/>
        </w:numPr>
        <w:spacing w:after="70" w:line="276"/>
      </w:pPr>
      <w:r>
        <w:rPr>
          <w:rFonts w:ascii="Calibri" w:cs="Calibri" w:eastAsia="Calibri" w:hAnsi="Calibri"/>
          <w:b w:val="false"/>
          <w:bCs w:val="false"/>
          <w:color w:val="1A1A1A"/>
          <w:sz w:val="19"/>
          <w:szCs w:val="19"/>
        </w:rPr>
        <w:t xml:space="preserve">Confirm the correct HS code for your product, and check the </w:t>
      </w:r>
      <w:r>
        <w:rPr>
          <w:rFonts w:ascii="Calibri" w:cs="Calibri" w:eastAsia="Calibri" w:hAnsi="Calibri"/>
          <w:b/>
          <w:bCs/>
          <w:color w:val="1A1A1A"/>
          <w:sz w:val="19"/>
          <w:szCs w:val="19"/>
        </w:rPr>
        <w:t xml:space="preserve">specific</w:t>
      </w:r>
      <w:r>
        <w:rPr>
          <w:rFonts w:ascii="Calibri" w:cs="Calibri" w:eastAsia="Calibri" w:hAnsi="Calibri"/>
          <w:b w:val="false"/>
          <w:bCs w:val="false"/>
          <w:color w:val="1A1A1A"/>
          <w:sz w:val="19"/>
          <w:szCs w:val="19"/>
        </w:rPr>
        <w:t xml:space="preserve"> tariff-line rate — not just the sector headline.</w:t>
      </w:r>
    </w:p>
    <w:p>
      <w:pPr>
        <w:pStyle w:val="ListParagraph"/>
        <w:numPr>
          <w:ilvl w:val="0"/>
          <w:numId w:val="3"/>
        </w:numPr>
        <w:spacing w:after="70" w:line="276"/>
      </w:pPr>
      <w:r>
        <w:rPr>
          <w:rFonts w:ascii="Calibri" w:cs="Calibri" w:eastAsia="Calibri" w:hAnsi="Calibri"/>
          <w:b w:val="false"/>
          <w:bCs w:val="false"/>
          <w:color w:val="1A1A1A"/>
          <w:sz w:val="19"/>
          <w:szCs w:val="19"/>
        </w:rPr>
        <w:t xml:space="preserve">Check whether your product meets the Rules of Origin (wholly obtained, or the product-specific rule for your goods), including the value-content maths.</w:t>
      </w:r>
    </w:p>
    <w:p>
      <w:pPr>
        <w:pStyle w:val="ListParagraph"/>
        <w:numPr>
          <w:ilvl w:val="0"/>
          <w:numId w:val="3"/>
        </w:numPr>
        <w:spacing w:after="70" w:line="276"/>
      </w:pPr>
      <w:r>
        <w:rPr>
          <w:rFonts w:ascii="Calibri" w:cs="Calibri" w:eastAsia="Calibri" w:hAnsi="Calibri"/>
          <w:b w:val="false"/>
          <w:bCs w:val="false"/>
          <w:color w:val="1A1A1A"/>
          <w:sz w:val="19"/>
          <w:szCs w:val="19"/>
        </w:rPr>
        <w:t xml:space="preserve">Prepare your origin declaration / self-certification correctly. For imports into India, make sure the URN reaches the Bill of Entry.</w:t>
      </w:r>
    </w:p>
    <w:p>
      <w:pPr>
        <w:pStyle w:val="ListParagraph"/>
        <w:numPr>
          <w:ilvl w:val="0"/>
          <w:numId w:val="3"/>
        </w:numPr>
        <w:spacing w:after="70" w:line="276"/>
      </w:pPr>
      <w:r>
        <w:rPr>
          <w:rFonts w:ascii="Calibri" w:cs="Calibri" w:eastAsia="Calibri" w:hAnsi="Calibri"/>
          <w:b w:val="false"/>
          <w:bCs w:val="false"/>
          <w:color w:val="1A1A1A"/>
          <w:sz w:val="19"/>
          <w:szCs w:val="19"/>
        </w:rPr>
        <w:t xml:space="preserve">For cars and spirits: apply for the annual quota allocation early; check the minimum price condition for spirits.</w:t>
      </w:r>
    </w:p>
    <w:p>
      <w:pPr>
        <w:pStyle w:val="Heading3"/>
        <w:keepNext/>
        <w:spacing w:after="60" w:before="140"/>
      </w:pPr>
      <w:r>
        <w:rPr>
          <w:rFonts w:ascii="Calibri" w:cs="Calibri" w:eastAsia="Calibri" w:hAnsi="Calibri"/>
          <w:b/>
          <w:bCs/>
          <w:color w:val="000000"/>
          <w:sz w:val="21"/>
          <w:szCs w:val="21"/>
        </w:rPr>
        <w:t xml:space="preserve">On an ongoing basis</w:t>
      </w:r>
    </w:p>
    <w:p>
      <w:pPr>
        <w:pStyle w:val="ListParagraph"/>
        <w:numPr>
          <w:ilvl w:val="0"/>
          <w:numId w:val="3"/>
        </w:numPr>
        <w:spacing w:after="70" w:line="276"/>
      </w:pPr>
      <w:r>
        <w:rPr>
          <w:rFonts w:ascii="Calibri" w:cs="Calibri" w:eastAsia="Calibri" w:hAnsi="Calibri"/>
          <w:b w:val="false"/>
          <w:bCs w:val="false"/>
          <w:color w:val="1A1A1A"/>
          <w:sz w:val="19"/>
          <w:szCs w:val="19"/>
        </w:rPr>
        <w:t xml:space="preserve">Keep origin, sourcing and production records for the full verification window, in case CBIC or HMRC query a claim later.</w:t>
      </w:r>
    </w:p>
    <w:p>
      <w:pPr>
        <w:pStyle w:val="ListParagraph"/>
        <w:numPr>
          <w:ilvl w:val="0"/>
          <w:numId w:val="3"/>
        </w:numPr>
        <w:spacing w:after="70" w:line="276"/>
      </w:pPr>
      <w:r>
        <w:rPr>
          <w:rFonts w:ascii="Calibri" w:cs="Calibri" w:eastAsia="Calibri" w:hAnsi="Calibri"/>
          <w:b w:val="false"/>
          <w:bCs w:val="false"/>
          <w:color w:val="1A1A1A"/>
          <w:sz w:val="19"/>
          <w:szCs w:val="19"/>
        </w:rPr>
        <w:t xml:space="preserve">Consider Authorised Economic Operator (AEO) status for faster clearance.</w:t>
      </w:r>
    </w:p>
    <w:p>
      <w:pPr>
        <w:pStyle w:val="ListParagraph"/>
        <w:numPr>
          <w:ilvl w:val="0"/>
          <w:numId w:val="3"/>
        </w:numPr>
        <w:spacing w:after="70" w:line="276"/>
      </w:pPr>
      <w:r>
        <w:rPr>
          <w:rFonts w:ascii="Calibri" w:cs="Calibri" w:eastAsia="Calibri" w:hAnsi="Calibri"/>
          <w:b w:val="false"/>
          <w:bCs w:val="false"/>
          <w:color w:val="1A1A1A"/>
          <w:sz w:val="19"/>
          <w:szCs w:val="19"/>
        </w:rPr>
        <w:t xml:space="preserve">Re-price contracts and revisit your Incoterms so the duty saving is allocated deliberately — do not assume it passes through automatically.</w:t>
      </w:r>
    </w:p>
    <w:p>
      <w:pPr>
        <w:pStyle w:val="ListParagraph"/>
        <w:numPr>
          <w:ilvl w:val="0"/>
          <w:numId w:val="3"/>
        </w:numPr>
        <w:spacing w:after="70" w:line="276"/>
      </w:pPr>
      <w:r>
        <w:rPr>
          <w:rFonts w:ascii="Calibri" w:cs="Calibri" w:eastAsia="Calibri" w:hAnsi="Calibri"/>
          <w:b w:val="false"/>
          <w:bCs w:val="false"/>
          <w:color w:val="1A1A1A"/>
          <w:sz w:val="19"/>
          <w:szCs w:val="19"/>
        </w:rPr>
        <w:t xml:space="preserve">If you second staff to the UK, put the DCC Certificate of Coverage process in place.</w:t>
      </w:r>
    </w:p>
    <w:p>
      <w:pPr>
        <w:pStyle w:val="Heading1"/>
        <w:keepNext/>
        <w:pBdr>
          <w:bottom w:val="single" w:color="1F3864" w:sz="10" w:space="4"/>
        </w:pBdr>
        <w:spacing w:after="130" w:before="260"/>
      </w:pPr>
      <w:r>
        <w:rPr>
          <w:rFonts w:ascii="Georgia" w:cs="Georgia" w:eastAsia="Georgia" w:hAnsi="Georgia"/>
          <w:b/>
          <w:bCs/>
          <w:color w:val="1F3864"/>
          <w:sz w:val="27"/>
          <w:szCs w:val="27"/>
        </w:rPr>
        <w:t xml:space="preserve">9.  How we can help</w:t>
      </w:r>
    </w:p>
    <w:p>
      <w:pPr>
        <w:spacing w:after="140" w:before="0" w:line="288"/>
        <w:jc w:val="left"/>
      </w:pPr>
      <w:r>
        <w:rPr>
          <w:rFonts w:ascii="Calibri" w:cs="Calibri" w:eastAsia="Calibri" w:hAnsi="Calibri"/>
          <w:b w:val="false"/>
          <w:bCs w:val="false"/>
          <w:i w:val="false"/>
          <w:iCs w:val="false"/>
          <w:color w:val="1A1A1A"/>
          <w:sz w:val="21"/>
          <w:szCs w:val="21"/>
        </w:rPr>
        <w:t xml:space="preserve">Our International Trade, Customs and Corporate Advisory teams can turn the above into concrete, low-risk action for your business. In particular:</w:t>
      </w:r>
    </w:p>
    <w:p>
      <w:pPr>
        <w:pStyle w:val="ListParagraph"/>
        <w:numPr>
          <w:ilvl w:val="0"/>
          <w:numId w:val="2"/>
        </w:numPr>
        <w:spacing w:after="70" w:line="276"/>
      </w:pPr>
      <w:r>
        <w:rPr>
          <w:rFonts w:ascii="Calibri" w:cs="Calibri" w:eastAsia="Calibri" w:hAnsi="Calibri"/>
          <w:b/>
          <w:bCs/>
          <w:color w:val="1A1A1A"/>
          <w:sz w:val="19"/>
          <w:szCs w:val="19"/>
        </w:rPr>
        <w:t xml:space="preserve">Duty &amp; origin: </w:t>
      </w:r>
      <w:r>
        <w:rPr>
          <w:rFonts w:ascii="Calibri" w:cs="Calibri" w:eastAsia="Calibri" w:hAnsi="Calibri"/>
          <w:b w:val="false"/>
          <w:bCs w:val="false"/>
          <w:color w:val="1A1A1A"/>
          <w:sz w:val="19"/>
          <w:szCs w:val="19"/>
        </w:rPr>
        <w:t xml:space="preserve">mapping your products to their HS code, tariff rate and staging category; confirming Rules-of-Origin qualification; setting up self-certification and record-keeping that will survive a customs audit.</w:t>
      </w:r>
    </w:p>
    <w:p>
      <w:pPr>
        <w:pStyle w:val="ListParagraph"/>
        <w:numPr>
          <w:ilvl w:val="0"/>
          <w:numId w:val="2"/>
        </w:numPr>
        <w:spacing w:after="70" w:line="276"/>
      </w:pPr>
      <w:r>
        <w:rPr>
          <w:rFonts w:ascii="Calibri" w:cs="Calibri" w:eastAsia="Calibri" w:hAnsi="Calibri"/>
          <w:b/>
          <w:bCs/>
          <w:color w:val="1A1A1A"/>
          <w:sz w:val="19"/>
          <w:szCs w:val="19"/>
        </w:rPr>
        <w:t xml:space="preserve">Contracts: </w:t>
      </w:r>
      <w:r>
        <w:rPr>
          <w:rFonts w:ascii="Calibri" w:cs="Calibri" w:eastAsia="Calibri" w:hAnsi="Calibri"/>
          <w:b w:val="false"/>
          <w:bCs w:val="false"/>
          <w:color w:val="1A1A1A"/>
          <w:sz w:val="19"/>
          <w:szCs w:val="19"/>
        </w:rPr>
        <w:t xml:space="preserve">reviewing and redrafting your import/export, distribution and agency agreements so the duty savings, pricing and quality/rejection risks are allocated the way you intend.</w:t>
      </w:r>
    </w:p>
    <w:p>
      <w:pPr>
        <w:pStyle w:val="ListParagraph"/>
        <w:numPr>
          <w:ilvl w:val="0"/>
          <w:numId w:val="2"/>
        </w:numPr>
        <w:spacing w:after="70" w:line="276"/>
      </w:pPr>
      <w:r>
        <w:rPr>
          <w:rFonts w:ascii="Calibri" w:cs="Calibri" w:eastAsia="Calibri" w:hAnsi="Calibri"/>
          <w:b/>
          <w:bCs/>
          <w:color w:val="1A1A1A"/>
          <w:sz w:val="19"/>
          <w:szCs w:val="19"/>
        </w:rPr>
        <w:t xml:space="preserve">Regulatory: </w:t>
      </w:r>
      <w:r>
        <w:rPr>
          <w:rFonts w:ascii="Calibri" w:cs="Calibri" w:eastAsia="Calibri" w:hAnsi="Calibri"/>
          <w:b w:val="false"/>
          <w:bCs w:val="false"/>
          <w:color w:val="1A1A1A"/>
          <w:sz w:val="19"/>
          <w:szCs w:val="19"/>
        </w:rPr>
        <w:t xml:space="preserve">bridging Indian and UK product approvals (FSSAI/CDSCO ↔ FSA/MHRA/UKCA) so goods are not stopped at the border despite zero duty.</w:t>
      </w:r>
    </w:p>
    <w:p>
      <w:pPr>
        <w:pStyle w:val="ListParagraph"/>
        <w:numPr>
          <w:ilvl w:val="0"/>
          <w:numId w:val="2"/>
        </w:numPr>
        <w:spacing w:after="70" w:line="276"/>
      </w:pPr>
      <w:r>
        <w:rPr>
          <w:rFonts w:ascii="Calibri" w:cs="Calibri" w:eastAsia="Calibri" w:hAnsi="Calibri"/>
          <w:b/>
          <w:bCs/>
          <w:color w:val="1A1A1A"/>
          <w:sz w:val="19"/>
          <w:szCs w:val="19"/>
        </w:rPr>
        <w:t xml:space="preserve">Quotas &amp; imports: </w:t>
      </w:r>
      <w:r>
        <w:rPr>
          <w:rFonts w:ascii="Calibri" w:cs="Calibri" w:eastAsia="Calibri" w:hAnsi="Calibri"/>
          <w:b w:val="false"/>
          <w:bCs w:val="false"/>
          <w:color w:val="1A1A1A"/>
          <w:sz w:val="19"/>
          <w:szCs w:val="19"/>
        </w:rPr>
        <w:t xml:space="preserve">quota-application strategy and landed-cost modelling for UK cars, spirits and phased-tariff goods.</w:t>
      </w:r>
    </w:p>
    <w:p>
      <w:pPr>
        <w:pStyle w:val="ListParagraph"/>
        <w:numPr>
          <w:ilvl w:val="0"/>
          <w:numId w:val="2"/>
        </w:numPr>
        <w:spacing w:after="70" w:line="276"/>
      </w:pPr>
      <w:r>
        <w:rPr>
          <w:rFonts w:ascii="Calibri" w:cs="Calibri" w:eastAsia="Calibri" w:hAnsi="Calibri"/>
          <w:b/>
          <w:bCs/>
          <w:color w:val="1A1A1A"/>
          <w:sz w:val="19"/>
          <w:szCs w:val="19"/>
        </w:rPr>
        <w:t xml:space="preserve">Mobility &amp; DCC: </w:t>
      </w:r>
      <w:r>
        <w:rPr>
          <w:rFonts w:ascii="Calibri" w:cs="Calibri" w:eastAsia="Calibri" w:hAnsi="Calibri"/>
          <w:b w:val="false"/>
          <w:bCs w:val="false"/>
          <w:color w:val="1A1A1A"/>
          <w:sz w:val="19"/>
          <w:szCs w:val="19"/>
        </w:rPr>
        <w:t xml:space="preserve">Certificate-of-Coverage processes, secondment agreements and payroll/tax-equalisation updates for staff assignments to the UK.</w:t>
      </w:r>
    </w:p>
    <w:p>
      <w:pPr>
        <w:pStyle w:val="ListParagraph"/>
        <w:numPr>
          <w:ilvl w:val="0"/>
          <w:numId w:val="2"/>
        </w:numPr>
        <w:spacing w:after="70" w:line="276"/>
      </w:pPr>
      <w:r>
        <w:rPr>
          <w:rFonts w:ascii="Calibri" w:cs="Calibri" w:eastAsia="Calibri" w:hAnsi="Calibri"/>
          <w:b/>
          <w:bCs/>
          <w:color w:val="1A1A1A"/>
          <w:sz w:val="19"/>
          <w:szCs w:val="19"/>
        </w:rPr>
        <w:t xml:space="preserve">Cross-border structuring: </w:t>
      </w:r>
      <w:r>
        <w:rPr>
          <w:rFonts w:ascii="Calibri" w:cs="Calibri" w:eastAsia="Calibri" w:hAnsi="Calibri"/>
          <w:b w:val="false"/>
          <w:bCs w:val="false"/>
          <w:color w:val="1A1A1A"/>
          <w:sz w:val="19"/>
          <w:szCs w:val="19"/>
        </w:rPr>
        <w:t xml:space="preserve">investment and joint-venture structuring given the current limits on treaty-based investment protection.</w:t>
      </w:r>
    </w:p>
    <w:p>
      <w:pPr>
        <w:pBdr>
          <w:top w:val="single" w:color="BFBFBF" w:sz="6" w:space="6"/>
        </w:pBdr>
        <w:spacing w:after="0" w:before="260"/>
      </w:pPr>
      <w:r>
        <w:rPr>
          <w:sz w:val="2"/>
          <w:szCs w:val="2"/>
        </w:rPr>
        <w:t xml:space="preserve"/>
      </w:r>
    </w:p>
    <w:p>
      <w:pPr>
        <w:spacing w:after="40" w:before="100"/>
      </w:pPr>
      <w:r>
        <w:rPr>
          <w:rFonts w:ascii="Calibri" w:cs="Calibri" w:eastAsia="Calibri" w:hAnsi="Calibri"/>
          <w:b/>
          <w:bCs/>
          <w:color w:val="595959"/>
          <w:sz w:val="16"/>
          <w:szCs w:val="16"/>
        </w:rPr>
        <w:t xml:space="preserve">Important:</w:t>
      </w:r>
      <w:r>
        <w:rPr>
          <w:rFonts w:ascii="Calibri" w:cs="Calibri" w:eastAsia="Calibri" w:hAnsi="Calibri"/>
          <w:i/>
          <w:iCs/>
          <w:color w:val="595959"/>
          <w:sz w:val="16"/>
          <w:szCs w:val="16"/>
        </w:rPr>
        <w:t xml:space="preserve"> This note is a general summary for information only and is not legal, tax or financial advice. Tariff outcomes depend on the specific HS code, origin and staging category of each product, and quotas and rates can change. Please take specific advice before acting. Figures are drawn from the sources named in each section, principally the UK Department for Business &amp; Trade Trade and Investment Factsheet: India (23 June 2026) and Government of India / CBIC materials.</w:t>
      </w:r>
    </w:p>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spacing w:before="0"/>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r>
      <w:rPr>
        <w:rFonts w:ascii="Calibri" w:cs="Calibri" w:eastAsia="Calibri" w:hAnsi="Calibri"/>
        <w:i/>
        <w:iCs/>
        <w:color w:val="595959"/>
        <w:sz w:val="15"/>
        <w:szCs w:val="15"/>
      </w:rPr>
      <w:t xml:space="preserve">     •     For discussion with your usual contact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026"/>
      </w:tabs>
      <w:spacing w:after="0"/>
    </w:pPr>
    <w:r>
      <w:rPr>
        <w:rFonts w:ascii="Calibri" w:cs="Calibri" w:eastAsia="Calibri" w:hAnsi="Calibri"/>
        <w:color w:val="595959"/>
        <w:spacing w:val="30"/>
        <w:sz w:val="15"/>
        <w:szCs w:val="15"/>
      </w:rPr>
      <w:t xml:space="preserve">INDIA–UK CETA  —  CLIENT ADVISORY</w:t>
    </w:r>
    <w:r>
      <w:rPr>
        <w:rFonts w:ascii="Calibri" w:cs="Calibri" w:eastAsia="Calibri" w:hAnsi="Calibri"/>
        <w:i/>
        <w:iCs/>
        <w:color w:val="595959"/>
        <w:sz w:val="15"/>
        <w:szCs w:val="15"/>
      </w:rPr>
      <w:t xml:space="preserve">		Privileged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1F3864"/>
      </w:rPr>
    </w:lvl>
    <w:lvl w:ilvl="1" w15:tentative="1">
      <w:start w:val="1"/>
      <w:numFmt w:val="bullet"/>
      <w:lvlText w:val="–"/>
      <w:lvlJc w:val="left"/>
      <w:pPr>
        <w:ind w:left="780" w:hanging="220"/>
      </w:pPr>
    </w:lvl>
  </w:abstractNum>
  <w:abstractNum w:abstractNumId="3" w15:restartNumberingAfterBreak="0">
    <w:multiLevelType w:val="hybridMultilevel"/>
    <w:lvl w:ilvl="0" w15:tentative="1">
      <w:start w:val="1"/>
      <w:numFmt w:val="bullet"/>
      <w:lvlText w:val="□"/>
      <w:lvlJc w:val="left"/>
      <w:pPr>
        <w:ind w:left="400" w:hanging="240"/>
      </w:pPr>
      <w:rPr>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India–UK CETA — Client Advisory</dc:title>
  <dc:creator>International Trade &amp; Customs Advisory</dc:creator>
  <dc:description>Client-facing advisory on the India–UK CETA</dc:description>
  <cp:lastModifiedBy>Un-named</cp:lastModifiedBy>
  <cp:revision>1</cp:revision>
  <dcterms:created xsi:type="dcterms:W3CDTF">2026-07-15T07:41:44.180Z</dcterms:created>
  <dcterms:modified xsi:type="dcterms:W3CDTF">2026-07-15T07:41:44.193Z</dcterms:modified>
</cp:coreProperties>
</file>

<file path=docProps/custom.xml><?xml version="1.0" encoding="utf-8"?>
<Properties xmlns="http://schemas.openxmlformats.org/officeDocument/2006/custom-properties" xmlns:vt="http://schemas.openxmlformats.org/officeDocument/2006/docPropsVTypes"/>
</file>