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r>
        <w:rPr>
          <w:rFonts w:ascii="Georgia" w:cs="Georgia" w:eastAsia="Georgia" w:hAnsi="Georgia"/>
          <w:b w:val="false"/>
          <w:bCs w:val="false"/>
          <w:i w:val="false"/>
          <w:iCs w:val="false"/>
          <w:color w:val="222222"/>
          <w:sz w:val="21"/>
          <w:szCs w:val="21"/>
        </w:rPr>
        <w:t xml:space="preserve"/>
      </w:r>
    </w:p>
    <w:p>
      <w:pPr>
        <w:spacing w:after="40"/>
        <w:jc w:val="center"/>
      </w:pPr>
      <w:r>
        <w:rPr>
          <w:rFonts w:ascii="Georgia" w:cs="Georgia" w:eastAsia="Georgia" w:hAnsi="Georgia"/>
          <w:b/>
          <w:bCs/>
          <w:i w:val="false"/>
          <w:iCs w:val="false"/>
          <w:color w:val="B07A12"/>
          <w:sz w:val="18"/>
          <w:szCs w:val="18"/>
        </w:rPr>
        <w:t xml:space="preserve">STRICTLY PRIVATE &amp; CONFIDENTIAL</w:t>
      </w:r>
    </w:p>
    <w:p>
      <w:pPr>
        <w:spacing w:after="260"/>
        <w:jc w:val="center"/>
      </w:pPr>
      <w:r>
        <w:rPr>
          <w:rFonts w:ascii="Georgia" w:cs="Georgia" w:eastAsia="Georgia" w:hAnsi="Georgia"/>
          <w:b/>
          <w:bCs/>
          <w:i w:val="false"/>
          <w:iCs w:val="false"/>
          <w:color w:val="6E6E6E"/>
          <w:sz w:val="20"/>
          <w:szCs w:val="20"/>
        </w:rPr>
        <w:t xml:space="preserve">CLIENT ADVISORY MEMORANDUM</w:t>
      </w:r>
    </w:p>
    <w:p>
      <w:pPr>
        <w:spacing w:after="60" w:line="460"/>
        <w:jc w:val="center"/>
      </w:pPr>
      <w:r>
        <w:rPr>
          <w:rFonts w:ascii="Georgia" w:cs="Georgia" w:eastAsia="Georgia" w:hAnsi="Georgia"/>
          <w:b/>
          <w:bCs/>
          <w:i w:val="false"/>
          <w:iCs w:val="false"/>
          <w:color w:val="1F3864"/>
          <w:sz w:val="40"/>
          <w:szCs w:val="40"/>
        </w:rPr>
        <w:t xml:space="preserve">The India–United Kingdom</w:t>
      </w:r>
    </w:p>
    <w:p>
      <w:pPr>
        <w:spacing w:after="60" w:line="460"/>
        <w:jc w:val="center"/>
      </w:pPr>
      <w:r>
        <w:rPr>
          <w:rFonts w:ascii="Georgia" w:cs="Georgia" w:eastAsia="Georgia" w:hAnsi="Georgia"/>
          <w:b/>
          <w:bCs/>
          <w:i w:val="false"/>
          <w:iCs w:val="false"/>
          <w:color w:val="1F3864"/>
          <w:sz w:val="40"/>
          <w:szCs w:val="40"/>
        </w:rPr>
        <w:t xml:space="preserve">Comprehensive Economic</w:t>
      </w:r>
    </w:p>
    <w:p>
      <w:pPr>
        <w:spacing w:after="220" w:line="460"/>
        <w:jc w:val="center"/>
      </w:pPr>
      <w:r>
        <w:rPr>
          <w:rFonts w:ascii="Georgia" w:cs="Georgia" w:eastAsia="Georgia" w:hAnsi="Georgia"/>
          <w:b/>
          <w:bCs/>
          <w:i w:val="false"/>
          <w:iCs w:val="false"/>
          <w:color w:val="1F3864"/>
          <w:sz w:val="40"/>
          <w:szCs w:val="40"/>
        </w:rPr>
        <w:t xml:space="preserve">&amp; Trade Agreement (CETA)</w:t>
      </w:r>
    </w:p>
    <w:p>
      <w:pPr>
        <w:spacing w:after="60"/>
        <w:jc w:val="center"/>
      </w:pPr>
      <w:r>
        <w:rPr>
          <w:rFonts w:ascii="Georgia" w:cs="Georgia" w:eastAsia="Georgia" w:hAnsi="Georgia"/>
          <w:b w:val="false"/>
          <w:bCs w:val="false"/>
          <w:i/>
          <w:iCs/>
          <w:color w:val="2E4C7E"/>
          <w:sz w:val="24"/>
          <w:szCs w:val="24"/>
        </w:rPr>
        <w:t xml:space="preserve">A Practical Guide for Businesses Trading Between India and the United Kingdom</w:t>
      </w:r>
    </w:p>
    <w:p>
      <w:pPr>
        <w:spacing w:after="320"/>
        <w:jc w:val="center"/>
      </w:pPr>
      <w:r>
        <w:rPr>
          <w:rFonts w:ascii="Georgia" w:cs="Georgia" w:eastAsia="Georgia" w:hAnsi="Georgia"/>
          <w:b w:val="false"/>
          <w:bCs w:val="false"/>
          <w:i w:val="false"/>
          <w:iCs w:val="false"/>
          <w:color w:val="6E6E6E"/>
          <w:sz w:val="21"/>
          <w:szCs w:val="21"/>
        </w:rPr>
        <w:t xml:space="preserve">What has changed, what has not, and what you should do now</w:t>
      </w:r>
    </w:p>
    <w:p>
      <w:pPr>
        <w:pBdr>
          <w:bottom w:val="single" w:color="B07A12" w:sz="8" w:space="4"/>
        </w:pBdr>
        <w:spacing w:after="200"/>
      </w:pPr>
      <w:r>
        <w:rPr>
          <w:rFonts w:ascii="Georgia" w:cs="Georgia" w:eastAsia="Georgia" w:hAnsi="Georgia"/>
          <w:b w:val="false"/>
          <w:bCs w:val="false"/>
          <w:i w:val="false"/>
          <w:iCs w:val="false"/>
          <w:color w:val="222222"/>
          <w:sz w:val="21"/>
          <w:szCs w:val="21"/>
        </w:rPr>
        <w:t xml:space="preserve"/>
      </w:r>
    </w:p>
    <w:p>
      <w:pPr>
        <w:spacing w:after="30"/>
        <w:jc w:val="center"/>
      </w:pPr>
      <w:r>
        <w:rPr>
          <w:rFonts w:ascii="Georgia" w:cs="Georgia" w:eastAsia="Georgia" w:hAnsi="Georgia"/>
          <w:b/>
          <w:bCs/>
          <w:i w:val="false"/>
          <w:iCs w:val="false"/>
          <w:color w:val="1F3864"/>
          <w:sz w:val="22"/>
          <w:szCs w:val="22"/>
        </w:rPr>
        <w:t xml:space="preserve">Entry into force: 15 July 2026</w:t>
      </w:r>
    </w:p>
    <w:p>
      <w:pPr>
        <w:spacing w:after="220"/>
        <w:jc w:val="center"/>
      </w:pPr>
      <w:r>
        <w:rPr>
          <w:rFonts w:ascii="Georgia" w:cs="Georgia" w:eastAsia="Georgia" w:hAnsi="Georgia"/>
          <w:b w:val="false"/>
          <w:bCs w:val="false"/>
          <w:i/>
          <w:iCs/>
          <w:color w:val="6E6E6E"/>
          <w:sz w:val="18"/>
          <w:szCs w:val="18"/>
        </w:rPr>
        <w:t xml:space="preserve">This memorandum is issued as at 15 July 2026, the date the Agreement becomes operative.</w:t>
      </w:r>
    </w:p>
    <w:p>
      <w:r>
        <w:rPr>
          <w:rFonts w:ascii="Georgia" w:cs="Georgia" w:eastAsia="Georgia" w:hAnsi="Georgia"/>
          <w:b w:val="false"/>
          <w:bCs w:val="false"/>
          <w:i w:val="false"/>
          <w:iCs w:val="false"/>
          <w:color w:val="222222"/>
          <w:sz w:val="21"/>
          <w:szCs w:val="21"/>
        </w:rPr>
        <w:t xml:space="preserve"/>
      </w:r>
    </w:p>
    <w:p>
      <w:pPr>
        <w:spacing w:after="10"/>
        <w:jc w:val="center"/>
      </w:pPr>
      <w:r>
        <w:rPr>
          <w:rFonts w:ascii="Georgia" w:cs="Georgia" w:eastAsia="Georgia" w:hAnsi="Georgia"/>
          <w:b w:val="false"/>
          <w:bCs w:val="false"/>
          <w:i w:val="false"/>
          <w:iCs w:val="false"/>
          <w:color w:val="6E6E6E"/>
          <w:sz w:val="18"/>
          <w:szCs w:val="18"/>
        </w:rPr>
        <w:t xml:space="preserve">Prepared by the</w:t>
      </w:r>
    </w:p>
    <w:p>
      <w:pPr>
        <w:spacing w:after="10"/>
        <w:jc w:val="center"/>
      </w:pPr>
      <w:r>
        <w:rPr>
          <w:rFonts w:ascii="Georgia" w:cs="Georgia" w:eastAsia="Georgia" w:hAnsi="Georgia"/>
          <w:b/>
          <w:bCs/>
          <w:i w:val="false"/>
          <w:iCs w:val="false"/>
          <w:color w:val="1F3864"/>
          <w:sz w:val="20"/>
          <w:szCs w:val="20"/>
        </w:rPr>
        <w:t xml:space="preserve">International Trade, Customs &amp; Corporate Advisory Practice</w:t>
      </w:r>
    </w:p>
    <w:p>
      <w:pPr>
        <w:spacing w:after="0"/>
        <w:jc w:val="center"/>
      </w:pPr>
      <w:r>
        <w:rPr>
          <w:rFonts w:ascii="Georgia" w:cs="Georgia" w:eastAsia="Georgia" w:hAnsi="Georgia"/>
          <w:b w:val="false"/>
          <w:bCs w:val="false"/>
          <w:i w:val="false"/>
          <w:iCs w:val="false"/>
          <w:color w:val="6E6E6E"/>
          <w:sz w:val="16"/>
          <w:szCs w:val="16"/>
        </w:rPr>
        <w:t xml:space="preserve">Cross-border Trade  ·  Customs &amp; Indirect Tax  ·  FEMA / RBI  ·  Corporate &amp; Commercial</w:t>
      </w:r>
    </w:p>
    <w:p>
      <w:r>
        <w:br w:type="page"/>
      </w:r>
    </w:p>
    <w:p>
      <w:pPr>
        <w:pStyle w:val="Heading1"/>
        <w:pBdr>
          <w:bottom w:val="single" w:color="1F3864" w:sz="10" w:space="6"/>
        </w:pBdr>
        <w:spacing w:after="160" w:before="320"/>
      </w:pPr>
      <w:r>
        <w:rPr>
          <w:rFonts w:ascii="Georgia" w:cs="Georgia" w:eastAsia="Georgia" w:hAnsi="Georgia"/>
          <w:b/>
          <w:bCs/>
          <w:i w:val="false"/>
          <w:iCs w:val="false"/>
          <w:color w:val="1F3864"/>
          <w:sz w:val="30"/>
          <w:szCs w:val="30"/>
        </w:rPr>
        <w:t xml:space="preserve">How to Read This Memorandum</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explains, in plain business English, what the India–UK CETA means for companies that import goods and services from the United Kingdom into India, and for companies that export goods and services from India to the United Kingdom. It is written for business owners, finance teams, supply-chain managers and in-house counsel — not for trade lawyers. Wherever possible we have avoided treaty language and focused on the commercial and compliance consequences of the Agreement.</w:t>
      </w:r>
    </w:p>
    <w:p>
      <w:pPr>
        <w:pStyle w:val="Heading2"/>
        <w:keepNext/>
        <w:spacing w:after="90" w:before="240"/>
      </w:pPr>
      <w:r>
        <w:rPr>
          <w:rFonts w:ascii="Georgia" w:cs="Georgia" w:eastAsia="Georgia" w:hAnsi="Georgia"/>
          <w:b/>
          <w:bCs/>
          <w:i w:val="false"/>
          <w:iCs w:val="false"/>
          <w:color w:val="2E4C7E"/>
          <w:sz w:val="24"/>
          <w:szCs w:val="24"/>
        </w:rPr>
        <w:t xml:space="preserve">The three questions this memorandum answers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What was the position </w:t>
      </w:r>
      <w:r>
        <w:rPr>
          <w:rFonts w:ascii="Georgia" w:cs="Georgia" w:eastAsia="Georgia" w:hAnsi="Georgia"/>
          <w:b w:val="false"/>
          <w:bCs w:val="false"/>
          <w:i w:val="false"/>
          <w:iCs w:val="false"/>
          <w:color w:val="222222"/>
          <w:sz w:val="21"/>
          <w:szCs w:val="21"/>
        </w:rPr>
        <w:t xml:space="preserve">before</w:t>
      </w:r>
      <w:r>
        <w:rPr>
          <w:rFonts w:ascii="Georgia" w:cs="Georgia" w:eastAsia="Georgia" w:hAnsi="Georgia"/>
          <w:b w:val="false"/>
          <w:bCs w:val="false"/>
          <w:i w:val="false"/>
          <w:iCs w:val="false"/>
          <w:color w:val="222222"/>
          <w:sz w:val="21"/>
          <w:szCs w:val="21"/>
        </w:rPr>
        <w:t xml:space="preserve"> the CETA — the duties, licences, standards and procedures that applied to your trade until now;</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changed</w:t>
      </w:r>
      <w:r>
        <w:rPr>
          <w:rFonts w:ascii="Georgia" w:cs="Georgia" w:eastAsia="Georgia" w:hAnsi="Georgia"/>
          <w:b w:val="false"/>
          <w:bCs w:val="false"/>
          <w:i w:val="false"/>
          <w:iCs w:val="false"/>
          <w:color w:val="222222"/>
          <w:sz w:val="21"/>
          <w:szCs w:val="21"/>
        </w:rPr>
        <w:t xml:space="preserve"> on and from 15 July 2026 — the tariff cuts, new market access and new compliance steps; and</w:t>
      </w:r>
    </w:p>
    <w:p>
      <w:pPr>
        <w:pStyle w:val="ListParagraph"/>
        <w:numPr>
          <w:ilvl w:val="0"/>
          <w:numId w:val="2"/>
        </w:numPr>
        <w:spacing w:after="70" w:line="276"/>
        <w:jc w:val="left"/>
      </w:pPr>
      <w:r>
        <w:rPr>
          <w:rFonts w:ascii="Georgia" w:cs="Georgia" w:eastAsia="Georgia" w:hAnsi="Georgia"/>
          <w:b w:val="false"/>
          <w:bCs w:val="false"/>
          <w:i w:val="false"/>
          <w:iCs w:val="false"/>
          <w:color w:val="222222"/>
          <w:sz w:val="21"/>
          <w:szCs w:val="21"/>
        </w:rPr>
        <w:t xml:space="preserve">What has </w:t>
      </w:r>
      <w:r>
        <w:rPr>
          <w:rFonts w:ascii="Georgia" w:cs="Georgia" w:eastAsia="Georgia" w:hAnsi="Georgia"/>
          <w:b/>
          <w:bCs/>
          <w:i w:val="false"/>
          <w:iCs w:val="false"/>
          <w:color w:val="222222"/>
          <w:sz w:val="21"/>
          <w:szCs w:val="21"/>
        </w:rPr>
        <w:t xml:space="preserve">not</w:t>
      </w:r>
      <w:r>
        <w:rPr>
          <w:rFonts w:ascii="Georgia" w:cs="Georgia" w:eastAsia="Georgia" w:hAnsi="Georgia"/>
          <w:b w:val="false"/>
          <w:bCs w:val="false"/>
          <w:i w:val="false"/>
          <w:iCs w:val="false"/>
          <w:color w:val="222222"/>
          <w:sz w:val="21"/>
          <w:szCs w:val="21"/>
        </w:rPr>
        <w:t xml:space="preserve"> changed — the domestic taxes, approvals and regulatory requirements that continue to apply regardless of the Agreement.</w:t>
      </w:r>
    </w:p>
    <w:p>
      <w:pPr>
        <w:pStyle w:val="Heading2"/>
        <w:keepNext/>
        <w:spacing w:after="90" w:before="240"/>
      </w:pPr>
      <w:r>
        <w:rPr>
          <w:rFonts w:ascii="Georgia" w:cs="Georgia" w:eastAsia="Georgia" w:hAnsi="Georgia"/>
          <w:b/>
          <w:bCs/>
          <w:i w:val="false"/>
          <w:iCs w:val="false"/>
          <w:color w:val="2E4C7E"/>
          <w:sz w:val="24"/>
          <w:szCs w:val="24"/>
        </w:rPr>
        <w:t xml:space="preserve">How this memorandum is structured</w:t>
      </w:r>
    </w:p>
    <w:p>
      <w:pPr>
        <w:spacing w:after="150" w:before="0" w:line="288"/>
        <w:jc w:val="both"/>
      </w:pPr>
      <w:r>
        <w:rPr>
          <w:rFonts w:ascii="Georgia" w:cs="Georgia" w:eastAsia="Georgia" w:hAnsi="Georgia"/>
          <w:b w:val="false"/>
          <w:bCs w:val="false"/>
          <w:i w:val="false"/>
          <w:iCs w:val="false"/>
          <w:color w:val="222222"/>
          <w:sz w:val="21"/>
          <w:szCs w:val="21"/>
        </w:rPr>
        <w:t xml:space="preserve">The full advisory is being delivered in stages so that each part can be reviewed as it is prepared. The complete document will be organised as follows: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1 — </w:t>
      </w:r>
      <w:r>
        <w:rPr>
          <w:rFonts w:ascii="Georgia" w:cs="Georgia" w:eastAsia="Georgia" w:hAnsi="Georgia"/>
          <w:b w:val="false"/>
          <w:bCs w:val="false"/>
          <w:i w:val="false"/>
          <w:iCs w:val="false"/>
          <w:color w:val="222222"/>
          <w:sz w:val="21"/>
          <w:szCs w:val="21"/>
        </w:rPr>
        <w:t xml:space="preserve">The Pre-FTA position, sector by sector (the baseline against which every change is measured).</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2 — </w:t>
      </w:r>
      <w:r>
        <w:rPr>
          <w:rFonts w:ascii="Georgia" w:cs="Georgia" w:eastAsia="Georgia" w:hAnsi="Georgia"/>
          <w:b w:val="false"/>
          <w:bCs w:val="false"/>
          <w:i w:val="false"/>
          <w:iCs w:val="false"/>
          <w:color w:val="222222"/>
          <w:sz w:val="21"/>
          <w:szCs w:val="21"/>
        </w:rPr>
        <w:t xml:space="preserve">An overview of the CETA: what it is, what it covers, and how it takes effect. </w:t>
      </w:r>
      <w:r>
        <w:rPr>
          <w:rFonts w:ascii="Georgia" w:cs="Georgia" w:eastAsia="Georgia" w:hAnsi="Georgia"/>
          <w:b w:val="false"/>
          <w:bCs w:val="false"/>
          <w:i/>
          <w:iCs/>
          <w:color w:val="6E6E6E"/>
          <w:sz w:val="21"/>
          <w:szCs w:val="21"/>
        </w:rPr>
        <w:t xml:space="preserve">(This chapter is included below.)</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Chapter 3 — </w:t>
      </w:r>
      <w:r>
        <w:rPr>
          <w:rFonts w:ascii="Georgia" w:cs="Georgia" w:eastAsia="Georgia" w:hAnsi="Georgia"/>
          <w:b w:val="false"/>
          <w:bCs w:val="false"/>
          <w:i w:val="false"/>
          <w:iCs w:val="false"/>
          <w:color w:val="222222"/>
          <w:sz w:val="21"/>
          <w:szCs w:val="21"/>
        </w:rPr>
        <w:t xml:space="preserve">What the CETA changes, sector by sector, for both directions of trade.</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Eight Master Comparison Tables — </w:t>
      </w:r>
      <w:r>
        <w:rPr>
          <w:rFonts w:ascii="Georgia" w:cs="Georgia" w:eastAsia="Georgia" w:hAnsi="Georgia"/>
          <w:b w:val="false"/>
          <w:bCs w:val="false"/>
          <w:i w:val="false"/>
          <w:iCs w:val="false"/>
          <w:color w:val="222222"/>
          <w:sz w:val="21"/>
          <w:szCs w:val="21"/>
        </w:rPr>
        <w:t xml:space="preserve">a side-by-side, at-a-glance comparison of the Pre-FTA and Post-FTA position for goods and services, in each direction, each followed by Key Commercial Changes, Client Action Points and a Compliance Checklist.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Final Chapter — </w:t>
      </w:r>
      <w:r>
        <w:rPr>
          <w:rFonts w:ascii="Georgia" w:cs="Georgia" w:eastAsia="Georgia" w:hAnsi="Georgia"/>
          <w:b w:val="false"/>
          <w:bCs w:val="false"/>
          <w:i w:val="false"/>
          <w:iCs w:val="false"/>
          <w:color w:val="222222"/>
          <w:sz w:val="21"/>
          <w:szCs w:val="21"/>
        </w:rPr>
        <w:t xml:space="preserve">A sector-wise map of where professional advisers (trade and customs lawyers, corporate lawyers, FEMA/RBI advisers, chartered accountants and business consultants) can add value.</w:t>
      </w:r>
    </w:p>
    <w:p>
      <w:pPr>
        <w:pStyle w:val="Heading2"/>
        <w:keepNext/>
        <w:spacing w:after="90" w:before="240"/>
      </w:pPr>
      <w:r>
        <w:rPr>
          <w:rFonts w:ascii="Georgia" w:cs="Georgia" w:eastAsia="Georgia" w:hAnsi="Georgia"/>
          <w:b/>
          <w:bCs/>
          <w:i w:val="false"/>
          <w:iCs w:val="false"/>
          <w:color w:val="2E4C7E"/>
          <w:sz w:val="24"/>
          <w:szCs w:val="24"/>
        </w:rPr>
        <w:t xml:space="preserve">The call-out boxes used throughout</w:t>
      </w:r>
    </w:p>
    <w:p>
      <w:pPr>
        <w:spacing w:after="150" w:before="0" w:line="288"/>
        <w:jc w:val="both"/>
      </w:pPr>
      <w:r>
        <w:rPr>
          <w:rFonts w:ascii="Georgia" w:cs="Georgia" w:eastAsia="Georgia" w:hAnsi="Georgia"/>
          <w:b w:val="false"/>
          <w:bCs w:val="false"/>
          <w:i w:val="false"/>
          <w:iCs w:val="false"/>
          <w:color w:val="222222"/>
          <w:sz w:val="21"/>
          <w:szCs w:val="21"/>
        </w:rPr>
        <w:t xml:space="preserve">Three types of highlighted box appear in the margins of the analysis. They are colour-coded:</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A one-line summary of the single most important point in a section — read these if you read nothing else.</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What a change means in day-to-day commercial terms — for pricing, sourcing, cash flow or paperwork.</w:t>
            </w:r>
          </w:p>
        </w:tc>
      </w:tr>
    </w:tbl>
    <w:p>
      <w:pPr>
        <w:spacing w:after="60"/>
      </w:pPr>
      <w:r>
        <w:rPr>
          <w:rFonts w:ascii="Georgia" w:cs="Georgia" w:eastAsia="Georgia" w:hAnsi="Georgia"/>
          <w:b w:val="false"/>
          <w:bCs w:val="false"/>
          <w:i w:val="false"/>
          <w:iCs w:val="false"/>
          <w:color w:val="222222"/>
          <w:sz w:val="21"/>
          <w:szCs w:val="21"/>
        </w:rPr>
        <w:t xml:space="preserve"/>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60"/>
            </w:pPr>
            <w:r>
              <w:rPr>
                <w:rFonts w:ascii="Georgia" w:cs="Georgia" w:eastAsia="Georgia" w:hAnsi="Georgia"/>
                <w:b/>
                <w:bCs/>
                <w:i w:val="false"/>
                <w:iCs w:val="false"/>
                <w:color w:val="444444"/>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A practical suggestion on how to capture a benefit or avoid a pitfall.</w:t>
            </w:r>
          </w:p>
        </w:tc>
      </w:tr>
    </w:tbl>
    <w:p>
      <w:r>
        <w:br w:type="page"/>
      </w:r>
    </w:p>
    <w:p>
      <w:pPr>
        <w:pStyle w:val="Heading1"/>
        <w:pBdr>
          <w:bottom w:val="single" w:color="1F3864" w:sz="10" w:space="6"/>
        </w:pBdr>
        <w:spacing w:after="160" w:before="320"/>
      </w:pPr>
      <w:r>
        <w:rPr>
          <w:rFonts w:ascii="Georgia" w:cs="Georgia" w:eastAsia="Georgia" w:hAnsi="Georgia"/>
          <w:b/>
          <w:bCs/>
          <w:i w:val="false"/>
          <w:iCs w:val="false"/>
          <w:color w:val="1F3864"/>
          <w:sz w:val="30"/>
          <w:szCs w:val="30"/>
        </w:rPr>
        <w:t xml:space="preserve">Important Notice — Scope, Sources and Reliance</w:t>
      </w:r>
    </w:p>
    <w:p>
      <w:pPr>
        <w:pStyle w:val="Heading3"/>
        <w:keepNext/>
        <w:spacing w:after="60" w:before="170"/>
      </w:pPr>
      <w:r>
        <w:rPr>
          <w:rFonts w:ascii="Georgia" w:cs="Georgia" w:eastAsia="Georgia" w:hAnsi="Georgia"/>
          <w:b/>
          <w:bCs/>
          <w:i w:val="false"/>
          <w:iCs w:val="false"/>
          <w:color w:val="2E4C7E"/>
          <w:sz w:val="21"/>
          <w:szCs w:val="21"/>
        </w:rPr>
        <w:t xml:space="preserve">Nature of this document</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a general information document prepared to help businesses understand the India–UK CETA. It is not legal, tax, customs, regulatory or financial advice, and it does not create any adviser–client relationship. The commercial position of every business is different; the classification of a product, the origin of its inputs, the structure of a transaction and the applicable regulatory regime can each change the outcome materially. You should obtain advice tailored to your specific facts before acting on anything in this memorandum.</w:t>
      </w:r>
    </w:p>
    <w:p>
      <w:pPr>
        <w:pStyle w:val="Heading3"/>
        <w:keepNext/>
        <w:spacing w:after="60" w:before="170"/>
      </w:pPr>
      <w:r>
        <w:rPr>
          <w:rFonts w:ascii="Georgia" w:cs="Georgia" w:eastAsia="Georgia" w:hAnsi="Georgia"/>
          <w:b/>
          <w:bCs/>
          <w:i w:val="false"/>
          <w:iCs w:val="false"/>
          <w:color w:val="2E4C7E"/>
          <w:sz w:val="21"/>
          <w:szCs w:val="21"/>
        </w:rPr>
        <w:t xml:space="preserve">Timing</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issued as at 15 July 2026 — the date on which the CETA and the accompanying Double Contribution Convention enter into force. Because the Agreement becomes operative only now, implementing instruments on the Indian side (including Central Board of Indirect Taxes and Customs (CBIC) customs notifications and Directorate General of Foreign Trade (DGFT) procedures) and on the UK side are still being issued and refined. Positions summarised here may be supplemented or clarified as those instruments are published. Where a point depends on an instrument not yet finalised, we have said so.</w:t>
      </w:r>
    </w:p>
    <w:p>
      <w:pPr>
        <w:pStyle w:val="Heading3"/>
        <w:keepNext/>
        <w:spacing w:after="60" w:before="170"/>
      </w:pPr>
      <w:r>
        <w:rPr>
          <w:rFonts w:ascii="Georgia" w:cs="Georgia" w:eastAsia="Georgia" w:hAnsi="Georgia"/>
          <w:b/>
          <w:bCs/>
          <w:i w:val="false"/>
          <w:iCs w:val="false"/>
          <w:color w:val="2E4C7E"/>
          <w:sz w:val="21"/>
          <w:szCs w:val="21"/>
        </w:rPr>
        <w:t xml:space="preserve">Sources</w:t>
      </w:r>
    </w:p>
    <w:p>
      <w:pPr>
        <w:spacing w:after="150" w:before="0" w:line="288"/>
        <w:jc w:val="both"/>
      </w:pPr>
      <w:r>
        <w:rPr>
          <w:rFonts w:ascii="Georgia" w:cs="Georgia" w:eastAsia="Georgia" w:hAnsi="Georgia"/>
          <w:b w:val="false"/>
          <w:bCs w:val="false"/>
          <w:i w:val="false"/>
          <w:iCs w:val="false"/>
          <w:color w:val="222222"/>
          <w:sz w:val="21"/>
          <w:szCs w:val="21"/>
        </w:rPr>
        <w:t xml:space="preserve">Figures, tariff bands and commitments stated in this memorandum are drawn from official and authoritative sources, principally: the Press Information Bureau (PIB) of the Government of India (including the entry-into-force release, Release ID 2274280, 17 June 2026, and the CETA backgrounder of 29 July 2025); the Ministry of Commerce &amp; Industry / Department of Commerce; the UK Department for Business and Trade (DBT) India Trade and Investment Factsheet dated 23 June 2026; and the MVIRDC World Trade Center (WTC) Mumbai Report on the India–UK FTA (2025). The definitive text of the Agreement, its tariff schedules, annexes and product-specific rules of origin are published by the Department of Commerce at commerce.gov.in and should be treated as controlling in the event of any inconsistency.</w:t>
      </w:r>
    </w:p>
    <w:p>
      <w:pPr>
        <w:pStyle w:val="Heading3"/>
        <w:keepNext/>
        <w:spacing w:after="60" w:before="170"/>
      </w:pPr>
      <w:r>
        <w:rPr>
          <w:rFonts w:ascii="Georgia" w:cs="Georgia" w:eastAsia="Georgia" w:hAnsi="Georgia"/>
          <w:b/>
          <w:bCs/>
          <w:i w:val="false"/>
          <w:iCs w:val="false"/>
          <w:color w:val="2E4C7E"/>
          <w:sz w:val="21"/>
          <w:szCs w:val="21"/>
        </w:rPr>
        <w:t xml:space="preserve">A note on the numbers</w:t>
      </w:r>
    </w:p>
    <w:p>
      <w:pPr>
        <w:spacing w:after="150" w:before="0" w:line="288"/>
        <w:jc w:val="both"/>
      </w:pPr>
      <w:r>
        <w:rPr>
          <w:rFonts w:ascii="Georgia" w:cs="Georgia" w:eastAsia="Georgia" w:hAnsi="Georgia"/>
          <w:b w:val="false"/>
          <w:bCs w:val="false"/>
          <w:i w:val="false"/>
          <w:iCs w:val="false"/>
          <w:color w:val="222222"/>
          <w:sz w:val="21"/>
          <w:szCs w:val="21"/>
        </w:rPr>
        <w:t xml:space="preserve">Trade statistics are reported by different bodies on different bases (for example, India's figures are typically in US dollars, the UK's in pounds sterling; some are calendar-year, some financial-year; some measure goods only, some goods and services). Where sources differ we have said so rather than force a single figure. Small differences between sources usually reflect these definitional differences and rounding, not error.</w:t>
      </w:r>
    </w:p>
    <w:p>
      <w:pPr>
        <w:pStyle w:val="Heading3"/>
        <w:keepNext/>
        <w:spacing w:after="60" w:before="170"/>
      </w:pPr>
      <w:r>
        <w:rPr>
          <w:rFonts w:ascii="Georgia" w:cs="Georgia" w:eastAsia="Georgia" w:hAnsi="Georgia"/>
          <w:b/>
          <w:bCs/>
          <w:i w:val="false"/>
          <w:iCs w:val="false"/>
          <w:color w:val="2E4C7E"/>
          <w:sz w:val="21"/>
          <w:szCs w:val="21"/>
        </w:rPr>
        <w:t xml:space="preserve">Confidentiality</w:t>
      </w:r>
    </w:p>
    <w:p>
      <w:pPr>
        <w:spacing w:after="150" w:before="0" w:line="288"/>
        <w:jc w:val="both"/>
      </w:pPr>
      <w:r>
        <w:rPr>
          <w:rFonts w:ascii="Georgia" w:cs="Georgia" w:eastAsia="Georgia" w:hAnsi="Georgia"/>
          <w:b w:val="false"/>
          <w:bCs w:val="false"/>
          <w:i w:val="false"/>
          <w:iCs w:val="false"/>
          <w:color w:val="222222"/>
          <w:sz w:val="21"/>
          <w:szCs w:val="21"/>
        </w:rPr>
        <w:t xml:space="preserve">This memorandum is confidential and is provided for the internal use of the recipient business and its advisers. It should not be circulated externally or relied upon by any third party without consent.</w:t>
      </w:r>
    </w:p>
    <w:p>
      <w:r>
        <w:br w:type="page"/>
      </w:r>
    </w:p>
    <w:p>
      <w:pPr>
        <w:pStyle w:val="Heading1"/>
        <w:pBdr>
          <w:bottom w:val="single" w:color="1F3864" w:sz="10" w:space="6"/>
        </w:pBdr>
        <w:spacing w:after="160" w:before="320"/>
      </w:pPr>
      <w:r>
        <w:rPr>
          <w:rFonts w:ascii="Georgia" w:cs="Georgia" w:eastAsia="Georgia" w:hAnsi="Georgia"/>
          <w:b/>
          <w:bCs/>
          <w:i w:val="false"/>
          <w:iCs w:val="false"/>
          <w:color w:val="1F3864"/>
          <w:sz w:val="30"/>
          <w:szCs w:val="30"/>
        </w:rPr>
        <w:t xml:space="preserve">Executive Summary</w:t>
      </w:r>
    </w:p>
    <w:p>
      <w:pPr>
        <w:spacing w:after="150" w:before="0" w:line="288"/>
        <w:jc w:val="both"/>
      </w:pPr>
      <w:r>
        <w:rPr>
          <w:rFonts w:ascii="Georgia" w:cs="Georgia" w:eastAsia="Georgia" w:hAnsi="Georgia"/>
          <w:b w:val="false"/>
          <w:bCs w:val="false"/>
          <w:i w:val="false"/>
          <w:iCs w:val="false"/>
          <w:color w:val="222222"/>
          <w:sz w:val="21"/>
          <w:szCs w:val="21"/>
        </w:rPr>
        <w:t xml:space="preserve">On 15 July 2026 the India–United Kingdom Comprehensive Economic and Trade Agreement (CETA) and its companion Agreement on Social Security (the Double Contribution Convention, or DCC) </w:t>
      </w:r>
      <w:r>
        <w:rPr>
          <w:rFonts w:ascii="Georgia" w:cs="Georgia" w:eastAsia="Georgia" w:hAnsi="Georgia"/>
          <w:b/>
          <w:bCs/>
          <w:i w:val="false"/>
          <w:iCs w:val="false"/>
          <w:color w:val="222222"/>
          <w:sz w:val="21"/>
          <w:szCs w:val="21"/>
        </w:rPr>
        <w:t xml:space="preserve">enter into force</w:t>
      </w:r>
      <w:r>
        <w:rPr>
          <w:rFonts w:ascii="Georgia" w:cs="Georgia" w:eastAsia="Georgia" w:hAnsi="Georgia"/>
          <w:b w:val="false"/>
          <w:bCs w:val="false"/>
          <w:i w:val="false"/>
          <w:iCs w:val="false"/>
          <w:color w:val="222222"/>
          <w:sz w:val="21"/>
          <w:szCs w:val="21"/>
        </w:rPr>
        <w:t xml:space="preserve">. This is India's most comprehensive free trade agreement with a G7 economy and the United Kingdom's most significant bilateral trade agreement since it left the European Union. It runs to 30 chapters and covers far more than tariffs — services, investment, digital trade, intellectual property, government procurement, mobility of professionals and sustainability all sit within it (PIB, Release ID 2274280, 17 June 2026).</w:t>
      </w:r>
    </w:p>
    <w:p>
      <w:pPr>
        <w:spacing w:after="150" w:before="0" w:line="288"/>
        <w:jc w:val="both"/>
      </w:pPr>
      <w:r>
        <w:rPr>
          <w:rFonts w:ascii="Georgia" w:cs="Georgia" w:eastAsia="Georgia" w:hAnsi="Georgia"/>
          <w:b w:val="false"/>
          <w:bCs w:val="false"/>
          <w:i w:val="false"/>
          <w:iCs w:val="false"/>
          <w:color w:val="222222"/>
          <w:sz w:val="21"/>
          <w:szCs w:val="21"/>
        </w:rPr>
        <w:t xml:space="preserve">For businesses on both sides, the headline is simple: the cost of trading goods across the India–UK corridor falls sharply, and the process of trading is meant to get faster and more predictable. But — and this is the point most often missed — the tariff savings are conditional. They are available only for goods that genuinely qualify as Indian- or UK-origin under the Agreement's Rules of Origin, and only if that origin is properly declared and documented. Capturing the benefit is therefore a compliance exercise, not an automatic entitlement.</w:t>
      </w:r>
    </w:p>
    <w:p>
      <w:pPr>
        <w:pStyle w:val="Heading2"/>
        <w:keepNext/>
        <w:spacing w:after="90" w:before="240"/>
      </w:pPr>
      <w:r>
        <w:rPr>
          <w:rFonts w:ascii="Georgia" w:cs="Georgia" w:eastAsia="Georgia" w:hAnsi="Georgia"/>
          <w:b/>
          <w:bCs/>
          <w:i w:val="false"/>
          <w:iCs w:val="false"/>
          <w:color w:val="2E4C7E"/>
          <w:sz w:val="24"/>
          <w:szCs w:val="24"/>
        </w:rPr>
        <w:t xml:space="preserve">The Agreement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626"/>
      </w:tblGrid>
      <w:tr>
        <w:trPr>
          <w:tblHeader/>
        </w:trPr>
        <w:tc>
          <w:tcPr>
            <w:tcW w:type="dxa" w:w="2400"/>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Feature</w:t>
            </w:r>
          </w:p>
        </w:tc>
        <w:tc>
          <w:tcPr>
            <w:tcW w:type="dxa" w:w="6626"/>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What it means for your business</w:t>
            </w:r>
          </w:p>
        </w:tc>
      </w:tr>
      <w:tr>
        <w:tc>
          <w:tcPr>
            <w:tcW w:type="dxa" w:w="24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Tariffs — exports to the UK</w:t>
            </w:r>
          </w:p>
        </w:tc>
        <w:tc>
          <w:tcPr>
            <w:tcW w:type="dxa" w:w="66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The UK removes customs duties on about 99% of Indian tariff lines from day one, covering close to 100% of the value of India's exports. Sectors that faced high UK duties — processed food (up to 70%), marine products (up to 21.5%), engineering and auto components (up to 18%), leather and footwear (up to 16%), textiles and clothing (up to 12%) and chemicals and pharmaceuticals (up to 8%) — move to zero.</w:t>
            </w:r>
          </w:p>
        </w:tc>
      </w:tr>
      <w:tr>
        <w:tc>
          <w:tcPr>
            <w:tcW w:type="dxa" w:w="24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Tariffs — imports from the UK</w:t>
            </w:r>
          </w:p>
        </w:tc>
        <w:tc>
          <w:tcPr>
            <w:tcW w:type="dxa" w:w="66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India opens about 89.5% of its tariff lines (covering 91% of UK exports); roughly a quarter of UK export value becomes duty-free immediately, with the rest phased down over 5, 7 or 10 years. Sensitive farm and strategic lines are excluded to protect domestic producers.</w:t>
            </w:r>
          </w:p>
        </w:tc>
      </w:tr>
      <w:tr>
        <w:tc>
          <w:tcPr>
            <w:tcW w:type="dxa" w:w="24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The key condition</w:t>
            </w:r>
          </w:p>
        </w:tc>
        <w:tc>
          <w:tcPr>
            <w:tcW w:type="dxa" w:w="66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Duty savings apply only to goods that qualify under Rules of Origin. Origin is largely self-certified — a powerful simplification, but one that shifts the compliance and record-keeping burden onto the trader.</w:t>
            </w:r>
          </w:p>
        </w:tc>
      </w:tr>
      <w:tr>
        <w:tc>
          <w:tcPr>
            <w:tcW w:type="dxa" w:w="24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Services &amp; mobility</w:t>
            </w:r>
          </w:p>
        </w:tc>
        <w:tc>
          <w:tcPr>
            <w:tcW w:type="dxa" w:w="66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The UK has opened 137 sub-sectors and given assured, predictable entry routes for business visitors, intra-corporate transferees, contractual service suppliers, independent professionals and investors — plus a dedicated annual quota of 1,800 for chefs, yoga instructors and classical musicians.</w:t>
            </w:r>
          </w:p>
        </w:tc>
      </w:tr>
      <w:tr>
        <w:tc>
          <w:tcPr>
            <w:tcW w:type="dxa" w:w="24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Social security (DCC)</w:t>
            </w:r>
          </w:p>
        </w:tc>
        <w:tc>
          <w:tcPr>
            <w:tcW w:type="dxa" w:w="66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Indian professionals on temporary UK assignments — and their employers — are exempt from UK social security contributions for up to five years (increased from three), removing a significant payroll cost. A Certificate of Coverage is required to claim it.</w:t>
            </w:r>
          </w:p>
        </w:tc>
      </w:tr>
      <w:tr>
        <w:tc>
          <w:tcPr>
            <w:tcW w:type="dxa" w:w="24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Faster customs</w:t>
            </w:r>
          </w:p>
        </w:tc>
        <w:tc>
          <w:tcPr>
            <w:tcW w:type="dxa" w:w="66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Commitments to simplified, digital, paperless customs, Authorised Economic Operator fast-tracking and quicker release of compliant goods are designed to cut clearance time and improve supply-chain predictability.</w:t>
            </w:r>
          </w:p>
        </w:tc>
      </w:tr>
      <w:tr>
        <w:tc>
          <w:tcPr>
            <w:tcW w:type="dxa" w:w="24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What has NOT changed</w:t>
            </w:r>
          </w:p>
        </w:tc>
        <w:tc>
          <w:tcPr>
            <w:tcW w:type="dxa" w:w="66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Domestic taxes and rules continue to apply: Indian GST on imports, product approvals (BIS, FSSAI, CDSCO and others), the FEMA / RBI framework for cross-border payments, and UK product standards. CETA lowers tariffs and eases process; it does not switch off domestic compliance.</w:t>
            </w:r>
          </w:p>
        </w:tc>
      </w:tr>
    </w:tbl>
    <w:p>
      <w:pPr>
        <w:pStyle w:val="Heading2"/>
        <w:keepNext/>
        <w:spacing w:after="90" w:before="240"/>
      </w:pPr>
      <w:r>
        <w:rPr>
          <w:rFonts w:ascii="Georgia" w:cs="Georgia" w:eastAsia="Georgia" w:hAnsi="Georgia"/>
          <w:b/>
          <w:bCs/>
          <w:i w:val="false"/>
          <w:iCs w:val="false"/>
          <w:color w:val="2E4C7E"/>
          <w:sz w:val="24"/>
          <w:szCs w:val="24"/>
        </w:rPr>
        <w:t xml:space="preserve">What you should be doing now</w:t>
      </w:r>
    </w:p>
    <w:p>
      <w:pPr>
        <w:spacing w:after="150" w:before="0" w:line="288"/>
        <w:jc w:val="both"/>
      </w:pPr>
      <w:r>
        <w:rPr>
          <w:rFonts w:ascii="Georgia" w:cs="Georgia" w:eastAsia="Georgia" w:hAnsi="Georgia"/>
          <w:b w:val="false"/>
          <w:bCs w:val="false"/>
          <w:i w:val="false"/>
          <w:iCs w:val="false"/>
          <w:color w:val="222222"/>
          <w:sz w:val="21"/>
          <w:szCs w:val="21"/>
        </w:rPr>
        <w:t xml:space="preserve">The businesses that benefit first are those that prepare the paperwork before they ship. As an immediate matter, we suggest every affected business: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Confirm the HS classification</w:t>
      </w:r>
      <w:r>
        <w:rPr>
          <w:rFonts w:ascii="Georgia" w:cs="Georgia" w:eastAsia="Georgia" w:hAnsi="Georgia"/>
          <w:b w:val="false"/>
          <w:bCs w:val="false"/>
          <w:i w:val="false"/>
          <w:iCs w:val="false"/>
          <w:color w:val="222222"/>
          <w:sz w:val="21"/>
          <w:szCs w:val="21"/>
        </w:rPr>
        <w:t xml:space="preserve"> of each product traded — the tariff outcome and the origin rule both turn on it;</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Test Rules-of-Origin eligibility</w:t>
      </w:r>
      <w:r>
        <w:rPr>
          <w:rFonts w:ascii="Georgia" w:cs="Georgia" w:eastAsia="Georgia" w:hAnsi="Georgia"/>
          <w:b w:val="false"/>
          <w:bCs w:val="false"/>
          <w:i w:val="false"/>
          <w:iCs w:val="false"/>
          <w:color w:val="222222"/>
          <w:sz w:val="21"/>
          <w:szCs w:val="21"/>
        </w:rPr>
        <w:t xml:space="preserve"> for each product against the Agreement's product-specific rules, and gather supporting supplier declarations;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Put origin self-certification in place</w:t>
      </w:r>
      <w:r>
        <w:rPr>
          <w:rFonts w:ascii="Georgia" w:cs="Georgia" w:eastAsia="Georgia" w:hAnsi="Georgia"/>
          <w:b w:val="false"/>
          <w:bCs w:val="false"/>
          <w:i w:val="false"/>
          <w:iCs w:val="false"/>
          <w:color w:val="222222"/>
          <w:sz w:val="21"/>
          <w:szCs w:val="21"/>
        </w:rPr>
        <w:t xml:space="preserve"> and set up a document-retention system capable of surviving a later verification check;</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Re-price and revisit contracts</w:t>
      </w:r>
      <w:r>
        <w:rPr>
          <w:rFonts w:ascii="Georgia" w:cs="Georgia" w:eastAsia="Georgia" w:hAnsi="Georgia"/>
          <w:b w:val="false"/>
          <w:bCs w:val="false"/>
          <w:i w:val="false"/>
          <w:iCs w:val="false"/>
          <w:color w:val="222222"/>
          <w:sz w:val="21"/>
          <w:szCs w:val="21"/>
        </w:rPr>
        <w:t xml:space="preserve"> — decide how the duty saving is shared with customers or suppliers, and review Incoterms, duty-bearing clauses and long-term supply agreements;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Plan the customs and GST position</w:t>
      </w:r>
      <w:r>
        <w:rPr>
          <w:rFonts w:ascii="Georgia" w:cs="Georgia" w:eastAsia="Georgia" w:hAnsi="Georgia"/>
          <w:b w:val="false"/>
          <w:bCs w:val="false"/>
          <w:i w:val="false"/>
          <w:iCs w:val="false"/>
          <w:color w:val="222222"/>
          <w:sz w:val="21"/>
          <w:szCs w:val="21"/>
        </w:rPr>
        <w:t xml:space="preserve"> — the landed-cost calculation, valuation and input-tax-credit treatment all change when duty falls;</w:t>
      </w:r>
    </w:p>
    <w:p>
      <w:pPr>
        <w:pStyle w:val="ListParagraph"/>
        <w:numPr>
          <w:ilvl w:val="0"/>
          <w:numId w:val="2"/>
        </w:numPr>
        <w:spacing w:after="70" w:line="276"/>
        <w:jc w:val="left"/>
      </w:pPr>
      <w:r>
        <w:rPr>
          <w:rFonts w:ascii="Georgia" w:cs="Georgia" w:eastAsia="Georgia" w:hAnsi="Georgia"/>
          <w:b/>
          <w:bCs/>
          <w:i w:val="false"/>
          <w:iCs w:val="false"/>
          <w:color w:val="222222"/>
          <w:sz w:val="21"/>
          <w:szCs w:val="21"/>
        </w:rPr>
        <w:t xml:space="preserve">Set up the DCC process</w:t>
      </w:r>
      <w:r>
        <w:rPr>
          <w:rFonts w:ascii="Georgia" w:cs="Georgia" w:eastAsia="Georgia" w:hAnsi="Georgia"/>
          <w:b w:val="false"/>
          <w:bCs w:val="false"/>
          <w:i w:val="false"/>
          <w:iCs w:val="false"/>
          <w:color w:val="222222"/>
          <w:sz w:val="21"/>
          <w:szCs w:val="21"/>
        </w:rPr>
        <w:t xml:space="preserve"> for staff on UK assignments — Certificate of Coverage applications, payroll and tax-equalisation clauses.</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The CETA does not reduce your duty automatically. It gives you the </w:t>
            </w:r>
            <w:r>
              <w:rPr>
                <w:rFonts w:ascii="Georgia" w:cs="Georgia" w:eastAsia="Georgia" w:hAnsi="Georgia"/>
                <w:b/>
                <w:bCs/>
                <w:i w:val="false"/>
                <w:iCs w:val="false"/>
                <w:color w:val="222222"/>
                <w:sz w:val="20"/>
                <w:szCs w:val="20"/>
              </w:rPr>
              <w:t xml:space="preserve">right</w:t>
            </w:r>
            <w:r>
              <w:rPr>
                <w:rFonts w:ascii="Georgia" w:cs="Georgia" w:eastAsia="Georgia" w:hAnsi="Georgia"/>
                <w:b w:val="false"/>
                <w:bCs w:val="false"/>
                <w:i w:val="false"/>
                <w:iCs w:val="false"/>
                <w:color w:val="222222"/>
                <w:sz w:val="20"/>
                <w:szCs w:val="20"/>
              </w:rPr>
              <w:t xml:space="preserve"> to a lower duty </w:t>
            </w:r>
            <w:r>
              <w:rPr>
                <w:rFonts w:ascii="Georgia" w:cs="Georgia" w:eastAsia="Georgia" w:hAnsi="Georgia"/>
                <w:b w:val="false"/>
                <w:bCs w:val="false"/>
                <w:i/>
                <w:iCs/>
                <w:color w:val="222222"/>
                <w:sz w:val="20"/>
                <w:szCs w:val="20"/>
              </w:rPr>
              <w:t xml:space="preserve">if</w:t>
            </w:r>
            <w:r>
              <w:rPr>
                <w:rFonts w:ascii="Georgia" w:cs="Georgia" w:eastAsia="Georgia" w:hAnsi="Georgia"/>
                <w:b w:val="false"/>
                <w:bCs w:val="false"/>
                <w:i w:val="false"/>
                <w:iCs w:val="false"/>
                <w:color w:val="222222"/>
                <w:sz w:val="20"/>
                <w:szCs w:val="20"/>
              </w:rPr>
              <w:t xml:space="preserve"> you can prove your goods qualify under the Rules of Origin and you follow the customs and documentary steps. Preparation, not the Agreement itself, is what unlocks the saving.</w:t>
            </w:r>
          </w:p>
        </w:tc>
      </w:tr>
    </w:tbl>
    <w:p>
      <w:r>
        <w:br w:type="page"/>
      </w:r>
    </w:p>
    <w:p>
      <w:pPr>
        <w:pStyle w:val="Heading1"/>
        <w:pBdr>
          <w:bottom w:val="single" w:color="1F3864" w:sz="10" w:space="6"/>
        </w:pBdr>
        <w:spacing w:after="160" w:before="320"/>
      </w:pPr>
      <w:r>
        <w:rPr>
          <w:rFonts w:ascii="Georgia" w:cs="Georgia" w:eastAsia="Georgia" w:hAnsi="Georgia"/>
          <w:b/>
          <w:bCs/>
          <w:i w:val="false"/>
          <w:iCs w:val="false"/>
          <w:color w:val="1F3864"/>
          <w:sz w:val="30"/>
          <w:szCs w:val="30"/>
        </w:rPr>
        <w:t xml:space="preserve">Chapter 2 — The India–UK CETA: An Overview</w:t>
      </w:r>
    </w:p>
    <w:p>
      <w:pPr>
        <w:spacing w:after="150" w:before="0" w:line="288"/>
        <w:jc w:val="both"/>
      </w:pPr>
      <w:r>
        <w:rPr>
          <w:rFonts w:ascii="Georgia" w:cs="Georgia" w:eastAsia="Georgia" w:hAnsi="Georgia"/>
          <w:b w:val="false"/>
          <w:bCs w:val="false"/>
          <w:i/>
          <w:iCs/>
          <w:color w:val="6E6E6E"/>
          <w:sz w:val="21"/>
          <w:szCs w:val="21"/>
        </w:rPr>
        <w:t xml:space="preserve">This chapter is a plain-English overview of the Agreement — what it is, why it was negotiated, what it covers, and how it takes effect. It is deliberately high-level: the sector-by-sector detail (Chapters 1 and 3) and the side-by-side comparison tables follow in later stages. Chapter numbering follows the order of the final assembled document; this overview will sit as Chapter 2.</w:t>
      </w:r>
    </w:p>
    <w:p>
      <w:pPr>
        <w:pStyle w:val="Heading2"/>
        <w:keepNext/>
        <w:spacing w:after="90" w:before="240"/>
      </w:pPr>
      <w:r>
        <w:rPr>
          <w:rFonts w:ascii="Georgia" w:cs="Georgia" w:eastAsia="Georgia" w:hAnsi="Georgia"/>
          <w:b/>
          <w:bCs/>
          <w:i w:val="false"/>
          <w:iCs w:val="false"/>
          <w:color w:val="2E4C7E"/>
          <w:sz w:val="24"/>
          <w:szCs w:val="24"/>
        </w:rPr>
        <w:t xml:space="preserve">2.1  Why this Agreement, and why now</w:t>
      </w:r>
    </w:p>
    <w:p>
      <w:pPr>
        <w:spacing w:after="150" w:before="0" w:line="288"/>
        <w:jc w:val="both"/>
      </w:pPr>
      <w:r>
        <w:rPr>
          <w:rFonts w:ascii="Georgia" w:cs="Georgia" w:eastAsia="Georgia" w:hAnsi="Georgia"/>
          <w:b w:val="false"/>
          <w:bCs w:val="false"/>
          <w:i w:val="false"/>
          <w:iCs w:val="false"/>
          <w:color w:val="222222"/>
          <w:sz w:val="21"/>
          <w:szCs w:val="21"/>
        </w:rPr>
        <w:t xml:space="preserve">India and the United Kingdom have been building towards this Agreement for several years. The groundwork was laid in May 2021 through an Enhanced Trade Partnership and the adoption of the India–UK Roadmap 2030, which set the ambition of a Comprehensive Strategic Partnership and of roughly doubling bilateral trade by 2030 (PIB, Release ID 2274280). Formal FTA negotiations were launched in 2022 and ran through fourteen rounds over about three years. The talks concluded on 6 May 2025; the Agreement was signed in London on 24 July 2025 by India's Commerce &amp; Industry Minister and the UK Secretary of State for Business and Trade, in the presence of both Prime Ministers (PIB, Release ID 2274280).</w:t>
      </w:r>
    </w:p>
    <w:p>
      <w:pPr>
        <w:spacing w:after="150" w:before="0" w:line="288"/>
        <w:jc w:val="both"/>
      </w:pPr>
      <w:r>
        <w:rPr>
          <w:rFonts w:ascii="Georgia" w:cs="Georgia" w:eastAsia="Georgia" w:hAnsi="Georgia"/>
          <w:b w:val="false"/>
          <w:bCs w:val="false"/>
          <w:i w:val="false"/>
          <w:iCs w:val="false"/>
          <w:color w:val="222222"/>
          <w:sz w:val="21"/>
          <w:szCs w:val="21"/>
        </w:rPr>
        <w:t xml:space="preserve">The commercial logic is straightforward. Bilateral trade already stands at roughly USD 56–60 billion a year (about £48 billion on the UK's 2025 figures) and both governments want to roughly double it by 2030 (PIB Backgrounder, 29 July 2025; UK DBT Factsheet, 23 June 2026, p. 1). For India, the Agreement diversifies export markets and secures duty-free access to a large, high-income consumer economy at a time of rising global protectionism. For the United Kingdom, it is the most economically significant trade deal struck since leaving the European Union, and it opens preferential access to one of the world's fastest-growing major economies. This is the sixth free trade agreement implemented by India in recent years, following those with Mauritius, the UAE, Australia, the EFTA bloc and Oman.</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For most businesses the practical significance is not the diplomacy but the timing: the tariff cuts and new rules described in this memorandum are live from 15 July 2026. Consignments cleared on or after that date can, if properly documented, attract the preferential duty.</w:t>
            </w:r>
          </w:p>
        </w:tc>
      </w:tr>
    </w:tbl>
    <w:p>
      <w:pPr>
        <w:pStyle w:val="Heading2"/>
        <w:keepNext/>
        <w:spacing w:after="90" w:before="240"/>
      </w:pPr>
      <w:r>
        <w:rPr>
          <w:rFonts w:ascii="Georgia" w:cs="Georgia" w:eastAsia="Georgia" w:hAnsi="Georgia"/>
          <w:b/>
          <w:bCs/>
          <w:i w:val="false"/>
          <w:iCs w:val="false"/>
          <w:color w:val="2E4C7E"/>
          <w:sz w:val="24"/>
          <w:szCs w:val="24"/>
        </w:rPr>
        <w:t xml:space="preserve">2.2  Legal status: signed versus in force</w:t>
      </w:r>
    </w:p>
    <w:p>
      <w:pPr>
        <w:spacing w:after="150" w:before="0" w:line="288"/>
        <w:jc w:val="both"/>
      </w:pPr>
      <w:r>
        <w:rPr>
          <w:rFonts w:ascii="Georgia" w:cs="Georgia" w:eastAsia="Georgia" w:hAnsi="Georgia"/>
          <w:b w:val="false"/>
          <w:bCs w:val="false"/>
          <w:i w:val="false"/>
          <w:iCs w:val="false"/>
          <w:color w:val="222222"/>
          <w:sz w:val="21"/>
          <w:szCs w:val="21"/>
        </w:rPr>
        <w:t xml:space="preserve">A trade agreement passes through distinct legal stages, and it is worth being clear about them because they are frequently confused. Negotiations concluding (May 2025) meant the text was agreed. Signature (July 2025) was the political and legal commitment to the deal. Ratification was each country completing its own internal approval process. Entry into force — 15 July 2026 — is the stage that actually matters commercially: it is the date on which the tariff cuts and the Agreement's rules become operative and enforceable (PIB, Release ID 2274280).</w:t>
      </w:r>
    </w:p>
    <w:p>
      <w:pPr>
        <w:spacing w:after="150" w:before="0" w:line="288"/>
        <w:jc w:val="both"/>
      </w:pPr>
      <w:r>
        <w:rPr>
          <w:rFonts w:ascii="Georgia" w:cs="Georgia" w:eastAsia="Georgia" w:hAnsi="Georgia"/>
          <w:b w:val="false"/>
          <w:bCs w:val="false"/>
          <w:i w:val="false"/>
          <w:iCs w:val="false"/>
          <w:color w:val="222222"/>
          <w:sz w:val="21"/>
          <w:szCs w:val="21"/>
        </w:rPr>
        <w:t xml:space="preserve">Until entry into force, nothing changed at the border: importers and exporters continued to pay the ordinary ('Most-Favoured-Nation', or MFN) rates of duty. From 15 July 2026, preferential treatment under the CETA becomes available for qualifying goods. Importantly, the preferential rate is an option, not a compulsion — where the ordinary MFN rate happens to be lower or equal for a given product, a trader can continue to use it, and either country may also choose to cut its duties faster than the agreed schedule.</w:t>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“Signed” and “in force” are not the same thing. The Agreement was signed in July 2025, but its benefits and obligations only take legal effect from 15 July 2026. That is the date from which your customs planning should run.</w:t>
            </w:r>
          </w:p>
        </w:tc>
      </w:tr>
    </w:tbl>
    <w:p>
      <w:pPr>
        <w:pStyle w:val="Heading2"/>
        <w:keepNext/>
        <w:spacing w:after="90" w:before="240"/>
      </w:pPr>
      <w:r>
        <w:rPr>
          <w:rFonts w:ascii="Georgia" w:cs="Georgia" w:eastAsia="Georgia" w:hAnsi="Georgia"/>
          <w:b/>
          <w:bCs/>
          <w:i w:val="false"/>
          <w:iCs w:val="false"/>
          <w:color w:val="2E4C7E"/>
          <w:sz w:val="24"/>
          <w:szCs w:val="24"/>
        </w:rPr>
        <w:t xml:space="preserve">2.3  What the Agreement covers</w:t>
      </w:r>
    </w:p>
    <w:p>
      <w:pPr>
        <w:spacing w:after="150" w:before="0" w:line="288"/>
        <w:jc w:val="both"/>
      </w:pPr>
      <w:r>
        <w:rPr>
          <w:rFonts w:ascii="Georgia" w:cs="Georgia" w:eastAsia="Georgia" w:hAnsi="Georgia"/>
          <w:b w:val="false"/>
          <w:bCs w:val="false"/>
          <w:i w:val="false"/>
          <w:iCs w:val="false"/>
          <w:color w:val="222222"/>
          <w:sz w:val="21"/>
          <w:szCs w:val="21"/>
        </w:rPr>
        <w:t xml:space="preserve">The CETA comprises 30 chapters and is a 'next-generation' agreement — meaning it goes well beyond cutting tariffs on goods to address the modern building-blocks of trade (PIB, Release ID 2274280). The chapters can be grouped thematically as follows. This grouping is indicative and intended only to orient the reader; for the definitive list and text, see the Agreement as published at commerce.gov.in.</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2500"/>
        <w:gridCol w:w="6526"/>
      </w:tblGrid>
      <w:tr>
        <w:trPr>
          <w:tblHeader/>
        </w:trPr>
        <w:tc>
          <w:tcPr>
            <w:tcW w:type="dxa" w:w="2500"/>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Theme</w:t>
            </w:r>
          </w:p>
        </w:tc>
        <w:tc>
          <w:tcPr>
            <w:tcW w:type="dxa" w:w="6526"/>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What it broadly covers (plain English)</w:t>
            </w:r>
          </w:p>
        </w:tc>
      </w:tr>
      <w:tr>
        <w:tc>
          <w:tcPr>
            <w:tcW w:type="dxa" w:w="25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Trade in goods</w:t>
            </w:r>
          </w:p>
        </w:tc>
        <w:tc>
          <w:tcPr>
            <w:tcW w:type="dxa" w:w="65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Tariff elimination and phase-downs; Rules of Origin and product-specific rules; customs procedures and trade facilitation; sanitary and phytosanitary (food/plant/animal safety) measures; technical standards; and trade-remedy safeguards.</w:t>
            </w:r>
          </w:p>
        </w:tc>
      </w:tr>
      <w:tr>
        <w:tc>
          <w:tcPr>
            <w:tcW w:type="dxa" w:w="25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Services &amp; investment</w:t>
            </w:r>
          </w:p>
        </w:tc>
        <w:tc>
          <w:tcPr>
            <w:tcW w:type="dxa" w:w="65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Cross-border supply of services; financial services; telecommunications; movement of professionals (mobility); and investment protections and non-discrimination commitments.</w:t>
            </w:r>
          </w:p>
        </w:tc>
      </w:tr>
      <w:tr>
        <w:tc>
          <w:tcPr>
            <w:tcW w:type="dxa" w:w="25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Digital &amp; innovation</w:t>
            </w:r>
          </w:p>
        </w:tc>
        <w:tc>
          <w:tcPr>
            <w:tcW w:type="dxa" w:w="65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Digital trade and data flows; electronic and paperless documentation; intellectual property; and cooperation on innovation.</w:t>
            </w:r>
          </w:p>
        </w:tc>
      </w:tr>
      <w:tr>
        <w:tc>
          <w:tcPr>
            <w:tcW w:type="dxa" w:w="25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Business environment</w:t>
            </w:r>
          </w:p>
        </w:tc>
        <w:tc>
          <w:tcPr>
            <w:tcW w:type="dxa" w:w="65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Government procurement (opened bilaterally for the first time); competition; support for small and medium enterprises; good regulatory practice and transparency; and anti-corruption.</w:t>
            </w:r>
          </w:p>
        </w:tc>
      </w:tr>
      <w:tr>
        <w:tc>
          <w:tcPr>
            <w:tcW w:type="dxa" w:w="25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Sustainability &amp; people</w:t>
            </w:r>
          </w:p>
        </w:tc>
        <w:tc>
          <w:tcPr>
            <w:tcW w:type="dxa" w:w="65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Environment and climate cooperation; labour standards; gender; and inclusive development provisions.</w:t>
            </w:r>
          </w:p>
        </w:tc>
      </w:tr>
      <w:tr>
        <w:tc>
          <w:tcPr>
            <w:tcW w:type="dxa" w:w="2500"/>
            <w:shd w:fill="EEF2F8" w:color="auto" w:val="clear"/>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Governance</w:t>
            </w:r>
          </w:p>
        </w:tc>
        <w:tc>
          <w:tcPr>
            <w:tcW w:type="dxa" w:w="65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The institutional framework — a Joint Committee, sub-committees and working groups — together with dispute-settlement machinery and general exceptions.</w:t>
            </w:r>
          </w:p>
        </w:tc>
      </w:tr>
    </w:tbl>
    <w:p>
      <w:pPr>
        <w:pStyle w:val="Heading2"/>
        <w:keepNext/>
        <w:spacing w:after="90" w:before="240"/>
      </w:pPr>
      <w:r>
        <w:rPr>
          <w:rFonts w:ascii="Georgia" w:cs="Georgia" w:eastAsia="Georgia" w:hAnsi="Georgia"/>
          <w:b/>
          <w:bCs/>
          <w:i w:val="false"/>
          <w:iCs w:val="false"/>
          <w:color w:val="2E4C7E"/>
          <w:sz w:val="24"/>
          <w:szCs w:val="24"/>
        </w:rPr>
        <w:t xml:space="preserve">2.4  Goods: tariff elimination in plain terms</w:t>
      </w:r>
    </w:p>
    <w:p>
      <w:pPr>
        <w:pStyle w:val="Heading3"/>
        <w:keepNext/>
        <w:spacing w:after="60" w:before="170"/>
      </w:pPr>
      <w:r>
        <w:rPr>
          <w:rFonts w:ascii="Georgia" w:cs="Georgia" w:eastAsia="Georgia" w:hAnsi="Georgia"/>
          <w:b/>
          <w:bCs/>
          <w:i w:val="false"/>
          <w:iCs w:val="false"/>
          <w:color w:val="2E4C7E"/>
          <w:sz w:val="21"/>
          <w:szCs w:val="21"/>
        </w:rPr>
        <w:t xml:space="preserve">Exports from India to the UK</w:t>
      </w:r>
    </w:p>
    <w:p>
      <w:pPr>
        <w:spacing w:after="150" w:before="0" w:line="288"/>
        <w:jc w:val="both"/>
      </w:pPr>
      <w:r>
        <w:rPr>
          <w:rFonts w:ascii="Georgia" w:cs="Georgia" w:eastAsia="Georgia" w:hAnsi="Georgia"/>
          <w:b w:val="false"/>
          <w:bCs w:val="false"/>
          <w:i w:val="false"/>
          <w:iCs w:val="false"/>
          <w:color w:val="222222"/>
          <w:sz w:val="21"/>
          <w:szCs w:val="21"/>
        </w:rPr>
        <w:t xml:space="preserve">This is the side with the most immediate, visible gain for Indian businesses. From 15 July 2026 the United Kingdom removes customs duties on about 99% of Indian tariff lines, covering close to 100% of the value of India's goods exports (PIB, Release ID 2274280). Sectors that previously faced meaningful UK duties see them fall to zero — for example processed food products (previously up to 70%), marine products (up to 21.5%), engineering goods and auto components (up to 18%), leather and footwear (up to 16%), textiles and clothing (up to 12%), and chemicals and pharmaceuticals (up to 8%) (PIB, Release ID 2274280; PIB Backgrounder, 29 July 2025, p. 3). For labour-intensive Indian sectors this removes a long-standing cost disadvantage against competitors such as Bangladesh, Vietnam and China.</w:t>
      </w:r>
    </w:p>
    <w:p>
      <w:pPr>
        <w:pStyle w:val="Heading3"/>
        <w:keepNext/>
        <w:spacing w:after="60" w:before="170"/>
      </w:pPr>
      <w:r>
        <w:rPr>
          <w:rFonts w:ascii="Georgia" w:cs="Georgia" w:eastAsia="Georgia" w:hAnsi="Georgia"/>
          <w:b/>
          <w:bCs/>
          <w:i w:val="false"/>
          <w:iCs w:val="false"/>
          <w:color w:val="2E4C7E"/>
          <w:sz w:val="21"/>
          <w:szCs w:val="21"/>
        </w:rPr>
        <w:t xml:space="preserve">Imports from the UK into India</w:t>
      </w:r>
    </w:p>
    <w:p>
      <w:pPr>
        <w:spacing w:after="150" w:before="0" w:line="288"/>
        <w:jc w:val="both"/>
      </w:pPr>
      <w:r>
        <w:rPr>
          <w:rFonts w:ascii="Georgia" w:cs="Georgia" w:eastAsia="Georgia" w:hAnsi="Georgia"/>
          <w:b w:val="false"/>
          <w:bCs w:val="false"/>
          <w:i w:val="false"/>
          <w:iCs w:val="false"/>
          <w:color w:val="222222"/>
          <w:sz w:val="21"/>
          <w:szCs w:val="21"/>
        </w:rPr>
        <w:t xml:space="preserve">India's liberalisation is deliberately more gradual and more guarded. India has opened about 89.5% of its tariff lines, covering roughly 91% of UK exports, but only around 24.5% of UK export value becomes duty-free immediately; the remainder is phased down over 5, 7 or 10 years, with the longest transitions reserved for strategically important products where domestic capacity is being built under initiatives such as 'Make in India' and the Production-Linked Incentive (PLI) schemes (PIB Backgrounder, 29 July 2025, pp. 4–5, 20).</w:t>
      </w:r>
    </w:p>
    <w:p>
      <w:pPr>
        <w:spacing w:after="150" w:before="0" w:line="288"/>
        <w:jc w:val="both"/>
      </w:pPr>
      <w:r>
        <w:rPr>
          <w:rFonts w:ascii="Georgia" w:cs="Georgia" w:eastAsia="Georgia" w:hAnsi="Georgia"/>
          <w:b w:val="false"/>
          <w:bCs w:val="false"/>
          <w:i w:val="false"/>
          <w:iCs w:val="false"/>
          <w:color w:val="222222"/>
          <w:sz w:val="21"/>
          <w:szCs w:val="21"/>
        </w:rPr>
        <w:t xml:space="preserve">India has also protected its sensitive sectors by excluding them from tariff concessions altogether — including dairy products, cereals, millets, pulses, edible oils and oilseeds, apples and several vegetables, as well as high-value or strategic items such as gold, jewellery, lab-grown diamonds, smartphones and optical fibres (PIB, Release ID 2274280; PIB Backgrounder, 29 July 2025, pp. 5, 20). Two categories illustrate the calibrated approach: automobiles, where India's duty of over 100% is being cut towards 10% but only within annual quotas and over a phased period; and alcoholic spirits, where the headline duty on Scotch whisky and gin falls from 150% to 75% immediately and then to 40% over ten years, while other premium spirits step down from 150% to 110% in year one and to 75% by year ten, subject to a minimum import price (PIB Backgrounder, 29 July 2025, p. 12; WTC Mumbai Report, 2025, pp. 9, 12).</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Because India's cuts are phased and quota-bound, importers of UK goods should not assume an immediate zero duty. The correct year-by-year rate for each product must be read off the Agreement's tariff schedule — and, for autos and spirits, checked against the applicable quota and any minimum import price.</w:t>
            </w:r>
          </w:p>
        </w:tc>
      </w:tr>
    </w:tbl>
    <w:p>
      <w:pPr>
        <w:pStyle w:val="Heading2"/>
        <w:keepNext/>
        <w:spacing w:after="90" w:before="240"/>
      </w:pPr>
      <w:r>
        <w:rPr>
          <w:rFonts w:ascii="Georgia" w:cs="Georgia" w:eastAsia="Georgia" w:hAnsi="Georgia"/>
          <w:b/>
          <w:bCs/>
          <w:i w:val="false"/>
          <w:iCs w:val="false"/>
          <w:color w:val="2E4C7E"/>
          <w:sz w:val="24"/>
          <w:szCs w:val="24"/>
        </w:rPr>
        <w:t xml:space="preserve">2.5  Rules of Origin — the real key to the benefit</w:t>
      </w:r>
    </w:p>
    <w:p>
      <w:pPr>
        <w:spacing w:after="150" w:before="0" w:line="288"/>
        <w:jc w:val="both"/>
      </w:pPr>
      <w:r>
        <w:rPr>
          <w:rFonts w:ascii="Georgia" w:cs="Georgia" w:eastAsia="Georgia" w:hAnsi="Georgia"/>
          <w:b w:val="false"/>
          <w:bCs w:val="false"/>
          <w:i w:val="false"/>
          <w:iCs w:val="false"/>
          <w:color w:val="222222"/>
          <w:sz w:val="21"/>
          <w:szCs w:val="21"/>
        </w:rPr>
        <w:t xml:space="preserve">Rules of Origin are the gatekeeper of every tariff concession. Their purpose is to ensure that the preferential duty goes only to genuinely Indian or genuinely British goods — not to third-country goods (say, from China) that are merely routed through India or the UK after minor processing. Each product has a 'product-specific rule' setting the minimum production, processing or local value-addition needed to qualify as originating (PIB Backgrounder, 29 July 2025, p. 5).</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makes claiming origin considerably easier than under older trade regimes. Exporters can self-certify the origin of their goods rather than obtaining a certificate from a government body; UK importers may also rely on the importer's own knowledge of origin; and, for small consignments (broadly, those under £1,000), no origin documentation is required at all — a helpful simplification for e-commerce and smaller businesses (PIB Backgrounder, 29 July 2025, p. 5).</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60"/>
            </w:pPr>
            <w:r>
              <w:rPr>
                <w:rFonts w:ascii="Georgia" w:cs="Georgia" w:eastAsia="Georgia" w:hAnsi="Georgia"/>
                <w:b/>
                <w:bCs/>
                <w:i w:val="false"/>
                <w:iCs w:val="false"/>
                <w:color w:val="444444"/>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Self-certification is a simplification of process, not of substance. The trader remains fully responsible for the accuracy of the origin claim and must be able to prove it — with bills of materials, supplier declarations and production records — if customs authorities on either side later verify it. Build the evidence file at the time of shipment, not after a query arrives.</w:t>
            </w:r>
          </w:p>
        </w:tc>
      </w:tr>
    </w:tbl>
    <w:p>
      <w:pPr>
        <w:pStyle w:val="Heading2"/>
        <w:keepNext/>
        <w:spacing w:after="90" w:before="240"/>
      </w:pPr>
      <w:r>
        <w:rPr>
          <w:rFonts w:ascii="Georgia" w:cs="Georgia" w:eastAsia="Georgia" w:hAnsi="Georgia"/>
          <w:b/>
          <w:bCs/>
          <w:i w:val="false"/>
          <w:iCs w:val="false"/>
          <w:color w:val="2E4C7E"/>
          <w:sz w:val="24"/>
          <w:szCs w:val="24"/>
        </w:rPr>
        <w:t xml:space="preserve">2.6  Services and professional mobility</w:t>
      </w:r>
    </w:p>
    <w:p>
      <w:pPr>
        <w:spacing w:after="150" w:before="0" w:line="288"/>
        <w:jc w:val="both"/>
      </w:pPr>
      <w:r>
        <w:rPr>
          <w:rFonts w:ascii="Georgia" w:cs="Georgia" w:eastAsia="Georgia" w:hAnsi="Georgia"/>
          <w:b w:val="false"/>
          <w:bCs w:val="false"/>
          <w:i w:val="false"/>
          <w:iCs w:val="false"/>
          <w:color w:val="222222"/>
          <w:sz w:val="21"/>
          <w:szCs w:val="21"/>
        </w:rPr>
        <w:t xml:space="preserve">Services are a core strength of the Indian economy, and the Agreement's services package is one of the most ambitious the UK has offered. The UK has made commitments across all major services sectors and 137 sub-sectors of export interest to India — spanning IT and IT-enabled services, financial and professional services, healthcare, education, engineering, telecommunications and consulting (PIB, Release ID 2274280). On the Indian side, commitments were extended in a large number of sub-sectors, giving UK firms clearer access to areas such as accounting, financial services (with foreign-investment caps in some areas), telecommunications and environmental services (PIB Backgrounder, 29 July 2025, p. 17).</w:t>
      </w:r>
    </w:p>
    <w:p>
      <w:pPr>
        <w:spacing w:after="150" w:before="0" w:line="288"/>
        <w:jc w:val="both"/>
      </w:pPr>
      <w:r>
        <w:rPr>
          <w:rFonts w:ascii="Georgia" w:cs="Georgia" w:eastAsia="Georgia" w:hAnsi="Georgia"/>
          <w:b w:val="false"/>
          <w:bCs w:val="false"/>
          <w:i w:val="false"/>
          <w:iCs w:val="false"/>
          <w:color w:val="222222"/>
          <w:sz w:val="21"/>
          <w:szCs w:val="21"/>
        </w:rPr>
        <w:t xml:space="preserve">For the movement of people, the Agreement provides assured, predictable entry routes — with defined durations — for business visitors, intra-corporate transferees (and their dependants), contractual service suppliers, independent professionals and investors, and it removes the uncertainty of 'economic needs tests' and numerical caps for professionals travelling to the UK for work (PIB Backgrounder, 29 July 2025, pp. 17–18). In a first-of-its-kind arrangement, a dedicated annual quota of 1,800 is reserved for Indian chefs, yoga instructors and classical musicians (PIB, Release ID 2274280). Both countries have also agreed to work towards mutual recognition of professional qualifications — targeted within twelve months of entry into force — in fields such as nursing, accountancy and architecture (PIB Backgrounder, 29 July 2025, p. 17).</w:t>
      </w:r>
    </w:p>
    <w:p>
      <w:pPr>
        <w:pStyle w:val="Heading2"/>
        <w:keepNext/>
        <w:spacing w:after="90" w:before="240"/>
      </w:pPr>
      <w:r>
        <w:rPr>
          <w:rFonts w:ascii="Georgia" w:cs="Georgia" w:eastAsia="Georgia" w:hAnsi="Georgia"/>
          <w:b/>
          <w:bCs/>
          <w:i w:val="false"/>
          <w:iCs w:val="false"/>
          <w:color w:val="2E4C7E"/>
          <w:sz w:val="24"/>
          <w:szCs w:val="24"/>
        </w:rPr>
        <w:t xml:space="preserve">2.7  The Double Contribution Convention (social security)</w:t>
      </w:r>
    </w:p>
    <w:p>
      <w:pPr>
        <w:spacing w:after="150" w:before="0" w:line="288"/>
        <w:jc w:val="both"/>
      </w:pPr>
      <w:r>
        <w:rPr>
          <w:rFonts w:ascii="Georgia" w:cs="Georgia" w:eastAsia="Georgia" w:hAnsi="Georgia"/>
          <w:b w:val="false"/>
          <w:bCs w:val="false"/>
          <w:i w:val="false"/>
          <w:iCs w:val="false"/>
          <w:color w:val="222222"/>
          <w:sz w:val="21"/>
          <w:szCs w:val="21"/>
        </w:rPr>
        <w:t xml:space="preserve">Running alongside the CETA, and entering into force on the same day, is the Agreement on Social Security — commonly called the Double Contribution Convention (DCC), signed on 10 February 2026. Until now, Indian professionals posted to the UK, and their employers, had to pay UK social security (National Insurance) contributions during short assignments, often without any corresponding benefit. The DCC removes that double burden: for temporary assignments, contributions continue only in the home country. Critically, the exemption period has been </w:t>
      </w:r>
      <w:r>
        <w:rPr>
          <w:rFonts w:ascii="Georgia" w:cs="Georgia" w:eastAsia="Georgia" w:hAnsi="Georgia"/>
          <w:b/>
          <w:bCs/>
          <w:i w:val="false"/>
          <w:iCs w:val="false"/>
          <w:color w:val="222222"/>
          <w:sz w:val="21"/>
          <w:szCs w:val="21"/>
        </w:rPr>
        <w:t xml:space="preserve">increased from three years to five years</w:t>
      </w:r>
      <w:r>
        <w:rPr>
          <w:rFonts w:ascii="Georgia" w:cs="Georgia" w:eastAsia="Georgia" w:hAnsi="Georgia"/>
          <w:b w:val="false"/>
          <w:bCs w:val="false"/>
          <w:i w:val="false"/>
          <w:iCs w:val="false"/>
          <w:color w:val="222222"/>
          <w:sz w:val="21"/>
          <w:szCs w:val="21"/>
        </w:rPr>
        <w:t xml:space="preserve"> — a material improvement on the position at signing (PIB, Release ID 2274280).</w:t>
      </w:r>
    </w:p>
    <w:p>
      <w:pPr>
        <w:spacing w:after="150" w:before="0" w:line="288"/>
        <w:jc w:val="both"/>
      </w:pPr>
      <w:r>
        <w:rPr>
          <w:rFonts w:ascii="Georgia" w:cs="Georgia" w:eastAsia="Georgia" w:hAnsi="Georgia"/>
          <w:b w:val="false"/>
          <w:bCs w:val="false"/>
          <w:i w:val="false"/>
          <w:iCs w:val="false"/>
          <w:color w:val="222222"/>
          <w:sz w:val="21"/>
          <w:szCs w:val="21"/>
        </w:rPr>
        <w:t xml:space="preserve">The government estimates that more than 75,000 Indian professionals and over 900 companies will benefit (PIB, Release ID 2274280). Industry estimates at signing put the resulting savings at over ₹4,000 crore (over USD 500 million) on the three-year basis; the benefit is larger now that the exemption runs to five years (PIB Backgrounder, 29 July 2025, p. 18). In practice, an employer relies on the exemption by obtaining a Certificate of Coverage from the home-country authority (in India, the Employees' Provident Fund Organisation) confirming that home-country contributions continue.</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For any Indian company that deputes staff to the UK, this is a direct, quantifiable payroll saving from day one — but only if the paperwork is in place. Global-mobility policies, assignment letters and tax-equalisation clauses should be reviewed, and a Certificate of Coverage process established, before staff are deployed.</w:t>
            </w:r>
          </w:p>
        </w:tc>
      </w:tr>
    </w:tbl>
    <w:p>
      <w:pPr>
        <w:pStyle w:val="Heading2"/>
        <w:keepNext/>
        <w:spacing w:after="90" w:before="240"/>
      </w:pPr>
      <w:r>
        <w:rPr>
          <w:rFonts w:ascii="Georgia" w:cs="Georgia" w:eastAsia="Georgia" w:hAnsi="Georgia"/>
          <w:b/>
          <w:bCs/>
          <w:i w:val="false"/>
          <w:iCs w:val="false"/>
          <w:color w:val="2E4C7E"/>
          <w:sz w:val="24"/>
          <w:szCs w:val="24"/>
        </w:rPr>
        <w:t xml:space="preserve">2.8  Customs cooperation and trade facilitation</w:t>
      </w:r>
    </w:p>
    <w:p>
      <w:pPr>
        <w:spacing w:after="150" w:before="0" w:line="288"/>
        <w:jc w:val="both"/>
      </w:pPr>
      <w:r>
        <w:rPr>
          <w:rFonts w:ascii="Georgia" w:cs="Georgia" w:eastAsia="Georgia" w:hAnsi="Georgia"/>
          <w:b w:val="false"/>
          <w:bCs w:val="false"/>
          <w:i w:val="false"/>
          <w:iCs w:val="false"/>
          <w:color w:val="222222"/>
          <w:sz w:val="21"/>
          <w:szCs w:val="21"/>
        </w:rPr>
        <w:t xml:space="preserve">Beyond tariffs, the Agreement is designed to make the act of trading faster and more predictable. It commits both sides to simplified and modernised customs procedures, greater use of electronic and paperless documentation, cooperation between the two customs administrations, and expedited treatment for businesses enrolled as Authorised Economic Operators (AEOs) through mechanisms such as single-window clearance (PIB Backgrounder, 29 July 2025, p. 26). Supporting commitments aim at quicker release of compliant consignments — including a commitment to release goods that meet customs requirements within a short, defined window (reported as 48 hours) — which, over time, should reduce administrative cost and improve supply-chain reliability (India–UK CETA operational guidance, drawing on the House of Commons Library research briefing).</w:t>
      </w:r>
    </w:p>
    <w:p>
      <w:pPr>
        <w:pStyle w:val="Heading2"/>
        <w:keepNext/>
        <w:spacing w:after="90" w:before="240"/>
      </w:pPr>
      <w:r>
        <w:rPr>
          <w:rFonts w:ascii="Georgia" w:cs="Georgia" w:eastAsia="Georgia" w:hAnsi="Georgia"/>
          <w:b/>
          <w:bCs/>
          <w:i w:val="false"/>
          <w:iCs w:val="false"/>
          <w:color w:val="2E4C7E"/>
          <w:sz w:val="24"/>
          <w:szCs w:val="24"/>
        </w:rPr>
        <w:t xml:space="preserve">2.9  Digital trade</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has a strong digital focus. Provisions on paperless trading, electronic certification and digital trade facilitation are intended to make cross-border business faster and cheaper, while safeguarding data and consumer rights in the digital economy (PIB Backgrounder, 29 July 2025, p. 21). For India's technology sector and for smaller businesses selling online, the combination of digital-trade rules and simplified origin procedures lowers the practical friction of exporting.</w:t>
      </w:r>
    </w:p>
    <w:p>
      <w:pPr>
        <w:pStyle w:val="Heading2"/>
        <w:keepNext/>
        <w:spacing w:after="90" w:before="240"/>
      </w:pPr>
      <w:r>
        <w:rPr>
          <w:rFonts w:ascii="Georgia" w:cs="Georgia" w:eastAsia="Georgia" w:hAnsi="Georgia"/>
          <w:b/>
          <w:bCs/>
          <w:i w:val="false"/>
          <w:iCs w:val="false"/>
          <w:color w:val="2E4C7E"/>
          <w:sz w:val="24"/>
          <w:szCs w:val="24"/>
        </w:rPr>
        <w:t xml:space="preserve">2.10  Intellectual property</w:t>
      </w:r>
    </w:p>
    <w:p>
      <w:pPr>
        <w:spacing w:after="150" w:before="0" w:line="288"/>
        <w:jc w:val="both"/>
      </w:pPr>
      <w:r>
        <w:rPr>
          <w:rFonts w:ascii="Georgia" w:cs="Georgia" w:eastAsia="Georgia" w:hAnsi="Georgia"/>
          <w:b w:val="false"/>
          <w:bCs w:val="false"/>
          <w:i w:val="false"/>
          <w:iCs w:val="false"/>
          <w:color w:val="222222"/>
          <w:sz w:val="21"/>
          <w:szCs w:val="21"/>
        </w:rPr>
        <w:t xml:space="preserve">The intellectual-property chapter aims at a balanced framework — protecting and enforcing IP rights while preserving access, particularly in areas of importance to India such as generic medicines. In practical terms it supports pharmaceutical and biotech collaboration and gives businesses on both sides greater certainty about how their brands, patents and other IP will be treated in the other market (PIB Backgrounder, 29 July 2025, p. 21; WTC Mumbai Report, 2025, p. 13).</w:t>
      </w:r>
    </w:p>
    <w:p>
      <w:pPr>
        <w:pStyle w:val="Heading2"/>
        <w:keepNext/>
        <w:spacing w:after="90" w:before="240"/>
      </w:pPr>
      <w:r>
        <w:rPr>
          <w:rFonts w:ascii="Georgia" w:cs="Georgia" w:eastAsia="Georgia" w:hAnsi="Georgia"/>
          <w:b/>
          <w:bCs/>
          <w:i w:val="false"/>
          <w:iCs w:val="false"/>
          <w:color w:val="2E4C7E"/>
          <w:sz w:val="24"/>
          <w:szCs w:val="24"/>
        </w:rPr>
        <w:t xml:space="preserve">2.11  Investment (and the still-pending Bilateral Investment Treaty)</w:t>
      </w:r>
    </w:p>
    <w:p>
      <w:pPr>
        <w:spacing w:after="150" w:before="0" w:line="288"/>
        <w:jc w:val="both"/>
      </w:pPr>
      <w:r>
        <w:rPr>
          <w:rFonts w:ascii="Georgia" w:cs="Georgia" w:eastAsia="Georgia" w:hAnsi="Georgia"/>
          <w:b w:val="false"/>
          <w:bCs w:val="false"/>
          <w:i w:val="false"/>
          <w:iCs w:val="false"/>
          <w:color w:val="222222"/>
          <w:sz w:val="21"/>
          <w:szCs w:val="21"/>
        </w:rPr>
        <w:t xml:space="preserve">The CETA itself opens new investment avenues: Indian companies gain better access to UK capital markets and clients, and UK investors gain expanded opportunities in India's fast-growing economy. A separate Bilateral Investment Treaty (BIT) — which would provide dedicated investment-protection guarantees — is, however, still under negotiation and has not yet been concluded. Talks have turned on issues such as the dispute-resolution mechanism and the treatment of tax matters (PIB Backgrounder, 29 July 2025, p. 13). Businesses making significant India–UK investments should therefore continue to monitor the BIT as a separate track.</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60"/>
            </w:pPr>
            <w:r>
              <w:rPr>
                <w:rFonts w:ascii="Georgia" w:cs="Georgia" w:eastAsia="Georgia" w:hAnsi="Georgia"/>
                <w:b/>
                <w:bCs/>
                <w:i w:val="false"/>
                <w:iCs w:val="false"/>
                <w:color w:val="444444"/>
                <w:sz w:val="17"/>
                <w:szCs w:val="17"/>
              </w:rPr>
              <w:t xml:space="preserve">CLIENT TIP</w:t>
            </w:r>
          </w:p>
          <w:p>
            <w:pPr>
              <w:spacing w:after="40" w:line="276"/>
              <w:jc w:val="left"/>
            </w:pPr>
            <w:r>
              <w:rPr>
                <w:rFonts w:ascii="Georgia" w:cs="Georgia" w:eastAsia="Georgia" w:hAnsi="Georgia"/>
                <w:b w:val="false"/>
                <w:bCs w:val="false"/>
                <w:i w:val="false"/>
                <w:iCs w:val="false"/>
                <w:color w:val="222222"/>
                <w:sz w:val="20"/>
                <w:szCs w:val="20"/>
              </w:rPr>
              <w:t xml:space="preserve">Do not assume the CETA contains full, stand-alone investment-protection guarantees. For material cross-border investments, structure the transaction on the basis of the protections that currently exist, and keep the pending BIT under review.</w:t>
            </w:r>
          </w:p>
        </w:tc>
      </w:tr>
    </w:tbl>
    <w:p>
      <w:pPr>
        <w:pStyle w:val="Heading2"/>
        <w:keepNext/>
        <w:spacing w:after="90" w:before="240"/>
      </w:pPr>
      <w:r>
        <w:rPr>
          <w:rFonts w:ascii="Georgia" w:cs="Georgia" w:eastAsia="Georgia" w:hAnsi="Georgia"/>
          <w:b/>
          <w:bCs/>
          <w:i w:val="false"/>
          <w:iCs w:val="false"/>
          <w:color w:val="2E4C7E"/>
          <w:sz w:val="24"/>
          <w:szCs w:val="24"/>
        </w:rPr>
        <w:t xml:space="preserve">2.12  Government procurement</w:t>
      </w:r>
    </w:p>
    <w:p>
      <w:pPr>
        <w:spacing w:after="150" w:before="0" w:line="288"/>
        <w:jc w:val="both"/>
      </w:pPr>
      <w:r>
        <w:rPr>
          <w:rFonts w:ascii="Georgia" w:cs="Georgia" w:eastAsia="Georgia" w:hAnsi="Georgia"/>
          <w:b w:val="false"/>
          <w:bCs w:val="false"/>
          <w:i w:val="false"/>
          <w:iCs w:val="false"/>
          <w:color w:val="222222"/>
          <w:sz w:val="21"/>
          <w:szCs w:val="21"/>
        </w:rPr>
        <w:t xml:space="preserve">For the first time in a bilateral agreement, India has opened parts of its public-procurement market to UK-based firms, and the UK has made reciprocal commitments (PIB, Release ID 2274280; PIB Backgrounder, 29 July 2025, p. 26). This is a genuine new opportunity, but it comes with a note of caution that Indian stakeholders — especially micro, small and medium enterprises (MSMEs) — have raised: the UK's public-procurement market is, in practice, harder for foreign suppliers to penetrate, and Indian MSMEs may lack familiarity with UK procurement systems. The commercial reality of reciprocal access may therefore be uneven, and businesses should assess the practical route into each market carefully (WTC Mumbai Report, 2025, p. 14).</w:t>
      </w:r>
    </w:p>
    <w:p>
      <w:pPr>
        <w:pStyle w:val="Heading2"/>
        <w:keepNext/>
        <w:spacing w:after="90" w:before="240"/>
      </w:pPr>
      <w:r>
        <w:rPr>
          <w:rFonts w:ascii="Georgia" w:cs="Georgia" w:eastAsia="Georgia" w:hAnsi="Georgia"/>
          <w:b/>
          <w:bCs/>
          <w:i w:val="false"/>
          <w:iCs w:val="false"/>
          <w:color w:val="2E4C7E"/>
          <w:sz w:val="24"/>
          <w:szCs w:val="24"/>
        </w:rPr>
        <w:t xml:space="preserve">2.13  Micro, small and medium enterprises (MSMEs)</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contains a dedicated MSME chapter and establishes a contact point to help smaller businesses use it, alongside faster customs processing, recognition of digital and paperless systems, and cooperation on trade education and finance (PIB Backgrounder, 29 July 2025, p. 26). Given that MSMEs account for a large share of India's exports, the combination of zero UK tariffs on labour-intensive goods and simplified origin procedures is potentially transformative — provided smaller firms invest in the classification, origin and documentation capabilities the Agreement requires.</w:t>
      </w:r>
    </w:p>
    <w:p>
      <w:pPr>
        <w:pStyle w:val="Heading2"/>
        <w:keepNext/>
        <w:spacing w:after="90" w:before="240"/>
      </w:pPr>
      <w:r>
        <w:rPr>
          <w:rFonts w:ascii="Georgia" w:cs="Georgia" w:eastAsia="Georgia" w:hAnsi="Georgia"/>
          <w:b/>
          <w:bCs/>
          <w:i w:val="false"/>
          <w:iCs w:val="false"/>
          <w:color w:val="2E4C7E"/>
          <w:sz w:val="24"/>
          <w:szCs w:val="24"/>
        </w:rPr>
        <w:t xml:space="preserve">2.14  Sustainability, labour, gender and anti-corruption</w:t>
      </w:r>
    </w:p>
    <w:p>
      <w:pPr>
        <w:spacing w:after="150" w:before="0" w:line="288"/>
        <w:jc w:val="both"/>
      </w:pPr>
      <w:r>
        <w:rPr>
          <w:rFonts w:ascii="Georgia" w:cs="Georgia" w:eastAsia="Georgia" w:hAnsi="Georgia"/>
          <w:b w:val="false"/>
          <w:bCs w:val="false"/>
          <w:i w:val="false"/>
          <w:iCs w:val="false"/>
          <w:color w:val="222222"/>
          <w:sz w:val="21"/>
          <w:szCs w:val="21"/>
        </w:rPr>
        <w:t xml:space="preserve">Consistent with modern trade agreements, the CETA embeds commitments on environmental cooperation and clean technologies, internationally recognised labour rights, gender equality and inclusive participation in trade, and anti-corruption (PIB Backgrounder, 29 July 2025, pp. 21, 24). For most businesses these chapters operate in the background, but they signal the direction of travel — buyers and regulators in both markets increasingly expect demonstrable environmental, social and governance (ESG) compliance across supply chains.</w:t>
      </w:r>
    </w:p>
    <w:p>
      <w:pPr>
        <w:pStyle w:val="Heading2"/>
        <w:keepNext/>
        <w:spacing w:after="90" w:before="240"/>
      </w:pPr>
      <w:r>
        <w:rPr>
          <w:rFonts w:ascii="Georgia" w:cs="Georgia" w:eastAsia="Georgia" w:hAnsi="Georgia"/>
          <w:b/>
          <w:bCs/>
          <w:i w:val="false"/>
          <w:iCs w:val="false"/>
          <w:color w:val="2E4C7E"/>
          <w:sz w:val="24"/>
          <w:szCs w:val="24"/>
        </w:rPr>
        <w:t xml:space="preserve">2.15  Governance — how the Agreement will run and evolve</w:t>
      </w:r>
    </w:p>
    <w:p>
      <w:pPr>
        <w:spacing w:after="150" w:before="0" w:line="288"/>
        <w:jc w:val="both"/>
      </w:pPr>
      <w:r>
        <w:rPr>
          <w:rFonts w:ascii="Georgia" w:cs="Georgia" w:eastAsia="Georgia" w:hAnsi="Georgia"/>
          <w:b w:val="false"/>
          <w:bCs w:val="false"/>
          <w:i w:val="false"/>
          <w:iCs w:val="false"/>
          <w:color w:val="222222"/>
          <w:sz w:val="21"/>
          <w:szCs w:val="21"/>
        </w:rPr>
        <w:t xml:space="preserve">The Agreement is administered by a Joint Committee, supported by sub-committees and specialised working groups (covering, for example, Rules of Origin, mobility, intellectual property, procurement, gender and anti-corruption). These bodies will interpret and implement the Agreement, resolve issues and take it forward over time. Amendments require the mutual consent of both parties and take effect a set period after each side confirms completion of its domestic approvals (under the Agreement's amendment mechanism; details should be confirmed against the Agreement text).</w:t>
      </w:r>
    </w:p>
    <w:tbl>
      <w:tblPr>
        <w:tblW w:type="dxa" w:w="9026"/>
        <w:tblBorders>
          <w:top w:val="single" w:color="EAF1FA" w:sz="2"/>
          <w:left w:val="single" w:color="2E5FA3" w:sz="30"/>
          <w:bottom w:val="single" w:color="EAF1FA" w:sz="2"/>
          <w:right w:val="single" w:color="EAF1FA" w:sz="2"/>
          <w:insideH w:val="none"/>
          <w:insideV w:val="none"/>
        </w:tblBorders>
      </w:tblPr>
      <w:tblGrid>
        <w:gridCol w:w="9026"/>
      </w:tblGrid>
      <w:tr>
        <w:tc>
          <w:tcPr>
            <w:tcW w:type="dxa" w:w="9026"/>
            <w:shd w:fill="EAF1FA" w:color="auto" w:val="clear"/>
            <w:tcMar>
              <w:top w:type="dxa" w:w="130"/>
              <w:left w:type="dxa" w:w="220"/>
              <w:bottom w:type="dxa" w:w="130"/>
              <w:right w:type="dxa" w:w="200"/>
            </w:tcMar>
          </w:tcPr>
          <w:p>
            <w:pPr>
              <w:spacing w:after="60"/>
            </w:pPr>
            <w:r>
              <w:rPr>
                <w:rFonts w:ascii="Georgia" w:cs="Georgia" w:eastAsia="Georgia" w:hAnsi="Georgia"/>
                <w:b/>
                <w:bCs/>
                <w:i w:val="false"/>
                <w:iCs w:val="false"/>
                <w:color w:val="2E5FA3"/>
                <w:sz w:val="17"/>
                <w:szCs w:val="17"/>
              </w:rPr>
              <w:t xml:space="preserve">PRACTICAL IMPACT</w:t>
            </w:r>
          </w:p>
          <w:p>
            <w:pPr>
              <w:spacing w:after="40" w:line="276"/>
              <w:jc w:val="left"/>
            </w:pPr>
            <w:r>
              <w:rPr>
                <w:rFonts w:ascii="Georgia" w:cs="Georgia" w:eastAsia="Georgia" w:hAnsi="Georgia"/>
                <w:b w:val="false"/>
                <w:bCs w:val="false"/>
                <w:i w:val="false"/>
                <w:iCs w:val="false"/>
                <w:color w:val="222222"/>
                <w:sz w:val="20"/>
                <w:szCs w:val="20"/>
              </w:rPr>
              <w:t xml:space="preserve">The CETA is not a static document. Tariff lines will keep phasing down over 5, 7 and 10 years; mutual-recognition arrangements are still to be finalised; and the working groups will issue guidance. Treat compliance as an ongoing programme, and review your position at least annually against the current schedule and any new notifications.</w:t>
            </w:r>
          </w:p>
        </w:tc>
      </w:tr>
    </w:tbl>
    <w:p>
      <w:pPr>
        <w:pStyle w:val="Heading2"/>
        <w:keepNext/>
        <w:spacing w:after="90" w:before="240"/>
      </w:pPr>
      <w:r>
        <w:rPr>
          <w:rFonts w:ascii="Georgia" w:cs="Georgia" w:eastAsia="Georgia" w:hAnsi="Georgia"/>
          <w:b/>
          <w:bCs/>
          <w:i w:val="false"/>
          <w:iCs w:val="false"/>
          <w:color w:val="2E4C7E"/>
          <w:sz w:val="24"/>
          <w:szCs w:val="24"/>
        </w:rPr>
        <w:t xml:space="preserve">2.16  The steel understanding — a topical carve-out</w:t>
      </w:r>
    </w:p>
    <w:p>
      <w:pPr>
        <w:spacing w:after="150" w:before="0" w:line="288"/>
        <w:jc w:val="both"/>
      </w:pPr>
      <w:r>
        <w:rPr>
          <w:rFonts w:ascii="Georgia" w:cs="Georgia" w:eastAsia="Georgia" w:hAnsi="Georgia"/>
          <w:b w:val="false"/>
          <w:bCs w:val="false"/>
          <w:i w:val="false"/>
          <w:iCs w:val="false"/>
          <w:color w:val="222222"/>
          <w:sz w:val="21"/>
          <w:szCs w:val="21"/>
        </w:rPr>
        <w:t xml:space="preserve">Implementation was nearly delayed by an unrelated UK steel measure. In May 2026 the UK announced a steel-safeguard regulation, effective 1 July 2026, that cut the duty-free steel-import quota and sharply increased the above-quota tariff. Because this was a broad safeguard action outside the CETA negotiations, it threatened to disrupt the timetable. India and the UK resolved the issue ahead of entry into force: about 85% of India's steel exports fall outside the steel measures, and, for the lines affected, India's interests are protected through a mix of country-specific quotas, residual quotas and access under an Authorised Use Scheme (PIB, Release ID 2274280). Steel exporters should nonetheless track the detailed quota terms as they are published.</w:t>
      </w:r>
    </w:p>
    <w:p>
      <w:pPr>
        <w:pStyle w:val="Heading2"/>
        <w:keepNext/>
        <w:spacing w:after="90" w:before="240"/>
      </w:pPr>
      <w:r>
        <w:rPr>
          <w:rFonts w:ascii="Georgia" w:cs="Georgia" w:eastAsia="Georgia" w:hAnsi="Georgia"/>
          <w:b/>
          <w:bCs/>
          <w:i w:val="false"/>
          <w:iCs w:val="false"/>
          <w:color w:val="2E4C7E"/>
          <w:sz w:val="24"/>
          <w:szCs w:val="24"/>
        </w:rPr>
        <w:t xml:space="preserve">2.17  Implementation timeline at a glance</w:t>
      </w:r>
    </w:p>
    <w:tbl>
      <w:tblPr>
        <w:tblW w:type="dxa" w:w="9026"/>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7326"/>
      </w:tblGrid>
      <w:tr>
        <w:trPr>
          <w:tblHeader/>
        </w:trPr>
        <w:tc>
          <w:tcPr>
            <w:tcW w:type="dxa" w:w="1700"/>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When</w:t>
            </w:r>
          </w:p>
        </w:tc>
        <w:tc>
          <w:tcPr>
            <w:tcW w:type="dxa" w:w="7326"/>
            <w:shd w:fill="1F3864" w:color="auto" w:val="clear"/>
            <w:tcMar>
              <w:top w:type="dxa" w:w="70"/>
              <w:left w:type="dxa" w:w="110"/>
              <w:bottom w:type="dxa" w:w="70"/>
              <w:right w:type="dxa" w:w="110"/>
            </w:tcMar>
            <w:vAlign w:val="center"/>
          </w:tcPr>
          <w:p>
            <w:pPr>
              <w:spacing w:after="0" w:line="260"/>
            </w:pPr>
            <w:r>
              <w:rPr>
                <w:rFonts w:ascii="Georgia" w:cs="Georgia" w:eastAsia="Georgia" w:hAnsi="Georgia"/>
                <w:b/>
                <w:bCs/>
                <w:i w:val="false"/>
                <w:iCs w:val="false"/>
                <w:color w:val="FFFFFF"/>
                <w:sz w:val="19"/>
                <w:szCs w:val="19"/>
              </w:rPr>
              <w:t xml:space="preserve">Milestone</w:t>
            </w:r>
          </w:p>
        </w:tc>
      </w:tr>
      <w:tr>
        <w:tc>
          <w:tcPr>
            <w:tcW w:type="dxa" w:w="1700"/>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May 2021</w:t>
            </w:r>
          </w:p>
        </w:tc>
        <w:tc>
          <w:tcPr>
            <w:tcW w:type="dxa" w:w="73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Enhanced Trade Partnership and India–UK Roadmap 2030 adopted; goal set to roughly double bilateral trade by 2030.</w:t>
            </w:r>
          </w:p>
        </w:tc>
      </w:tr>
      <w:tr>
        <w:tc>
          <w:tcPr>
            <w:tcW w:type="dxa" w:w="1700"/>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2022</w:t>
            </w:r>
          </w:p>
        </w:tc>
        <w:tc>
          <w:tcPr>
            <w:tcW w:type="dxa" w:w="73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Formal FTA negotiations launched.</w:t>
            </w:r>
          </w:p>
        </w:tc>
      </w:tr>
      <w:tr>
        <w:tc>
          <w:tcPr>
            <w:tcW w:type="dxa" w:w="1700"/>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6 May 2025</w:t>
            </w:r>
          </w:p>
        </w:tc>
        <w:tc>
          <w:tcPr>
            <w:tcW w:type="dxa" w:w="73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Negotiations concluded after fourteen rounds.</w:t>
            </w:r>
          </w:p>
        </w:tc>
      </w:tr>
      <w:tr>
        <w:tc>
          <w:tcPr>
            <w:tcW w:type="dxa" w:w="1700"/>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24 July 2025</w:t>
            </w:r>
          </w:p>
        </w:tc>
        <w:tc>
          <w:tcPr>
            <w:tcW w:type="dxa" w:w="73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CETA signed in London.</w:t>
            </w:r>
          </w:p>
        </w:tc>
      </w:tr>
      <w:tr>
        <w:tc>
          <w:tcPr>
            <w:tcW w:type="dxa" w:w="1700"/>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10 Feb 2026</w:t>
            </w:r>
          </w:p>
        </w:tc>
        <w:tc>
          <w:tcPr>
            <w:tcW w:type="dxa" w:w="73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Double Contribution Convention (social security) signed.</w:t>
            </w:r>
          </w:p>
        </w:tc>
      </w:tr>
      <w:tr>
        <w:tc>
          <w:tcPr>
            <w:tcW w:type="dxa" w:w="1700"/>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1 July 2026</w:t>
            </w:r>
          </w:p>
        </w:tc>
        <w:tc>
          <w:tcPr>
            <w:tcW w:type="dxa" w:w="73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UK steel-safeguard measure takes effect; addressed through the CETA steel understanding.</w:t>
            </w:r>
          </w:p>
        </w:tc>
      </w:tr>
      <w:tr>
        <w:tc>
          <w:tcPr>
            <w:tcW w:type="dxa" w:w="1700"/>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1F3864"/>
                <w:sz w:val="19"/>
                <w:szCs w:val="19"/>
              </w:rPr>
              <w:t xml:space="preserve">15 July 2026</w:t>
            </w:r>
          </w:p>
        </w:tc>
        <w:tc>
          <w:tcPr>
            <w:tcW w:type="dxa" w:w="7326"/>
            <w:tcMar>
              <w:top w:type="dxa" w:w="70"/>
              <w:left w:type="dxa" w:w="110"/>
              <w:bottom w:type="dxa" w:w="70"/>
              <w:right w:type="dxa" w:w="110"/>
            </w:tcMar>
            <w:vAlign w:val="center"/>
          </w:tcPr>
          <w:p>
            <w:pPr>
              <w:spacing w:after="0" w:line="264"/>
            </w:pPr>
            <w:r>
              <w:rPr>
                <w:rFonts w:ascii="Georgia" w:cs="Georgia" w:eastAsia="Georgia" w:hAnsi="Georgia"/>
                <w:b/>
                <w:bCs/>
                <w:i w:val="false"/>
                <w:iCs w:val="false"/>
                <w:color w:val="222222"/>
                <w:sz w:val="19"/>
                <w:szCs w:val="19"/>
              </w:rPr>
              <w:t xml:space="preserve">CETA and DCC enter into force — the date this memorandum is issued. Preferential duties and the Agreement's rules become operative.</w:t>
            </w:r>
          </w:p>
        </w:tc>
      </w:tr>
      <w:tr>
        <w:tc>
          <w:tcPr>
            <w:tcW w:type="dxa" w:w="1700"/>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2026 onward</w:t>
            </w:r>
          </w:p>
        </w:tc>
        <w:tc>
          <w:tcPr>
            <w:tcW w:type="dxa" w:w="7326"/>
            <w:shd w:fill="EEF2F8" w:color="auto" w:val="clear"/>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Tariff phase-downs continue over 5, 7 and 10 years; mutual-recognition arrangements targeted within 12 months; Joint Committee and working groups begin work.</w:t>
            </w:r>
          </w:p>
        </w:tc>
      </w:tr>
      <w:tr>
        <w:tc>
          <w:tcPr>
            <w:tcW w:type="dxa" w:w="1700"/>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Pending</w:t>
            </w:r>
          </w:p>
        </w:tc>
        <w:tc>
          <w:tcPr>
            <w:tcW w:type="dxa" w:w="7326"/>
            <w:tcMar>
              <w:top w:type="dxa" w:w="70"/>
              <w:left w:type="dxa" w:w="110"/>
              <w:bottom w:type="dxa" w:w="70"/>
              <w:right w:type="dxa" w:w="110"/>
            </w:tcMar>
            <w:vAlign w:val="center"/>
          </w:tcPr>
          <w:p>
            <w:pPr>
              <w:spacing w:after="0" w:line="264"/>
            </w:pPr>
            <w:r>
              <w:rPr>
                <w:rFonts w:ascii="Georgia" w:cs="Georgia" w:eastAsia="Georgia" w:hAnsi="Georgia"/>
                <w:b w:val="false"/>
                <w:bCs w:val="false"/>
                <w:i w:val="false"/>
                <w:iCs w:val="false"/>
                <w:color w:val="222222"/>
                <w:sz w:val="19"/>
                <w:szCs w:val="19"/>
              </w:rPr>
              <w:t xml:space="preserve">Bilateral Investment Treaty negotiated on a separate track; not yet concluded.</w:t>
            </w:r>
          </w:p>
        </w:tc>
      </w:tr>
    </w:tbl>
    <w:p>
      <w:pPr>
        <w:spacing w:after="40"/>
      </w:pPr>
      <w:r>
        <w:rPr>
          <w:rFonts w:ascii="Georgia" w:cs="Georgia" w:eastAsia="Georgia" w:hAnsi="Georgia"/>
          <w:b w:val="false"/>
          <w:bCs w:val="false"/>
          <w:i w:val="false"/>
          <w:iCs w:val="false"/>
          <w:color w:val="222222"/>
          <w:sz w:val="21"/>
          <w:szCs w:val="21"/>
        </w:rPr>
        <w:t xml:space="preserve"/>
      </w:r>
    </w:p>
    <w:tbl>
      <w:tblPr>
        <w:tblW w:type="dxa" w:w="9026"/>
        <w:tblBorders>
          <w:top w:val="single" w:color="FBF4E4" w:sz="2"/>
          <w:left w:val="single" w:color="B07A12" w:sz="30"/>
          <w:bottom w:val="single" w:color="FBF4E4" w:sz="2"/>
          <w:right w:val="single" w:color="FBF4E4" w:sz="2"/>
          <w:insideH w:val="none"/>
          <w:insideV w:val="none"/>
        </w:tblBorders>
      </w:tblPr>
      <w:tblGrid>
        <w:gridCol w:w="9026"/>
      </w:tblGrid>
      <w:tr>
        <w:tc>
          <w:tcPr>
            <w:tcW w:type="dxa" w:w="9026"/>
            <w:shd w:fill="FBF4E4" w:color="auto" w:val="clear"/>
            <w:tcMar>
              <w:top w:type="dxa" w:w="130"/>
              <w:left w:type="dxa" w:w="220"/>
              <w:bottom w:type="dxa" w:w="130"/>
              <w:right w:type="dxa" w:w="200"/>
            </w:tcMar>
          </w:tcPr>
          <w:p>
            <w:pPr>
              <w:spacing w:after="60"/>
            </w:pPr>
            <w:r>
              <w:rPr>
                <w:rFonts w:ascii="Georgia" w:cs="Georgia" w:eastAsia="Georgia" w:hAnsi="Georgia"/>
                <w:b/>
                <w:bCs/>
                <w:i w:val="false"/>
                <w:iCs w:val="false"/>
                <w:color w:val="B07A12"/>
                <w:sz w:val="17"/>
                <w:szCs w:val="17"/>
              </w:rPr>
              <w:t xml:space="preserve">KEY TAKEAWAY</w:t>
            </w:r>
          </w:p>
          <w:p>
            <w:pPr>
              <w:spacing w:after="40" w:line="276"/>
              <w:jc w:val="left"/>
            </w:pPr>
            <w:r>
              <w:rPr>
                <w:rFonts w:ascii="Georgia" w:cs="Georgia" w:eastAsia="Georgia" w:hAnsi="Georgia"/>
                <w:b w:val="false"/>
                <w:bCs w:val="false"/>
                <w:i w:val="false"/>
                <w:iCs w:val="false"/>
                <w:color w:val="222222"/>
                <w:sz w:val="20"/>
                <w:szCs w:val="20"/>
              </w:rPr>
              <w:t xml:space="preserve">The CETA is broad, but its commercial value for goods trade rests on three linked steps: (1) the correct HS classification, (2) genuine qualification under the Rules of Origin, and (3) proper self-certification and record-keeping. Chapters 1 and 3, and the Master Comparison Tables that follow, work through what this means sector by sector, in both directions of trade.</w:t>
            </w:r>
          </w:p>
        </w:tc>
      </w:tr>
    </w:tbl>
    <w:p>
      <w:pPr>
        <w:spacing w:after="60" w:before="220"/>
      </w:pPr>
      <w:r>
        <w:rPr>
          <w:rFonts w:ascii="Georgia" w:cs="Georgia" w:eastAsia="Georgia" w:hAnsi="Georgia"/>
          <w:b/>
          <w:bCs/>
          <w:i w:val="false"/>
          <w:iCs w:val="false"/>
          <w:color w:val="1F3864"/>
          <w:sz w:val="20"/>
          <w:szCs w:val="20"/>
        </w:rPr>
        <w:t xml:space="preserve">Primary sources referenced in this chapter</w:t>
      </w:r>
    </w:p>
    <w:tbl>
      <w:tblPr>
        <w:tblW w:type="dxa" w:w="9026"/>
        <w:tblBorders>
          <w:top w:val="single" w:color="F2F2F2" w:sz="2"/>
          <w:left w:val="single" w:color="9A9A9A" w:sz="30"/>
          <w:bottom w:val="single" w:color="F2F2F2" w:sz="2"/>
          <w:right w:val="single" w:color="F2F2F2" w:sz="2"/>
          <w:insideH w:val="none"/>
          <w:insideV w:val="none"/>
        </w:tblBorders>
      </w:tblPr>
      <w:tblGrid>
        <w:gridCol w:w="9026"/>
      </w:tblGrid>
      <w:tr>
        <w:tc>
          <w:tcPr>
            <w:tcW w:type="dxa" w:w="9026"/>
            <w:shd w:fill="F2F2F2" w:color="auto" w:val="clear"/>
            <w:tcMar>
              <w:top w:type="dxa" w:w="130"/>
              <w:left w:type="dxa" w:w="220"/>
              <w:bottom w:type="dxa" w:w="130"/>
              <w:right w:type="dxa" w:w="200"/>
            </w:tcMar>
          </w:tcPr>
          <w:p>
            <w:pPr>
              <w:spacing w:after="40" w:line="276"/>
              <w:jc w:val="left"/>
            </w:pPr>
            <w:r>
              <w:rPr>
                <w:rFonts w:ascii="Georgia" w:cs="Georgia" w:eastAsia="Georgia" w:hAnsi="Georgia"/>
                <w:b w:val="false"/>
                <w:bCs w:val="false"/>
                <w:i w:val="false"/>
                <w:iCs w:val="false"/>
                <w:color w:val="222222"/>
                <w:sz w:val="19"/>
                <w:szCs w:val="19"/>
              </w:rPr>
              <w:t xml:space="preserve">• </w:t>
            </w:r>
            <w:r>
              <w:rPr>
                <w:rFonts w:ascii="Georgia" w:cs="Georgia" w:eastAsia="Georgia" w:hAnsi="Georgia"/>
                <w:b w:val="false"/>
                <w:bCs w:val="false"/>
                <w:i w:val="false"/>
                <w:iCs w:val="false"/>
                <w:color w:val="222222"/>
                <w:sz w:val="19"/>
                <w:szCs w:val="19"/>
              </w:rPr>
              <w:t xml:space="preserve">PIB, Ministry of Commerce &amp; Industry, </w:t>
            </w:r>
            <w:r>
              <w:rPr>
                <w:rFonts w:ascii="Georgia" w:cs="Georgia" w:eastAsia="Georgia" w:hAnsi="Georgia"/>
                <w:b w:val="false"/>
                <w:bCs w:val="false"/>
                <w:i/>
                <w:iCs/>
                <w:color w:val="222222"/>
                <w:sz w:val="19"/>
                <w:szCs w:val="19"/>
              </w:rPr>
              <w:t xml:space="preserve">“India and the United Kingdom Unleash a Next Generation Economic Corridor…”</w:t>
            </w:r>
            <w:r>
              <w:rPr>
                <w:rFonts w:ascii="Georgia" w:cs="Georgia" w:eastAsia="Georgia" w:hAnsi="Georgia"/>
                <w:b w:val="false"/>
                <w:bCs w:val="false"/>
                <w:i w:val="false"/>
                <w:iCs w:val="false"/>
                <w:color w:val="222222"/>
                <w:sz w:val="19"/>
                <w:szCs w:val="19"/>
              </w:rPr>
              <w:t xml:space="preserve">, Release ID 2274280, 17 June 2026 (entry into force; DCC extended to 5 years; 30 chapters; steel understanding).</w:t>
            </w:r>
          </w:p>
          <w:p>
            <w:pPr>
              <w:spacing w:after="40" w:line="276"/>
              <w:jc w:val="left"/>
            </w:pPr>
            <w:r>
              <w:rPr>
                <w:rFonts w:ascii="Georgia" w:cs="Georgia" w:eastAsia="Georgia" w:hAnsi="Georgia"/>
                <w:b w:val="false"/>
                <w:bCs w:val="false"/>
                <w:i w:val="false"/>
                <w:iCs w:val="false"/>
                <w:color w:val="222222"/>
                <w:sz w:val="19"/>
                <w:szCs w:val="19"/>
              </w:rPr>
              <w:t xml:space="preserve">• </w:t>
            </w:r>
            <w:r>
              <w:rPr>
                <w:rFonts w:ascii="Georgia" w:cs="Georgia" w:eastAsia="Georgia" w:hAnsi="Georgia"/>
                <w:b w:val="false"/>
                <w:bCs w:val="false"/>
                <w:i w:val="false"/>
                <w:iCs w:val="false"/>
                <w:color w:val="222222"/>
                <w:sz w:val="19"/>
                <w:szCs w:val="19"/>
              </w:rPr>
              <w:t xml:space="preserve">PIB Backgrounder, </w:t>
            </w:r>
            <w:r>
              <w:rPr>
                <w:rFonts w:ascii="Georgia" w:cs="Georgia" w:eastAsia="Georgia" w:hAnsi="Georgia"/>
                <w:b w:val="false"/>
                <w:bCs w:val="false"/>
                <w:i/>
                <w:iCs/>
                <w:color w:val="222222"/>
                <w:sz w:val="19"/>
                <w:szCs w:val="19"/>
              </w:rPr>
              <w:t xml:space="preserve">“India–UK CETA — 99% Tariff Elimination…”</w:t>
            </w:r>
            <w:r>
              <w:rPr>
                <w:rFonts w:ascii="Georgia" w:cs="Georgia" w:eastAsia="Georgia" w:hAnsi="Georgia"/>
                <w:b w:val="false"/>
                <w:bCs w:val="false"/>
                <w:i w:val="false"/>
                <w:iCs w:val="false"/>
                <w:color w:val="222222"/>
                <w:sz w:val="19"/>
                <w:szCs w:val="19"/>
              </w:rPr>
              <w:t xml:space="preserve">, 29 July 2025 (tariff bands; Rules of Origin; services; mobility; sector detail).</w:t>
            </w:r>
          </w:p>
          <w:p>
            <w:pPr>
              <w:spacing w:after="40" w:line="276"/>
              <w:jc w:val="left"/>
            </w:pPr>
            <w:r>
              <w:rPr>
                <w:rFonts w:ascii="Georgia" w:cs="Georgia" w:eastAsia="Georgia" w:hAnsi="Georgia"/>
                <w:b w:val="false"/>
                <w:bCs w:val="false"/>
                <w:i w:val="false"/>
                <w:iCs w:val="false"/>
                <w:color w:val="222222"/>
                <w:sz w:val="19"/>
                <w:szCs w:val="19"/>
              </w:rPr>
              <w:t xml:space="preserve">• </w:t>
            </w:r>
            <w:r>
              <w:rPr>
                <w:rFonts w:ascii="Georgia" w:cs="Georgia" w:eastAsia="Georgia" w:hAnsi="Georgia"/>
                <w:b w:val="false"/>
                <w:bCs w:val="false"/>
                <w:i w:val="false"/>
                <w:iCs w:val="false"/>
                <w:color w:val="222222"/>
                <w:sz w:val="19"/>
                <w:szCs w:val="19"/>
              </w:rPr>
              <w:t xml:space="preserve">UK Department for Business and Trade, </w:t>
            </w:r>
            <w:r>
              <w:rPr>
                <w:rFonts w:ascii="Georgia" w:cs="Georgia" w:eastAsia="Georgia" w:hAnsi="Georgia"/>
                <w:b w:val="false"/>
                <w:bCs w:val="false"/>
                <w:i/>
                <w:iCs/>
                <w:color w:val="222222"/>
                <w:sz w:val="19"/>
                <w:szCs w:val="19"/>
              </w:rPr>
              <w:t xml:space="preserve">India Trade and Investment Factsheet</w:t>
            </w:r>
            <w:r>
              <w:rPr>
                <w:rFonts w:ascii="Georgia" w:cs="Georgia" w:eastAsia="Georgia" w:hAnsi="Georgia"/>
                <w:b w:val="false"/>
                <w:bCs w:val="false"/>
                <w:i w:val="false"/>
                <w:iCs w:val="false"/>
                <w:color w:val="222222"/>
                <w:sz w:val="19"/>
                <w:szCs w:val="19"/>
              </w:rPr>
              <w:t xml:space="preserve">, 23 June 2026 (bilateral trade values; market shares).</w:t>
            </w:r>
          </w:p>
          <w:p>
            <w:pPr>
              <w:spacing w:after="0" w:line="276"/>
              <w:jc w:val="left"/>
            </w:pPr>
            <w:r>
              <w:rPr>
                <w:rFonts w:ascii="Georgia" w:cs="Georgia" w:eastAsia="Georgia" w:hAnsi="Georgia"/>
                <w:b w:val="false"/>
                <w:bCs w:val="false"/>
                <w:i w:val="false"/>
                <w:iCs w:val="false"/>
                <w:color w:val="222222"/>
                <w:sz w:val="19"/>
                <w:szCs w:val="19"/>
              </w:rPr>
              <w:t xml:space="preserve">• </w:t>
            </w:r>
            <w:r>
              <w:rPr>
                <w:rFonts w:ascii="Georgia" w:cs="Georgia" w:eastAsia="Georgia" w:hAnsi="Georgia"/>
                <w:b w:val="false"/>
                <w:bCs w:val="false"/>
                <w:i w:val="false"/>
                <w:iCs w:val="false"/>
                <w:color w:val="222222"/>
                <w:sz w:val="19"/>
                <w:szCs w:val="19"/>
              </w:rPr>
              <w:t xml:space="preserve">MVIRDC World Trade Center Mumbai, </w:t>
            </w:r>
            <w:r>
              <w:rPr>
                <w:rFonts w:ascii="Georgia" w:cs="Georgia" w:eastAsia="Georgia" w:hAnsi="Georgia"/>
                <w:b w:val="false"/>
                <w:bCs w:val="false"/>
                <w:i/>
                <w:iCs/>
                <w:color w:val="222222"/>
                <w:sz w:val="19"/>
                <w:szCs w:val="19"/>
              </w:rPr>
              <w:t xml:space="preserve">Report on India–UK FTA</w:t>
            </w:r>
            <w:r>
              <w:rPr>
                <w:rFonts w:ascii="Georgia" w:cs="Georgia" w:eastAsia="Georgia" w:hAnsi="Georgia"/>
                <w:b w:val="false"/>
                <w:bCs w:val="false"/>
                <w:i w:val="false"/>
                <w:iCs w:val="false"/>
                <w:color w:val="222222"/>
                <w:sz w:val="19"/>
                <w:szCs w:val="19"/>
              </w:rPr>
              <w:t xml:space="preserve">, 2025 (sector analysis; untapped export potential; sectoral concerns).</w:t>
            </w:r>
          </w:p>
        </w:tc>
      </w:tr>
    </w:tbl>
    <w:p>
      <w:pPr>
        <w:spacing w:before="180"/>
        <w:jc w:val="center"/>
      </w:pPr>
      <w:r>
        <w:rPr>
          <w:rFonts w:ascii="Georgia" w:cs="Georgia" w:eastAsia="Georgia" w:hAnsi="Georgia"/>
          <w:b w:val="false"/>
          <w:bCs w:val="false"/>
          <w:i/>
          <w:iCs/>
          <w:color w:val="6E6E6E"/>
          <w:sz w:val="18"/>
          <w:szCs w:val="18"/>
        </w:rPr>
        <w:t xml:space="preserve">— End of Stage 1 (Front matter and Chapter 2). Chapter 1 (Pre-FTA position, sector-wise) follows in Stage 2. —</w:t>
      </w:r>
    </w:p>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026"/>
      </w:tabs>
      <w:spacing w:before="30"/>
    </w:pPr>
    <w:r>
      <w:rPr>
        <w:rFonts w:ascii="Georgia" w:cs="Georgia" w:eastAsia="Georgia" w:hAnsi="Georgia"/>
        <w:b w:val="false"/>
        <w:bCs w:val="false"/>
        <w:i w:val="false"/>
        <w:iCs w:val="false"/>
        <w:color w:val="A6A6A6"/>
        <w:sz w:val="14"/>
        <w:szCs w:val="14"/>
      </w:rPr>
      <w:t xml:space="preserve">International Trade, Customs &amp; Corporate Advisory Practice</w:t>
    </w:r>
    <w:r>
      <w:rPr>
        <w:rFonts w:ascii="Georgia" w:cs="Georgia" w:eastAsia="Georgia" w:hAnsi="Georgia"/>
        <w:color w:val="A6A6A6"/>
        <w:sz w:val="14"/>
        <w:szCs w:val="14"/>
      </w:rPr>
      <w:t xml:space="preserve">	Page </w:t>
    </w:r>
    <w:r>
      <w:rPr>
        <w:rFonts w:ascii="Georgia" w:cs="Georgia" w:eastAsia="Georgia" w:hAnsi="Georgia"/>
        <w:color w:val="A6A6A6"/>
        <w:sz w:val="14"/>
        <w:szCs w:val="14"/>
      </w:rPr>
      <w:fldChar w:fldCharType="begin"/>
      <w:instrText xml:space="preserve">PAGE</w:instrText>
      <w:fldChar w:fldCharType="separate"/>
      <w:fldChar w:fldCharType="end"/>
    </w:r>
    <w:r>
      <w:rPr>
        <w:rFonts w:ascii="Georgia" w:cs="Georgia" w:eastAsia="Georgia" w:hAnsi="Georgia"/>
        <w:color w:val="A6A6A6"/>
        <w:sz w:val="14"/>
        <w:szCs w:val="14"/>
      </w:rPr>
      <w:t xml:space="preserve"> of </w:t>
    </w:r>
    <w:r>
      <w:rPr>
        <w:rFonts w:ascii="Georgia" w:cs="Georgia" w:eastAsia="Georgia" w:hAnsi="Georgia"/>
        <w:color w:val="A6A6A6"/>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BBBBBB"/>
        <w:sz w:val="14"/>
        <w:szCs w:val="14"/>
      </w:rPr>
      <w:t xml:space="preserve">Strictly Private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tabs>
        <w:tab w:val="right" w:pos="9026"/>
      </w:tabs>
      <w:spacing w:after="40"/>
    </w:pPr>
    <w:r>
      <w:rPr>
        <w:rFonts w:ascii="Georgia" w:cs="Georgia" w:eastAsia="Georgia" w:hAnsi="Georgia"/>
        <w:b w:val="false"/>
        <w:bCs w:val="false"/>
        <w:i w:val="false"/>
        <w:iCs w:val="false"/>
        <w:color w:val="6E6E6E"/>
        <w:sz w:val="15"/>
        <w:szCs w:val="15"/>
      </w:rPr>
      <w:t xml:space="preserve">India–UK CETA  ·  Client Advisory Memorandum</w:t>
    </w:r>
    <w:r>
      <w:rPr>
        <w:rFonts w:ascii="Georgia" w:cs="Georgia" w:eastAsia="Georgia" w:hAnsi="Georgia"/>
        <w:color w:val="6E6E6E"/>
        <w:sz w:val="15"/>
        <w:szCs w:val="15"/>
      </w:rPr>
      <w:t xml:space="preserve">	Strictly Private &amp;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b w:val="false"/>
        <w:bCs w:val="false"/>
        <w:i w:val="false"/>
        <w:iCs w:val="false"/>
        <w:color w:val="222222"/>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pPr>
        <w:spacing w:after="15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pPr>
    <w:rPr>
      <w:rFonts w:ascii="Georgia" w:cs="Georgia" w:eastAsia="Georgia" w:hAnsi="Georgia"/>
      <w:b/>
      <w:bCs/>
      <w:color w:val="1F3864"/>
      <w:sz w:val="30"/>
      <w:szCs w:val="30"/>
    </w:rPr>
  </w:style>
  <w:style w:type="paragraph" w:styleId="Heading2">
    <w:name w:val="Heading 2"/>
    <w:basedOn w:val="Normal"/>
    <w:next w:val="Normal"/>
    <w:qFormat/>
    <w:pPr>
      <w:keepNext/>
      <w:spacing w:after="90" w:before="240"/>
    </w:pPr>
    <w:rPr>
      <w:rFonts w:ascii="Georgia" w:cs="Georgia" w:eastAsia="Georgia" w:hAnsi="Georgia"/>
      <w:b/>
      <w:bCs/>
      <w:color w:val="2E4C7E"/>
      <w:sz w:val="24"/>
      <w:szCs w:val="24"/>
    </w:rPr>
  </w:style>
  <w:style w:type="paragraph" w:styleId="Heading3">
    <w:name w:val="Heading 3"/>
    <w:basedOn w:val="Normal"/>
    <w:next w:val="Normal"/>
    <w:qFormat/>
    <w:pPr>
      <w:keepNext/>
      <w:spacing w:after="60" w:before="170"/>
    </w:pPr>
    <w:rPr>
      <w:rFonts w:ascii="Georgia" w:cs="Georgia" w:eastAsia="Georgia" w:hAnsi="Georgia"/>
      <w:b/>
      <w:bCs/>
      <w:color w:val="2E4C7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India–UK CETA — Client Advisory Memorandum</dc:title>
  <dc:creator>International Trade, Customs &amp; Corporate Advisory Practice</dc:creator>
  <dc:description>Stage 1: Front matter and Chapter 2 (Overview)</dc:description>
  <cp:lastModifiedBy>Un-named</cp:lastModifiedBy>
  <cp:revision>1</cp:revision>
  <dcterms:created xsi:type="dcterms:W3CDTF">2026-07-15T08:31:14.904Z</dcterms:created>
  <dcterms:modified xsi:type="dcterms:W3CDTF">2026-07-15T08:31:14.904Z</dcterms:modified>
</cp:coreProperties>
</file>

<file path=docProps/custom.xml><?xml version="1.0" encoding="utf-8"?>
<Properties xmlns="http://schemas.openxmlformats.org/officeDocument/2006/custom-properties" xmlns:vt="http://schemas.openxmlformats.org/officeDocument/2006/docPropsVTypes"/>
</file>