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900"/>
      </w:pPr>
      <w:r>
        <w:rPr>
          <w:rFonts w:ascii="Calibri" w:cs="Calibri" w:eastAsia="Calibri" w:hAnsi="Calibri"/>
          <w:b/>
          <w:bCs/>
          <w:color w:val="141418"/>
          <w:spacing w:val="-14"/>
          <w:sz w:val="80"/>
          <w:szCs w:val="80"/>
        </w:rPr>
        <w:t xml:space="preserve">Sludge</w:t>
      </w:r>
    </w:p>
    <w:p>
      <w:pPr>
        <w:spacing w:after="320"/>
      </w:pPr>
      <w:r>
        <w:rPr>
          <w:rFonts w:ascii="Calibri" w:cs="Calibri" w:eastAsia="Calibri" w:hAnsi="Calibri"/>
          <w:color w:val="6B6B73"/>
          <w:sz w:val="26"/>
          <w:szCs w:val="26"/>
        </w:rPr>
        <w:t xml:space="preserve">Where should the warehouse go?</w:t>
      </w:r>
    </w:p>
    <w:tbl>
      <w:tblPr>
        <w:tblW w:type="dxa" w:w="9360"/>
        <w:tblBorders>
          <w:top w:val="single" w:color="141418" w:sz="6"/>
          <w:left w:val="none"/>
          <w:bottom w:val="single" w:color="DDDBD3" w:sz="4"/>
          <w:right w:val="none"/>
          <w:insideH w:val="none"/>
          <w:insideV w:val="none"/>
        </w:tblBorders>
      </w:tblPr>
      <w:tblGrid>
        <w:gridCol w:w="2340"/>
        <w:gridCol w:w="2340"/>
        <w:gridCol w:w="2340"/>
        <w:gridCol w:w="2340"/>
      </w:tblGrid>
      <w:tr>
        <w:tc>
          <w:tcPr>
            <w:tcW w:type="dxa" w:w="2340"/>
            <w:tcMar>
              <w:top w:type="dxa" w:w="170"/>
              <w:left w:type="dxa" w:w="0"/>
              <w:bottom w:type="dxa" w:w="170"/>
              <w:right w:type="dxa" w:w="160"/>
            </w:tcMar>
          </w:tcPr>
          <w:p>
            <w:pPr>
              <w:spacing w:after="30" w:line="240"/>
            </w:pPr>
            <w:r>
              <w:rPr>
                <w:rFonts w:ascii="Calibri" w:cs="Calibri" w:eastAsia="Calibri" w:hAnsi="Calibri"/>
                <w:b/>
                <w:bCs/>
                <w:color w:val="17508F"/>
                <w:sz w:val="34"/>
                <w:szCs w:val="34"/>
              </w:rPr>
              <w:t xml:space="preserve">32.5%</w:t>
            </w:r>
          </w:p>
          <w:p>
            <w:pPr>
              <w:spacing w:after="0" w:line="230"/>
            </w:pPr>
            <w:r>
              <w:rPr>
                <w:rFonts w:ascii="Calibri" w:cs="Calibri" w:eastAsia="Calibri" w:hAnsi="Calibri"/>
                <w:color w:val="6B6B73"/>
                <w:sz w:val="16"/>
                <w:szCs w:val="16"/>
              </w:rPr>
              <w:t xml:space="preserve">cheaper than one optimally-sited depot</w:t>
            </w:r>
          </w:p>
        </w:tc>
        <w:tc>
          <w:tcPr>
            <w:tcW w:type="dxa" w:w="2340"/>
            <w:tcMar>
              <w:top w:type="dxa" w:w="170"/>
              <w:left w:type="dxa" w:w="0"/>
              <w:bottom w:type="dxa" w:w="170"/>
              <w:right w:type="dxa" w:w="160"/>
            </w:tcMar>
          </w:tcPr>
          <w:p>
            <w:pPr>
              <w:spacing w:after="30" w:line="240"/>
            </w:pPr>
            <w:r>
              <w:rPr>
                <w:rFonts w:ascii="Calibri" w:cs="Calibri" w:eastAsia="Calibri" w:hAnsi="Calibri"/>
                <w:b/>
                <w:bCs/>
                <w:color w:val="17508F"/>
                <w:sz w:val="34"/>
                <w:szCs w:val="34"/>
              </w:rPr>
              <w:t xml:space="preserve">₹33.0L</w:t>
            </w:r>
          </w:p>
          <w:p>
            <w:pPr>
              <w:spacing w:after="0" w:line="230"/>
            </w:pPr>
            <w:r>
              <w:rPr>
                <w:rFonts w:ascii="Calibri" w:cs="Calibri" w:eastAsia="Calibri" w:hAnsi="Calibri"/>
                <w:color w:val="6B6B73"/>
                <w:sz w:val="16"/>
                <w:szCs w:val="16"/>
              </w:rPr>
              <w:t xml:space="preserve">saved per year</w:t>
            </w:r>
          </w:p>
        </w:tc>
        <w:tc>
          <w:tcPr>
            <w:tcW w:type="dxa" w:w="2340"/>
            <w:tcMar>
              <w:top w:type="dxa" w:w="170"/>
              <w:left w:type="dxa" w:w="0"/>
              <w:bottom w:type="dxa" w:w="170"/>
              <w:right w:type="dxa" w:w="160"/>
            </w:tcMar>
          </w:tcPr>
          <w:p>
            <w:pPr>
              <w:spacing w:after="30" w:line="240"/>
            </w:pPr>
            <w:r>
              <w:rPr>
                <w:rFonts w:ascii="Calibri" w:cs="Calibri" w:eastAsia="Calibri" w:hAnsi="Calibri"/>
                <w:b/>
                <w:bCs/>
                <w:color w:val="17508F"/>
                <w:sz w:val="34"/>
                <w:szCs w:val="34"/>
              </w:rPr>
              <w:t xml:space="preserve">37 t</w:t>
            </w:r>
          </w:p>
          <w:p>
            <w:pPr>
              <w:spacing w:after="0" w:line="230"/>
            </w:pPr>
            <w:r>
              <w:rPr>
                <w:rFonts w:ascii="Calibri" w:cs="Calibri" w:eastAsia="Calibri" w:hAnsi="Calibri"/>
                <w:color w:val="6B6B73"/>
                <w:sz w:val="16"/>
                <w:szCs w:val="16"/>
              </w:rPr>
              <w:t xml:space="preserve">CO₂ avoided per year</w:t>
            </w:r>
          </w:p>
        </w:tc>
        <w:tc>
          <w:tcPr>
            <w:tcW w:type="dxa" w:w="2340"/>
            <w:tcMar>
              <w:top w:type="dxa" w:w="170"/>
              <w:left w:type="dxa" w:w="0"/>
              <w:bottom w:type="dxa" w:w="170"/>
              <w:right w:type="dxa" w:w="160"/>
            </w:tcMar>
          </w:tcPr>
          <w:p>
            <w:pPr>
              <w:spacing w:after="30" w:line="240"/>
            </w:pPr>
            <w:r>
              <w:rPr>
                <w:rFonts w:ascii="Calibri" w:cs="Calibri" w:eastAsia="Calibri" w:hAnsi="Calibri"/>
                <w:b/>
                <w:bCs/>
                <w:color w:val="17508F"/>
                <w:sz w:val="34"/>
                <w:szCs w:val="34"/>
              </w:rPr>
              <w:t xml:space="preserve">0.0001%</w:t>
            </w:r>
          </w:p>
          <w:p>
            <w:pPr>
              <w:spacing w:after="0" w:line="230"/>
            </w:pPr>
            <w:r>
              <w:rPr>
                <w:rFonts w:ascii="Calibri" w:cs="Calibri" w:eastAsia="Calibri" w:hAnsi="Calibri"/>
                <w:color w:val="6B6B73"/>
                <w:sz w:val="16"/>
                <w:szCs w:val="16"/>
              </w:rPr>
              <w:t xml:space="preserve">cross-validation gap</w:t>
            </w:r>
          </w:p>
        </w:tc>
      </w:tr>
    </w:tbl>
    <w:p>
      <w:pPr>
        <w:spacing w:after="260"/>
      </w:pPr>
    </w:p>
    <w:p>
      <w:pPr>
        <w:spacing w:after="300" w:before="0" w:line="290"/>
      </w:pPr>
      <w:r>
        <w:rPr>
          <w:rFonts w:ascii="Calibri" w:cs="Calibri" w:eastAsia="Calibri" w:hAnsi="Calibri"/>
          <w:color w:val="2E2E34"/>
          <w:sz w:val="21"/>
          <w:szCs w:val="21"/>
        </w:rPr>
        <w:t xml:space="preserve">Warehouse location optimisation for Indian last-mile delivery. Decides how many warehouses to build, where each one goes, and which neighborhoods it serves — by minimising real operating cost in rupees, and showing which of its answers are proven rather than merely good.</w:t>
      </w:r>
    </w:p>
    <w:tbl>
      <w:tblPr>
        <w:tblW w:type="dxa" w:w="9360"/>
        <w:tblBorders>
          <w:top w:val="single" w:color="141418" w:sz="6"/>
          <w:left w:val="none"/>
          <w:bottom w:val="single" w:color="141418" w:sz="6"/>
          <w:right w:val="none"/>
          <w:insideH w:val="single" w:color="EBE9E2" w:sz="2"/>
          <w:insideV w:val="none"/>
        </w:tblBorders>
      </w:tblPr>
      <w:tblGrid>
        <w:gridCol w:w="2100"/>
        <w:gridCol w:w="7260"/>
      </w:tblGrid>
      <w:tr>
        <w:trPr>
          <w:cantSplit/>
          <w:tblHeader/>
        </w:trPr>
        <w:tc>
          <w:tcPr>
            <w:tcW w:type="dxa" w:w="21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
            </w:r>
          </w:p>
        </w:tc>
      </w:tr>
      <w:tr>
        <w:trPr>
          <w:cantSplit/>
        </w:trPr>
        <w:tc>
          <w:tcPr>
            <w:tcW w:type="dxa" w:w="21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Live application</w:t>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gridpointsludge.vercel.app</w:t>
            </w:r>
          </w:p>
        </w:tc>
      </w:tr>
      <w:tr>
        <w:trPr>
          <w:cantSplit/>
        </w:trPr>
        <w:tc>
          <w:tcPr>
            <w:tcW w:type="dxa" w:w="21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Source code</w:t>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github.com/sakshath7408/gridpoint</w:t>
            </w:r>
          </w:p>
        </w:tc>
      </w:tr>
      <w:tr>
        <w:trPr>
          <w:cantSplit/>
        </w:trPr>
        <w:tc>
          <w:tcPr>
            <w:tcW w:type="dxa" w:w="21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Problem statement</w:t>
            </w:r>
          </w:p>
        </w:tc>
        <w:tc>
          <w:tcPr>
            <w:tcW w:type="dxa" w:w="726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GRIDPOINT · Theme VECTOR · Hack-a-Matics 2026</w:t>
            </w:r>
          </w:p>
        </w:tc>
      </w:tr>
    </w:tbl>
    <w:p>
      <w:pPr>
        <w:spacing w:after="300"/>
      </w:pPr>
    </w:p>
    <w:p>
      <w:pPr>
        <w:spacing w:after="70" w:before="200"/>
      </w:pPr>
      <w:r>
        <w:rPr>
          <w:rFonts w:ascii="Calibri" w:cs="Calibri" w:eastAsia="Calibri" w:hAnsi="Calibri"/>
          <w:b/>
          <w:bCs/>
          <w:color w:val="9A9AA2"/>
          <w:spacing w:val="30"/>
          <w:sz w:val="16"/>
          <w:szCs w:val="16"/>
        </w:rPr>
        <w:t xml:space="preserve">CONTENTS</w:t>
      </w:r>
    </w:p>
    <w:p>
      <w:pPr>
        <w:tabs>
          <w:tab w:val="right" w:pos="9360" w:leader="dot"/>
        </w:tabs>
        <w:spacing w:after="60" w:line="258"/>
      </w:pPr>
      <w:r>
        <w:rPr>
          <w:rFonts w:ascii="Calibri" w:cs="Calibri" w:eastAsia="Calibri" w:hAnsi="Calibri"/>
          <w:b/>
          <w:bCs/>
          <w:color w:val="17508F"/>
          <w:sz w:val="20"/>
          <w:szCs w:val="20"/>
        </w:rPr>
        <w:t xml:space="preserve">1   </w:t>
      </w:r>
      <w:r>
        <w:rPr>
          <w:rFonts w:ascii="Calibri" w:cs="Calibri" w:eastAsia="Calibri" w:hAnsi="Calibri"/>
          <w:color w:val="141418"/>
          <w:sz w:val="20"/>
          <w:szCs w:val="20"/>
        </w:rPr>
        <w:t xml:space="preserve">What it does and how to use it</w:t>
      </w:r>
      <w:r>
        <w:rPr>
          <w:rFonts w:ascii="Calibri" w:cs="Calibri" w:eastAsia="Calibri" w:hAnsi="Calibri"/>
          <w:color w:val="2E2E34"/>
          <w:sz w:val="20"/>
          <w:szCs w:val="20"/>
        </w:rPr>
        <w:t xml:space="preserve">	</w:t>
      </w:r>
      <w:r>
        <w:rPr>
          <w:rFonts w:ascii="Calibri" w:cs="Calibri" w:eastAsia="Calibri" w:hAnsi="Calibri"/>
          <w:color w:val="6B6B73"/>
          <w:sz w:val="20"/>
          <w:szCs w:val="20"/>
        </w:rPr>
        <w:t xml:space="preserve">2</w:t>
      </w:r>
    </w:p>
    <w:p>
      <w:pPr>
        <w:tabs>
          <w:tab w:val="right" w:pos="9360" w:leader="dot"/>
        </w:tabs>
        <w:spacing w:after="60" w:line="258"/>
      </w:pPr>
      <w:r>
        <w:rPr>
          <w:rFonts w:ascii="Calibri" w:cs="Calibri" w:eastAsia="Calibri" w:hAnsi="Calibri"/>
          <w:b/>
          <w:bCs/>
          <w:color w:val="17508F"/>
          <w:sz w:val="20"/>
          <w:szCs w:val="20"/>
        </w:rPr>
        <w:t xml:space="preserve">2   </w:t>
      </w:r>
      <w:r>
        <w:rPr>
          <w:rFonts w:ascii="Calibri" w:cs="Calibri" w:eastAsia="Calibri" w:hAnsi="Calibri"/>
          <w:color w:val="141418"/>
          <w:sz w:val="20"/>
          <w:szCs w:val="20"/>
        </w:rPr>
        <w:t xml:space="preserve">The mathematics</w:t>
      </w:r>
      <w:r>
        <w:rPr>
          <w:rFonts w:ascii="Calibri" w:cs="Calibri" w:eastAsia="Calibri" w:hAnsi="Calibri"/>
          <w:color w:val="2E2E34"/>
          <w:sz w:val="20"/>
          <w:szCs w:val="20"/>
        </w:rPr>
        <w:t xml:space="preserve">	</w:t>
      </w:r>
      <w:r>
        <w:rPr>
          <w:rFonts w:ascii="Calibri" w:cs="Calibri" w:eastAsia="Calibri" w:hAnsi="Calibri"/>
          <w:color w:val="6B6B73"/>
          <w:sz w:val="20"/>
          <w:szCs w:val="20"/>
        </w:rPr>
        <w:t xml:space="preserve">3</w:t>
      </w:r>
    </w:p>
    <w:p>
      <w:pPr>
        <w:tabs>
          <w:tab w:val="right" w:pos="9360" w:leader="dot"/>
        </w:tabs>
        <w:spacing w:after="60" w:line="258"/>
      </w:pPr>
      <w:r>
        <w:rPr>
          <w:rFonts w:ascii="Calibri" w:cs="Calibri" w:eastAsia="Calibri" w:hAnsi="Calibri"/>
          <w:b/>
          <w:bCs/>
          <w:color w:val="17508F"/>
          <w:sz w:val="20"/>
          <w:szCs w:val="20"/>
        </w:rPr>
        <w:t xml:space="preserve">3   </w:t>
      </w:r>
      <w:r>
        <w:rPr>
          <w:rFonts w:ascii="Calibri" w:cs="Calibri" w:eastAsia="Calibri" w:hAnsi="Calibri"/>
          <w:color w:val="141418"/>
          <w:sz w:val="20"/>
          <w:szCs w:val="20"/>
        </w:rPr>
        <w:t xml:space="preserve">How it compares</w:t>
      </w:r>
      <w:r>
        <w:rPr>
          <w:rFonts w:ascii="Calibri" w:cs="Calibri" w:eastAsia="Calibri" w:hAnsi="Calibri"/>
          <w:color w:val="2E2E34"/>
          <w:sz w:val="20"/>
          <w:szCs w:val="20"/>
        </w:rPr>
        <w:t xml:space="preserve">	</w:t>
      </w:r>
      <w:r>
        <w:rPr>
          <w:rFonts w:ascii="Calibri" w:cs="Calibri" w:eastAsia="Calibri" w:hAnsi="Calibri"/>
          <w:color w:val="6B6B73"/>
          <w:sz w:val="20"/>
          <w:szCs w:val="20"/>
        </w:rPr>
        <w:t xml:space="preserve">5</w:t>
      </w:r>
    </w:p>
    <w:p>
      <w:pPr>
        <w:tabs>
          <w:tab w:val="right" w:pos="9360" w:leader="dot"/>
        </w:tabs>
        <w:spacing w:after="60" w:line="258"/>
      </w:pPr>
      <w:r>
        <w:rPr>
          <w:rFonts w:ascii="Calibri" w:cs="Calibri" w:eastAsia="Calibri" w:hAnsi="Calibri"/>
          <w:b/>
          <w:bCs/>
          <w:color w:val="17508F"/>
          <w:sz w:val="20"/>
          <w:szCs w:val="20"/>
        </w:rPr>
        <w:t xml:space="preserve">4   </w:t>
      </w:r>
      <w:r>
        <w:rPr>
          <w:rFonts w:ascii="Calibri" w:cs="Calibri" w:eastAsia="Calibri" w:hAnsi="Calibri"/>
          <w:color w:val="141418"/>
          <w:sz w:val="20"/>
          <w:szCs w:val="20"/>
        </w:rPr>
        <w:t xml:space="preserve">Limitations and technical summary</w:t>
      </w:r>
      <w:r>
        <w:rPr>
          <w:rFonts w:ascii="Calibri" w:cs="Calibri" w:eastAsia="Calibri" w:hAnsi="Calibri"/>
          <w:color w:val="2E2E34"/>
          <w:sz w:val="20"/>
          <w:szCs w:val="20"/>
        </w:rPr>
        <w:t xml:space="preserve">	</w:t>
      </w:r>
      <w:r>
        <w:rPr>
          <w:rFonts w:ascii="Calibri" w:cs="Calibri" w:eastAsia="Calibri" w:hAnsi="Calibri"/>
          <w:color w:val="6B6B73"/>
          <w:sz w:val="20"/>
          <w:szCs w:val="20"/>
        </w:rPr>
        <w:t xml:space="preserve">6</w:t>
      </w:r>
    </w:p>
    <w:p>
      <w:pPr>
        <w:spacing w:after="260"/>
      </w:pPr>
    </w:p>
    <w:p>
      <w:pPr>
        <w:spacing w:after="70" w:before="200"/>
      </w:pPr>
      <w:r>
        <w:rPr>
          <w:rFonts w:ascii="Calibri" w:cs="Calibri" w:eastAsia="Calibri" w:hAnsi="Calibri"/>
          <w:b/>
          <w:bCs/>
          <w:color w:val="9A9AA2"/>
          <w:spacing w:val="30"/>
          <w:sz w:val="16"/>
          <w:szCs w:val="16"/>
        </w:rPr>
        <w:t xml:space="preserve">TEAM</w:t>
      </w:r>
    </w:p>
    <w:tbl>
      <w:tblPr>
        <w:tblW w:type="dxa" w:w="9360"/>
        <w:tblBorders>
          <w:top w:val="single" w:color="141418" w:sz="6"/>
          <w:left w:val="none"/>
          <w:bottom w:val="single" w:color="141418" w:sz="6"/>
          <w:right w:val="none"/>
          <w:insideH w:val="single" w:color="EBE9E2" w:sz="2"/>
          <w:insideV w:val="none"/>
        </w:tblBorders>
      </w:tblPr>
      <w:tblGrid>
        <w:gridCol w:w="2100"/>
        <w:gridCol w:w="7260"/>
      </w:tblGrid>
      <w:tr>
        <w:trPr>
          <w:cantSplit/>
          <w:tblHeader/>
        </w:trPr>
        <w:tc>
          <w:tcPr>
            <w:tcW w:type="dxa" w:w="21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
            </w:r>
          </w:p>
        </w:tc>
      </w:tr>
      <w:tr>
        <w:trPr>
          <w:cantSplit/>
        </w:trPr>
        <w:tc>
          <w:tcPr>
            <w:tcW w:type="dxa" w:w="21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Tejas</w:t>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Mathematical model and Python reference implementation</w:t>
            </w:r>
          </w:p>
        </w:tc>
      </w:tr>
      <w:tr>
        <w:trPr>
          <w:cantSplit/>
        </w:trPr>
        <w:tc>
          <w:tcPr>
            <w:tcW w:type="dxa" w:w="21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Sakshath</w:t>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Web application, cost model, AI component, deployment</w:t>
            </w:r>
          </w:p>
        </w:tc>
      </w:tr>
      <w:tr>
        <w:trPr>
          <w:cantSplit/>
        </w:trPr>
        <w:tc>
          <w:tcPr>
            <w:tcW w:type="dxa" w:w="21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Rajath</w:t>
            </w:r>
          </w:p>
        </w:tc>
        <w:tc>
          <w:tcPr>
            <w:tcW w:type="dxa" w:w="726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Brute-force verifier</w:t>
            </w:r>
          </w:p>
        </w:tc>
      </w:tr>
    </w:tbl>
    <w:p>
      <w:pPr>
        <w:spacing w:after="150"/>
      </w:pPr>
    </w:p>
    <w:p>
      <w:pPr>
        <w:spacing w:after="130" w:before="0" w:line="268"/>
      </w:pPr>
      <w:r>
        <w:rPr>
          <w:rFonts w:ascii="Calibri" w:cs="Calibri" w:eastAsia="Calibri" w:hAnsi="Calibri"/>
          <w:i/>
          <w:iCs/>
          <w:color w:val="6B6B73"/>
          <w:sz w:val="17"/>
          <w:szCs w:val="17"/>
        </w:rPr>
        <w:t xml:space="preserve">Every figure in this document is produced by the committed code.</w:t>
      </w:r>
    </w:p>
    <w:p>
      <w:r>
        <w:br w:type="page"/>
      </w:r>
    </w:p>
    <w:p>
      <w:pPr>
        <w:pStyle w:val="Heading1"/>
        <w:pBdr>
          <w:bottom w:val="single" w:color="141418" w:sz="6" w:space="8"/>
        </w:pBdr>
        <w:spacing w:after="150" w:before="380"/>
      </w:pPr>
      <w:r>
        <w:rPr>
          <w:rFonts w:ascii="Calibri" w:cs="Calibri" w:eastAsia="Calibri" w:hAnsi="Calibri"/>
          <w:b/>
          <w:bCs/>
          <w:color w:val="17508F"/>
          <w:sz w:val="26"/>
          <w:szCs w:val="26"/>
        </w:rPr>
        <w:t xml:space="preserve">1  </w:t>
      </w:r>
      <w:r>
        <w:rPr>
          <w:rFonts w:ascii="Calibri" w:cs="Calibri" w:eastAsia="Calibri" w:hAnsi="Calibri"/>
          <w:b/>
          <w:bCs/>
          <w:color w:val="141418"/>
          <w:sz w:val="26"/>
          <w:szCs w:val="26"/>
        </w:rPr>
        <w:t xml:space="preserve">What it does and how to use it</w:t>
      </w:r>
    </w:p>
    <w:p>
      <w:pPr>
        <w:spacing w:after="130" w:before="0" w:line="268"/>
      </w:pPr>
      <w:r>
        <w:rPr>
          <w:rFonts w:ascii="Calibri" w:cs="Calibri" w:eastAsia="Calibri" w:hAnsi="Calibri"/>
          <w:color w:val="2E2E34"/>
          <w:sz w:val="20"/>
          <w:szCs w:val="20"/>
        </w:rPr>
        <w:t xml:space="preserve">An operator serves a set of neighborhoods, each with a location and a daily order volume. Three decisions follow, usually made by intuition: how many warehouses, where, and who serves whom. Sludge answers all three by minimising cost in rupees per day.</w:t>
      </w:r>
    </w:p>
    <w:p>
      <w:pPr>
        <w:spacing w:after="160" w:before="0" w:line="268"/>
      </w:pPr>
      <w:r>
        <w:rPr>
          <w:rFonts w:ascii="Calibri" w:cs="Calibri" w:eastAsia="Calibri" w:hAnsi="Calibri"/>
          <w:color w:val="2E2E34"/>
          <w:sz w:val="20"/>
          <w:szCs w:val="20"/>
        </w:rPr>
        <w:t xml:space="preserve">On twelve Bengaluru zones carrying 3,880 orders a day, it replaces a single central depot at ₹27,870/day with four warehouses at ₹18,824 — 32.5% cheaper. The single depot it is compared against is itself optimally sited, so that figure is not flattered by a straw man.</w:t>
      </w:r>
    </w:p>
    <w:tbl>
      <w:tblPr>
        <w:tblW w:type="dxa" w:w="9360"/>
        <w:tblBorders>
          <w:top w:val="none"/>
          <w:left w:val="none"/>
          <w:bottom w:val="none"/>
          <w:right w:val="none"/>
          <w:insideH w:val="none"/>
          <w:insideV w:val="none"/>
        </w:tblBorders>
      </w:tblPr>
      <w:tblGrid>
        <w:gridCol w:w="9360"/>
      </w:tblGrid>
      <w:tr>
        <w:tc>
          <w:tcPr>
            <w:tcW w:type="dxa" w:w="9360"/>
            <w:tcBorders>
              <w:top w:val="none"/>
              <w:left w:val="single" w:color="17508F" w:sz="16"/>
              <w:bottom w:val="none"/>
              <w:right w:val="none"/>
            </w:tcBorders>
            <w:shd w:fill="F5F4EF" w:val="clear"/>
            <w:tcMar>
              <w:top w:type="dxa" w:w="130"/>
              <w:left w:type="dxa" w:w="190"/>
              <w:bottom w:type="dxa" w:w="130"/>
              <w:right w:type="dxa" w:w="190"/>
            </w:tcMar>
          </w:tcPr>
          <w:p>
            <w:pPr>
              <w:spacing w:after="0" w:line="258"/>
            </w:pPr>
            <w:r>
              <w:rPr>
                <w:rFonts w:ascii="Calibri" w:cs="Calibri" w:eastAsia="Calibri" w:hAnsi="Calibri"/>
                <w:b/>
                <w:bCs/>
                <w:color w:val="141418"/>
                <w:sz w:val="19"/>
                <w:szCs w:val="19"/>
              </w:rPr>
              <w:t xml:space="preserve">In one line.  </w:t>
            </w:r>
            <w:r>
              <w:rPr>
                <w:rFonts w:ascii="Calibri" w:cs="Calibri" w:eastAsia="Calibri" w:hAnsi="Calibri"/>
                <w:color w:val="2E2E34"/>
                <w:sz w:val="19"/>
                <w:szCs w:val="19"/>
              </w:rPr>
              <w:t xml:space="preserve">Not a clustering demo with a map — a costing model that happens to be solved by a clustering algorithm, and that tells you which answers are proven.</w:t>
            </w:r>
          </w:p>
        </w:tc>
      </w:tr>
    </w:tbl>
    <w:p>
      <w:pPr>
        <w:pStyle w:val="Heading2"/>
        <w:spacing w:after="90" w:before="260"/>
      </w:pPr>
      <w:r>
        <w:rPr>
          <w:rFonts w:ascii="Calibri" w:cs="Calibri" w:eastAsia="Calibri" w:hAnsi="Calibri"/>
          <w:b/>
          <w:bCs/>
          <w:color w:val="141418"/>
          <w:sz w:val="21"/>
          <w:szCs w:val="21"/>
        </w:rPr>
        <w:t xml:space="preserve">The run</w:t>
      </w:r>
    </w:p>
    <w:p>
      <w:pPr>
        <w:spacing w:after="130" w:before="0" w:line="268"/>
      </w:pPr>
      <w:r>
        <w:rPr>
          <w:rFonts w:ascii="Calibri" w:cs="Calibri" w:eastAsia="Calibri" w:hAnsi="Calibri"/>
          <w:color w:val="2E2E34"/>
          <w:sz w:val="20"/>
          <w:szCs w:val="20"/>
        </w:rPr>
        <w:t xml:space="preserve">Press Optimise, or ⌘/Ctrl + Enter. Four stages, each visible as it happens:</w:t>
      </w:r>
    </w:p>
    <w:p>
      <w:pPr>
        <w:pStyle w:val="ListParagraph"/>
        <w:numPr>
          <w:ilvl w:val="0"/>
          <w:numId w:val="2"/>
        </w:numPr>
        <w:spacing w:after="60" w:line="264"/>
      </w:pPr>
      <w:r>
        <w:rPr>
          <w:rFonts w:ascii="Calibri" w:cs="Calibri" w:eastAsia="Calibri" w:hAnsi="Calibri"/>
          <w:b/>
          <w:bCs/>
          <w:color w:val="141418"/>
          <w:sz w:val="20"/>
          <w:szCs w:val="20"/>
        </w:rPr>
        <w:t xml:space="preserve">Place the warehouses. </w:t>
      </w:r>
      <w:r>
        <w:rPr>
          <w:rFonts w:ascii="Calibri" w:cs="Calibri" w:eastAsia="Calibri" w:hAnsi="Calibri"/>
          <w:color w:val="2E2E34"/>
          <w:sz w:val="20"/>
          <w:szCs w:val="20"/>
        </w:rPr>
        <w:t xml:space="preserve">Weighted k-medians finds the K points minimising order-weighted cost.</w:t>
      </w:r>
    </w:p>
    <w:p>
      <w:pPr>
        <w:pStyle w:val="ListParagraph"/>
        <w:numPr>
          <w:ilvl w:val="0"/>
          <w:numId w:val="2"/>
        </w:numPr>
        <w:spacing w:after="60" w:line="264"/>
      </w:pPr>
      <w:r>
        <w:rPr>
          <w:rFonts w:ascii="Calibri" w:cs="Calibri" w:eastAsia="Calibri" w:hAnsi="Calibri"/>
          <w:b/>
          <w:bCs/>
          <w:color w:val="141418"/>
          <w:sz w:val="20"/>
          <w:szCs w:val="20"/>
        </w:rPr>
        <w:t xml:space="preserve">Assign every area. </w:t>
      </w:r>
      <w:r>
        <w:rPr>
          <w:rFonts w:ascii="Calibri" w:cs="Calibri" w:eastAsia="Calibri" w:hAnsi="Calibri"/>
          <w:color w:val="2E2E34"/>
          <w:sz w:val="20"/>
          <w:szCs w:val="20"/>
        </w:rPr>
        <w:t xml:space="preserve">Each goes to whichever warehouse is genuinely cheapest to serve it from.</w:t>
      </w:r>
    </w:p>
    <w:p>
      <w:pPr>
        <w:pStyle w:val="ListParagraph"/>
        <w:numPr>
          <w:ilvl w:val="0"/>
          <w:numId w:val="2"/>
        </w:numPr>
        <w:spacing w:after="60" w:line="264"/>
      </w:pPr>
      <w:r>
        <w:rPr>
          <w:rFonts w:ascii="Calibri" w:cs="Calibri" w:eastAsia="Calibri" w:hAnsi="Calibri"/>
          <w:b/>
          <w:bCs/>
          <w:color w:val="141418"/>
          <w:sz w:val="20"/>
          <w:szCs w:val="20"/>
        </w:rPr>
        <w:t xml:space="preserve">Price the network. </w:t>
      </w:r>
      <w:r>
        <w:rPr>
          <w:rFonts w:ascii="Calibri" w:cs="Calibri" w:eastAsia="Calibri" w:hAnsi="Calibri"/>
          <w:color w:val="2E2E34"/>
          <w:sz w:val="20"/>
          <w:szCs w:val="20"/>
        </w:rPr>
        <w:t xml:space="preserve">Trips, fuel, driver hours and rent become one rupees-per-day figure.</w:t>
      </w:r>
    </w:p>
    <w:p>
      <w:pPr>
        <w:pStyle w:val="ListParagraph"/>
        <w:numPr>
          <w:ilvl w:val="0"/>
          <w:numId w:val="2"/>
        </w:numPr>
        <w:spacing w:after="60" w:line="264"/>
      </w:pPr>
      <w:r>
        <w:rPr>
          <w:rFonts w:ascii="Calibri" w:cs="Calibri" w:eastAsia="Calibri" w:hAnsi="Calibri"/>
          <w:b/>
          <w:bCs/>
          <w:color w:val="141418"/>
          <w:sz w:val="20"/>
          <w:szCs w:val="20"/>
        </w:rPr>
        <w:t xml:space="preserve">Compare and prove. </w:t>
      </w:r>
      <w:r>
        <w:rPr>
          <w:rFonts w:ascii="Calibri" w:cs="Calibri" w:eastAsia="Calibri" w:hAnsi="Calibri"/>
          <w:color w:val="2E2E34"/>
          <w:sz w:val="20"/>
          <w:szCs w:val="20"/>
        </w:rPr>
        <w:t xml:space="preserve">Against one depot, against k-means, against exhaustive search.</w:t>
      </w:r>
    </w:p>
    <w:p>
      <w:pPr>
        <w:pStyle w:val="Heading2"/>
        <w:spacing w:after="90" w:before="260"/>
      </w:pPr>
      <w:r>
        <w:rPr>
          <w:rFonts w:ascii="Calibri" w:cs="Calibri" w:eastAsia="Calibri" w:hAnsi="Calibri"/>
          <w:b/>
          <w:bCs/>
          <w:color w:val="141418"/>
          <w:sz w:val="21"/>
          <w:szCs w:val="21"/>
        </w:rPr>
        <w:t xml:space="preserve">Data in</w:t>
      </w:r>
    </w:p>
    <w:tbl>
      <w:tblPr>
        <w:tblW w:type="dxa" w:w="9360"/>
        <w:tblBorders>
          <w:top w:val="single" w:color="141418" w:sz="6"/>
          <w:left w:val="none"/>
          <w:bottom w:val="single" w:color="141418" w:sz="6"/>
          <w:right w:val="none"/>
          <w:insideH w:val="single" w:color="EBE9E2" w:sz="2"/>
          <w:insideV w:val="none"/>
        </w:tblBorders>
      </w:tblPr>
      <w:tblGrid>
        <w:gridCol w:w="1500"/>
        <w:gridCol w:w="7860"/>
      </w:tblGrid>
      <w:tr>
        <w:trPr>
          <w:cantSplit/>
          <w:tblHeader/>
        </w:trPr>
        <w:tc>
          <w:tcPr>
            <w:tcW w:type="dxa" w:w="15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ROUTE</w:t>
            </w:r>
          </w:p>
        </w:tc>
        <w:tc>
          <w:tcPr>
            <w:tcW w:type="dxa" w:w="786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
            </w:r>
          </w:p>
        </w:tc>
      </w:tr>
      <w:tr>
        <w:trPr>
          <w:cantSplit/>
        </w:trPr>
        <w:tc>
          <w:tcPr>
            <w:tcW w:type="dxa" w:w="15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Sample</w:t>
            </w:r>
          </w:p>
        </w:tc>
        <w:tc>
          <w:tcPr>
            <w:tcW w:type="dxa" w:w="78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Seven Indian metros: Bengaluru, Delhi NCR, Mumbai, Hyderabad, Chennai, Pune, Kolkata.</w:t>
            </w:r>
          </w:p>
        </w:tc>
      </w:tr>
      <w:tr>
        <w:trPr>
          <w:cantSplit/>
        </w:trPr>
        <w:tc>
          <w:tcPr>
            <w:tcW w:type="dxa" w:w="15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Upload</w:t>
            </w:r>
          </w:p>
        </w:tc>
        <w:tc>
          <w:tcPr>
            <w:tcW w:type="dxa" w:w="78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Any CSV. Column names need not match ours — the AI component resolves them.</w:t>
            </w:r>
          </w:p>
        </w:tc>
      </w:tr>
      <w:tr>
        <w:trPr>
          <w:cantSplit/>
        </w:trPr>
        <w:tc>
          <w:tcPr>
            <w:tcW w:type="dxa" w:w="15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Type</w:t>
            </w:r>
          </w:p>
        </w:tc>
        <w:tc>
          <w:tcPr>
            <w:tcW w:type="dxa" w:w="786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Paste rows as id, lat, lon, orders. Errors reported per row as you type.</w:t>
            </w:r>
          </w:p>
        </w:tc>
      </w:tr>
    </w:tbl>
    <w:p>
      <w:pPr>
        <w:spacing w:after="130"/>
      </w:pPr>
    </w:p>
    <w:p>
      <w:pPr>
        <w:spacing w:after="130" w:before="0" w:line="268"/>
      </w:pPr>
      <w:r>
        <w:rPr>
          <w:rFonts w:ascii="Calibri" w:cs="Calibri" w:eastAsia="Calibri" w:hAnsi="Calibri"/>
          <w:color w:val="2E2E34"/>
          <w:sz w:val="20"/>
          <w:szCs w:val="20"/>
        </w:rPr>
        <w:t xml:space="preserve">Each neighborhood needs a unique id, a valid lat/lon, and a non-negative order count. Validation failures are shown, not swallowed.</w:t>
      </w:r>
    </w:p>
    <w:p>
      <w:pPr>
        <w:pStyle w:val="Heading2"/>
        <w:spacing w:after="90" w:before="260"/>
      </w:pPr>
      <w:r>
        <w:rPr>
          <w:rFonts w:ascii="Calibri" w:cs="Calibri" w:eastAsia="Calibri" w:hAnsi="Calibri"/>
          <w:b/>
          <w:bCs/>
          <w:color w:val="141418"/>
          <w:sz w:val="21"/>
          <w:szCs w:val="21"/>
        </w:rPr>
        <w:t xml:space="preserve">Controls</w:t>
      </w:r>
    </w:p>
    <w:p>
      <w:pPr>
        <w:spacing w:after="130" w:before="0" w:line="268"/>
      </w:pPr>
      <w:r>
        <w:rPr>
          <w:rFonts w:ascii="Calibri" w:cs="Calibri" w:eastAsia="Calibri" w:hAnsi="Calibri"/>
          <w:color w:val="2E2E34"/>
          <w:sz w:val="20"/>
          <w:szCs w:val="20"/>
        </w:rPr>
        <w:t xml:space="preserve">The K slider sets the number of warehouses. After a run the tool reports the cost optimum and offers a one-click jump to it — §2.4 explains why one exists.</w:t>
      </w:r>
    </w:p>
    <w:p>
      <w:pPr>
        <w:spacing w:after="60"/>
      </w:pPr>
    </w:p>
    <w:tbl>
      <w:tblPr>
        <w:tblW w:type="dxa" w:w="9360"/>
        <w:tblBorders>
          <w:top w:val="single" w:color="141418" w:sz="6"/>
          <w:left w:val="none"/>
          <w:bottom w:val="single" w:color="141418" w:sz="6"/>
          <w:right w:val="none"/>
          <w:insideH w:val="single" w:color="EBE9E2" w:sz="2"/>
          <w:insideV w:val="none"/>
        </w:tblBorders>
      </w:tblPr>
      <w:tblGrid>
        <w:gridCol w:w="2000"/>
        <w:gridCol w:w="1560"/>
        <w:gridCol w:w="1560"/>
        <w:gridCol w:w="1560"/>
        <w:gridCol w:w="2680"/>
      </w:tblGrid>
      <w:tr>
        <w:trPr>
          <w:cantSplit/>
          <w:tblHeader/>
        </w:trPr>
        <w:tc>
          <w:tcPr>
            <w:tcW w:type="dxa" w:w="20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VEHICLE</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ORDERS/TRIP</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FUEL L/KM</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KM/H</w:t>
            </w:r>
          </w:p>
        </w:tc>
        <w:tc>
          <w:tcPr>
            <w:tcW w:type="dxa" w:w="268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CO₂ G/KM</w:t>
            </w:r>
          </w:p>
        </w:tc>
      </w:tr>
      <w:tr>
        <w:trPr>
          <w:cantSplit/>
        </w:trPr>
        <w:tc>
          <w:tcPr>
            <w:tcW w:type="dxa" w:w="20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Two-wheeler</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25</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0.020</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34</w:t>
            </w:r>
          </w:p>
        </w:tc>
        <w:tc>
          <w:tcPr>
            <w:tcW w:type="dxa" w:w="268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46</w:t>
            </w:r>
          </w:p>
        </w:tc>
      </w:tr>
      <w:tr>
        <w:trPr>
          <w:cantSplit/>
        </w:trPr>
        <w:tc>
          <w:tcPr>
            <w:tcW w:type="dxa" w:w="20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Three-wheeler</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60</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0.033</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28</w:t>
            </w:r>
          </w:p>
        </w:tc>
        <w:tc>
          <w:tcPr>
            <w:tcW w:type="dxa" w:w="268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76</w:t>
            </w:r>
          </w:p>
        </w:tc>
      </w:tr>
      <w:tr>
        <w:trPr>
          <w:cantSplit/>
        </w:trPr>
        <w:tc>
          <w:tcPr>
            <w:tcW w:type="dxa" w:w="20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Delivery van</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180</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0.085</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30</w:t>
            </w:r>
          </w:p>
        </w:tc>
        <w:tc>
          <w:tcPr>
            <w:tcW w:type="dxa" w:w="268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228</w:t>
            </w:r>
          </w:p>
        </w:tc>
      </w:tr>
      <w:tr>
        <w:trPr>
          <w:cantSplit/>
        </w:trPr>
        <w:tc>
          <w:tcPr>
            <w:tcW w:type="dxa" w:w="20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Light truck</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420</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0.150</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26</w:t>
            </w:r>
          </w:p>
        </w:tc>
        <w:tc>
          <w:tcPr>
            <w:tcW w:type="dxa" w:w="268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402</w:t>
            </w:r>
          </w:p>
        </w:tc>
      </w:tr>
      <w:tr>
        <w:trPr>
          <w:cantSplit/>
        </w:trPr>
        <w:tc>
          <w:tcPr>
            <w:tcW w:type="dxa" w:w="20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Electric van</w:t>
            </w:r>
          </w:p>
        </w:tc>
        <w:tc>
          <w:tcPr>
            <w:tcW w:type="dxa" w:w="1560"/>
            <w:tcMar>
              <w:top w:type="dxa" w:w="80"/>
              <w:left w:type="dxa" w:w="120"/>
              <w:bottom w:type="dxa" w:w="80"/>
              <w:right w:type="dxa" w:w="120"/>
            </w:tcMar>
          </w:tcPr>
          <w:p>
            <w:pPr>
              <w:keepNext w:val="false"/>
              <w:spacing w:after="0" w:line="248"/>
              <w:jc w:val="right"/>
            </w:pPr>
            <w:r>
              <w:rPr>
                <w:rFonts w:ascii="Calibri" w:cs="Calibri" w:eastAsia="Calibri" w:hAnsi="Calibri"/>
                <w:color w:val="2E2E34"/>
                <w:sz w:val="18"/>
                <w:szCs w:val="18"/>
              </w:rPr>
              <w:t xml:space="preserve">150</w:t>
            </w:r>
          </w:p>
        </w:tc>
        <w:tc>
          <w:tcPr>
            <w:tcW w:type="dxa" w:w="1560"/>
            <w:tcMar>
              <w:top w:type="dxa" w:w="80"/>
              <w:left w:type="dxa" w:w="120"/>
              <w:bottom w:type="dxa" w:w="80"/>
              <w:right w:type="dxa" w:w="120"/>
            </w:tcMar>
          </w:tcPr>
          <w:p>
            <w:pPr>
              <w:keepNext w:val="false"/>
              <w:spacing w:after="0" w:line="248"/>
              <w:jc w:val="right"/>
            </w:pPr>
            <w:r>
              <w:rPr>
                <w:rFonts w:ascii="Calibri" w:cs="Calibri" w:eastAsia="Calibri" w:hAnsi="Calibri"/>
                <w:color w:val="2E2E34"/>
                <w:sz w:val="18"/>
                <w:szCs w:val="18"/>
              </w:rPr>
              <w:t xml:space="preserve">0.011</w:t>
            </w:r>
          </w:p>
        </w:tc>
        <w:tc>
          <w:tcPr>
            <w:tcW w:type="dxa" w:w="1560"/>
            <w:tcMar>
              <w:top w:type="dxa" w:w="80"/>
              <w:left w:type="dxa" w:w="120"/>
              <w:bottom w:type="dxa" w:w="80"/>
              <w:right w:type="dxa" w:w="120"/>
            </w:tcMar>
          </w:tcPr>
          <w:p>
            <w:pPr>
              <w:keepNext w:val="false"/>
              <w:spacing w:after="0" w:line="248"/>
              <w:jc w:val="right"/>
            </w:pPr>
            <w:r>
              <w:rPr>
                <w:rFonts w:ascii="Calibri" w:cs="Calibri" w:eastAsia="Calibri" w:hAnsi="Calibri"/>
                <w:color w:val="2E2E34"/>
                <w:sz w:val="18"/>
                <w:szCs w:val="18"/>
              </w:rPr>
              <w:t xml:space="preserve">30</w:t>
            </w:r>
          </w:p>
        </w:tc>
        <w:tc>
          <w:tcPr>
            <w:tcW w:type="dxa" w:w="2680"/>
            <w:tcMar>
              <w:top w:type="dxa" w:w="80"/>
              <w:left w:type="dxa" w:w="120"/>
              <w:bottom w:type="dxa" w:w="80"/>
              <w:right w:type="dxa" w:w="120"/>
            </w:tcMar>
          </w:tcPr>
          <w:p>
            <w:pPr>
              <w:keepNext w:val="false"/>
              <w:spacing w:after="0" w:line="248"/>
              <w:jc w:val="right"/>
            </w:pPr>
            <w:r>
              <w:rPr>
                <w:rFonts w:ascii="Calibri" w:cs="Calibri" w:eastAsia="Calibri" w:hAnsi="Calibri"/>
                <w:color w:val="2E2E34"/>
                <w:sz w:val="18"/>
                <w:szCs w:val="18"/>
              </w:rPr>
              <w:t xml:space="preserve">110</w:t>
            </w:r>
          </w:p>
        </w:tc>
      </w:tr>
    </w:tbl>
    <w:p>
      <w:pPr>
        <w:spacing w:after="130"/>
      </w:pPr>
    </w:p>
    <w:p>
      <w:pPr>
        <w:spacing w:after="130" w:before="0" w:line="268"/>
      </w:pPr>
      <w:r>
        <w:rPr>
          <w:rFonts w:ascii="Calibri" w:cs="Calibri" w:eastAsia="Calibri" w:hAnsi="Calibri"/>
          <w:color w:val="2E2E34"/>
          <w:sz w:val="20"/>
          <w:szCs w:val="20"/>
        </w:rPr>
        <w:t xml:space="preserve">Four congestion profiles scale effective speed, and so driver cost per kilometre: </w:t>
      </w:r>
      <w:r>
        <w:rPr>
          <w:rFonts w:ascii="Calibri" w:cs="Calibri" w:eastAsia="Calibri" w:hAnsi="Calibri"/>
          <w:b/>
          <w:bCs/>
          <w:color w:val="141418"/>
          <w:sz w:val="20"/>
          <w:szCs w:val="20"/>
        </w:rPr>
        <w:t xml:space="preserve">free flow 1.00</w:t>
      </w:r>
      <w:r>
        <w:rPr>
          <w:rFonts w:ascii="Calibri" w:cs="Calibri" w:eastAsia="Calibri" w:hAnsi="Calibri"/>
          <w:color w:val="2E2E34"/>
          <w:sz w:val="20"/>
          <w:szCs w:val="20"/>
        </w:rPr>
        <w:t xml:space="preserve"> (night dispatch), </w:t>
      </w:r>
      <w:r>
        <w:rPr>
          <w:rFonts w:ascii="Calibri" w:cs="Calibri" w:eastAsia="Calibri" w:hAnsi="Calibri"/>
          <w:b/>
          <w:bCs/>
          <w:color w:val="141418"/>
          <w:sz w:val="20"/>
          <w:szCs w:val="20"/>
        </w:rPr>
        <w:t xml:space="preserve">light 1.25</w:t>
      </w:r>
      <w:r>
        <w:rPr>
          <w:rFonts w:ascii="Calibri" w:cs="Calibri" w:eastAsia="Calibri" w:hAnsi="Calibri"/>
          <w:color w:val="2E2E34"/>
          <w:sz w:val="20"/>
          <w:szCs w:val="20"/>
        </w:rPr>
        <w:t xml:space="preserve"> (off-peak), </w:t>
      </w:r>
      <w:r>
        <w:rPr>
          <w:rFonts w:ascii="Calibri" w:cs="Calibri" w:eastAsia="Calibri" w:hAnsi="Calibri"/>
          <w:b/>
          <w:bCs/>
          <w:color w:val="141418"/>
          <w:sz w:val="20"/>
          <w:szCs w:val="20"/>
        </w:rPr>
        <w:t xml:space="preserve">peak hour 1.85</w:t>
      </w:r>
      <w:r>
        <w:rPr>
          <w:rFonts w:ascii="Calibri" w:cs="Calibri" w:eastAsia="Calibri" w:hAnsi="Calibri"/>
          <w:color w:val="2E2E34"/>
          <w:sz w:val="20"/>
          <w:szCs w:val="20"/>
        </w:rPr>
        <w:t xml:space="preserve"> (Bengaluru 9am/6pm), </w:t>
      </w:r>
      <w:r>
        <w:rPr>
          <w:rFonts w:ascii="Calibri" w:cs="Calibri" w:eastAsia="Calibri" w:hAnsi="Calibri"/>
          <w:b/>
          <w:bCs/>
          <w:color w:val="141418"/>
          <w:sz w:val="20"/>
          <w:szCs w:val="20"/>
        </w:rPr>
        <w:t xml:space="preserve">gridlock 2.60</w:t>
      </w:r>
      <w:r>
        <w:rPr>
          <w:rFonts w:ascii="Calibri" w:cs="Calibri" w:eastAsia="Calibri" w:hAnsi="Calibri"/>
          <w:color w:val="2E2E34"/>
          <w:sz w:val="20"/>
          <w:szCs w:val="20"/>
        </w:rPr>
        <w:t xml:space="preserve"> (monsoon evening).</w:t>
      </w:r>
    </w:p>
    <w:p>
      <w:pPr>
        <w:spacing w:after="130" w:before="0" w:line="268"/>
      </w:pPr>
      <w:r>
        <w:rPr>
          <w:rFonts w:ascii="Calibri" w:cs="Calibri" w:eastAsia="Calibri" w:hAnsi="Calibri"/>
          <w:color w:val="2E2E34"/>
          <w:sz w:val="20"/>
          <w:szCs w:val="20"/>
        </w:rPr>
        <w:t xml:space="preserve">Fuel price, driver wage and facility rent are live inputs. Two hard constraints can be switched on — a </w:t>
      </w:r>
      <w:r>
        <w:rPr>
          <w:rFonts w:ascii="Calibri" w:cs="Calibri" w:eastAsia="Calibri" w:hAnsi="Calibri"/>
          <w:b/>
          <w:bCs/>
          <w:color w:val="141418"/>
          <w:sz w:val="20"/>
          <w:szCs w:val="20"/>
        </w:rPr>
        <w:t xml:space="preserve">capacity cap</w:t>
      </w:r>
      <w:r>
        <w:rPr>
          <w:rFonts w:ascii="Calibri" w:cs="Calibri" w:eastAsia="Calibri" w:hAnsi="Calibri"/>
          <w:color w:val="2E2E34"/>
          <w:sz w:val="20"/>
          <w:szCs w:val="20"/>
        </w:rPr>
        <w:t xml:space="preserve"> per warehouse and a </w:t>
      </w:r>
      <w:r>
        <w:rPr>
          <w:rFonts w:ascii="Calibri" w:cs="Calibri" w:eastAsia="Calibri" w:hAnsi="Calibri"/>
          <w:b/>
          <w:bCs/>
          <w:color w:val="141418"/>
          <w:sz w:val="20"/>
          <w:szCs w:val="20"/>
        </w:rPr>
        <w:t xml:space="preserve">maximum service radius</w:t>
      </w:r>
      <w:r>
        <w:rPr>
          <w:rFonts w:ascii="Calibri" w:cs="Calibri" w:eastAsia="Calibri" w:hAnsi="Calibri"/>
          <w:color w:val="2E2E34"/>
          <w:sz w:val="20"/>
          <w:szCs w:val="20"/>
        </w:rPr>
        <w:t xml:space="preserve">. Violations are flagged on the map, not hidden.</w:t>
      </w:r>
    </w:p>
    <w:p>
      <w:pPr>
        <w:spacing w:after="60"/>
      </w:pPr>
    </w:p>
    <w:p>
      <w:pPr>
        <w:spacing w:after="130" w:before="0" w:line="268"/>
      </w:pPr>
      <w:r>
        <w:rPr>
          <w:rFonts w:ascii="Calibri" w:cs="Calibri" w:eastAsia="Calibri" w:hAnsi="Calibri"/>
          <w:color w:val="2E2E34"/>
          <w:sz w:val="20"/>
          <w:szCs w:val="20"/>
        </w:rPr>
        <w:t xml:space="preserve">Five demand scenarios reshape volumes so you can test whether the answer moves: today, +40% growth, suburban sprawl, urban infill, downturn.</w:t>
      </w:r>
    </w:p>
    <w:p>
      <w:pPr>
        <w:pStyle w:val="Heading2"/>
        <w:spacing w:after="90" w:before="260"/>
      </w:pPr>
      <w:r>
        <w:rPr>
          <w:rFonts w:ascii="Calibri" w:cs="Calibri" w:eastAsia="Calibri" w:hAnsi="Calibri"/>
          <w:b/>
          <w:bCs/>
          <w:color w:val="141418"/>
          <w:sz w:val="21"/>
          <w:szCs w:val="21"/>
        </w:rPr>
        <w:t xml:space="preserve">The AI component</w:t>
      </w:r>
    </w:p>
    <w:p>
      <w:pPr>
        <w:spacing w:after="130" w:before="0" w:line="268"/>
      </w:pPr>
      <w:r>
        <w:rPr>
          <w:rFonts w:ascii="Calibri" w:cs="Calibri" w:eastAsia="Calibri" w:hAnsi="Calibri"/>
          <w:color w:val="2E2E34"/>
          <w:sz w:val="20"/>
          <w:szCs w:val="20"/>
        </w:rPr>
        <w:t xml:space="preserve">Real data never arrives with the column names you want. Sludge embeds each header with </w:t>
      </w:r>
      <w:r>
        <w:rPr>
          <w:rFonts w:ascii="Consolas" w:cs="Consolas" w:eastAsia="Consolas" w:hAnsi="Consolas"/>
          <w:color w:val="141418"/>
          <w:sz w:val="18"/>
          <w:szCs w:val="18"/>
        </w:rPr>
        <w:t xml:space="preserve">Xenova/all-MiniLM-L6-v2</w:t>
      </w:r>
      <w:r>
        <w:rPr>
          <w:rFonts w:ascii="Calibri" w:cs="Calibri" w:eastAsia="Calibri" w:hAnsi="Calibri"/>
          <w:color w:val="2E2E34"/>
          <w:sz w:val="20"/>
          <w:szCs w:val="20"/>
        </w:rPr>
        <w:t xml:space="preserve"> on WebAssembly </w:t>
      </w:r>
      <w:r>
        <w:rPr>
          <w:rFonts w:ascii="Calibri" w:cs="Calibri" w:eastAsia="Calibri" w:hAnsi="Calibri"/>
          <w:b/>
          <w:bCs/>
          <w:color w:val="141418"/>
          <w:sz w:val="20"/>
          <w:szCs w:val="20"/>
        </w:rPr>
        <w:t xml:space="preserve">inside the browser</w:t>
      </w:r>
      <w:r>
        <w:rPr>
          <w:rFonts w:ascii="Calibri" w:cs="Calibri" w:eastAsia="Calibri" w:hAnsi="Calibri"/>
          <w:color w:val="2E2E34"/>
          <w:sz w:val="20"/>
          <w:szCs w:val="20"/>
        </w:rPr>
        <w:t xml:space="preserve"> — no API key, no server, nothing leaves the machine — and matches by meaning:</w:t>
      </w:r>
    </w:p>
    <w:p>
      <w:pPr>
        <w:spacing w:after="50"/>
      </w:pPr>
    </w:p>
    <w:tbl>
      <w:tblPr>
        <w:tblW w:type="dxa" w:w="9360"/>
        <w:tblBorders>
          <w:top w:val="single" w:color="141418" w:sz="6"/>
          <w:left w:val="none"/>
          <w:bottom w:val="single" w:color="141418" w:sz="6"/>
          <w:right w:val="none"/>
          <w:insideH w:val="single" w:color="EBE9E2" w:sz="2"/>
          <w:insideV w:val="none"/>
        </w:tblBorders>
      </w:tblPr>
      <w:tblGrid>
        <w:gridCol w:w="3200"/>
        <w:gridCol w:w="3200"/>
        <w:gridCol w:w="2960"/>
      </w:tblGrid>
      <w:tr>
        <w:trPr>
          <w:cantSplit/>
          <w:tblHeader/>
        </w:trPr>
        <w:tc>
          <w:tcPr>
            <w:tcW w:type="dxa" w:w="32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INCOMING HEADER</w:t>
            </w:r>
          </w:p>
        </w:tc>
        <w:tc>
          <w:tcPr>
            <w:tcW w:type="dxa" w:w="320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MAPPED TO</w:t>
            </w:r>
          </w:p>
        </w:tc>
        <w:tc>
          <w:tcPr>
            <w:tcW w:type="dxa" w:w="296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SIMILARITY</w:t>
            </w:r>
          </w:p>
        </w:tc>
      </w:tr>
      <w:tr>
        <w:trPr>
          <w:cantSplit/>
        </w:trPr>
        <w:tc>
          <w:tcPr>
            <w:tcW w:type="dxa" w:w="32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Parcels Per Day</w:t>
            </w:r>
          </w:p>
        </w:tc>
        <w:tc>
          <w:tcPr>
            <w:tcW w:type="dxa" w:w="320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orders</w:t>
            </w:r>
          </w:p>
        </w:tc>
        <w:tc>
          <w:tcPr>
            <w:tcW w:type="dxa" w:w="29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79%</w:t>
            </w:r>
          </w:p>
        </w:tc>
      </w:tr>
      <w:tr>
        <w:trPr>
          <w:cantSplit/>
        </w:trPr>
        <w:tc>
          <w:tcPr>
            <w:tcW w:type="dxa" w:w="32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Locality Name</w:t>
            </w:r>
          </w:p>
        </w:tc>
        <w:tc>
          <w:tcPr>
            <w:tcW w:type="dxa" w:w="320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id</w:t>
            </w:r>
          </w:p>
        </w:tc>
        <w:tc>
          <w:tcPr>
            <w:tcW w:type="dxa" w:w="29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72%</w:t>
            </w:r>
          </w:p>
        </w:tc>
      </w:tr>
      <w:tr>
        <w:trPr>
          <w:cantSplit/>
        </w:trPr>
        <w:tc>
          <w:tcPr>
            <w:tcW w:type="dxa" w:w="32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Y Coordinate</w:t>
            </w:r>
          </w:p>
        </w:tc>
        <w:tc>
          <w:tcPr>
            <w:tcW w:type="dxa" w:w="320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lat</w:t>
            </w:r>
          </w:p>
        </w:tc>
        <w:tc>
          <w:tcPr>
            <w:tcW w:type="dxa" w:w="29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50%</w:t>
            </w:r>
          </w:p>
        </w:tc>
      </w:tr>
      <w:tr>
        <w:trPr>
          <w:cantSplit/>
        </w:trPr>
        <w:tc>
          <w:tcPr>
            <w:tcW w:type="dxa" w:w="32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X Coordinate</w:t>
            </w:r>
          </w:p>
        </w:tc>
        <w:tc>
          <w:tcPr>
            <w:tcW w:type="dxa" w:w="320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lon</w:t>
            </w:r>
          </w:p>
        </w:tc>
        <w:tc>
          <w:tcPr>
            <w:tcW w:type="dxa" w:w="2960"/>
            <w:tcMar>
              <w:top w:type="dxa" w:w="80"/>
              <w:left w:type="dxa" w:w="120"/>
              <w:bottom w:type="dxa" w:w="80"/>
              <w:right w:type="dxa" w:w="120"/>
            </w:tcMar>
          </w:tcPr>
          <w:p>
            <w:pPr>
              <w:keepNext w:val="false"/>
              <w:spacing w:after="0" w:line="248"/>
              <w:jc w:val="right"/>
            </w:pPr>
            <w:r>
              <w:rPr>
                <w:rFonts w:ascii="Calibri" w:cs="Calibri" w:eastAsia="Calibri" w:hAnsi="Calibri"/>
                <w:color w:val="2E2E34"/>
                <w:sz w:val="18"/>
                <w:szCs w:val="18"/>
              </w:rPr>
              <w:t xml:space="preserve">39%</w:t>
            </w:r>
          </w:p>
        </w:tc>
      </w:tr>
    </w:tbl>
    <w:p>
      <w:pPr>
        <w:spacing w:after="130"/>
      </w:pPr>
    </w:p>
    <w:tbl>
      <w:tblPr>
        <w:tblW w:type="dxa" w:w="9360"/>
        <w:tblBorders>
          <w:top w:val="none"/>
          <w:left w:val="none"/>
          <w:bottom w:val="none"/>
          <w:right w:val="none"/>
          <w:insideH w:val="none"/>
          <w:insideV w:val="none"/>
        </w:tblBorders>
      </w:tblPr>
      <w:tblGrid>
        <w:gridCol w:w="9360"/>
      </w:tblGrid>
      <w:tr>
        <w:tc>
          <w:tcPr>
            <w:tcW w:type="dxa" w:w="9360"/>
            <w:tcBorders>
              <w:top w:val="none"/>
              <w:left w:val="single" w:color="17508F" w:sz="16"/>
              <w:bottom w:val="none"/>
              <w:right w:val="none"/>
            </w:tcBorders>
            <w:shd w:fill="F5F4EF" w:val="clear"/>
            <w:tcMar>
              <w:top w:type="dxa" w:w="130"/>
              <w:left w:type="dxa" w:w="190"/>
              <w:bottom w:type="dxa" w:w="130"/>
              <w:right w:type="dxa" w:w="190"/>
            </w:tcMar>
          </w:tcPr>
          <w:p>
            <w:pPr>
              <w:spacing w:after="0" w:line="258"/>
            </w:pPr>
            <w:r>
              <w:rPr>
                <w:rFonts w:ascii="Calibri" w:cs="Calibri" w:eastAsia="Calibri" w:hAnsi="Calibri"/>
                <w:b/>
                <w:bCs/>
                <w:color w:val="141418"/>
                <w:sz w:val="19"/>
                <w:szCs w:val="19"/>
              </w:rPr>
              <w:t xml:space="preserve">Those percentages are raw cosine similarity.  </w:t>
            </w:r>
            <w:r>
              <w:rPr>
                <w:rFonts w:ascii="Calibri" w:cs="Calibri" w:eastAsia="Calibri" w:hAnsi="Calibri"/>
                <w:color w:val="2E2E34"/>
                <w:sz w:val="19"/>
                <w:szCs w:val="19"/>
              </w:rPr>
              <w:t xml:space="preserve">39% looks weak but is a correct mapping — what matters is the margin over the runner-up. If the model fails to load, the tool falls back to an alias table and says so rather than pretending it used AI.</w:t>
            </w:r>
          </w:p>
        </w:tc>
      </w:tr>
    </w:tbl>
    <w:p>
      <w:pPr>
        <w:pStyle w:val="Heading2"/>
        <w:spacing w:after="90" w:before="260"/>
      </w:pPr>
      <w:r>
        <w:rPr>
          <w:rFonts w:ascii="Calibri" w:cs="Calibri" w:eastAsia="Calibri" w:hAnsi="Calibri"/>
          <w:b/>
          <w:bCs/>
          <w:color w:val="141418"/>
          <w:sz w:val="21"/>
          <w:szCs w:val="21"/>
        </w:rPr>
        <w:t xml:space="preserve">Results out</w:t>
      </w:r>
    </w:p>
    <w:tbl>
      <w:tblPr>
        <w:tblW w:type="dxa" w:w="9360"/>
        <w:tblBorders>
          <w:top w:val="single" w:color="141418" w:sz="6"/>
          <w:left w:val="none"/>
          <w:bottom w:val="single" w:color="141418" w:sz="6"/>
          <w:right w:val="none"/>
          <w:insideH w:val="single" w:color="EBE9E2" w:sz="2"/>
          <w:insideV w:val="none"/>
        </w:tblBorders>
      </w:tblPr>
      <w:tblGrid>
        <w:gridCol w:w="2100"/>
        <w:gridCol w:w="7260"/>
      </w:tblGrid>
      <w:tr>
        <w:trPr>
          <w:cantSplit/>
          <w:tblHeader/>
        </w:trPr>
        <w:tc>
          <w:tcPr>
            <w:tcW w:type="dxa" w:w="21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PANEL</w:t>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
            </w:r>
          </w:p>
        </w:tc>
      </w:tr>
      <w:tr>
        <w:trPr>
          <w:cantSplit/>
        </w:trPr>
        <w:tc>
          <w:tcPr>
            <w:tcW w:type="dxa" w:w="21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Headline</w:t>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Percentage cheaper than one central depot, and the rupee figures behind it.</w:t>
            </w:r>
          </w:p>
        </w:tc>
      </w:tr>
      <w:tr>
        <w:trPr>
          <w:cantSplit/>
        </w:trPr>
        <w:tc>
          <w:tcPr>
            <w:tcW w:type="dxa" w:w="21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Statistics</w:t>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Annual saving, CO₂ avoided, margin over an equivalent k-means network.</w:t>
            </w:r>
          </w:p>
        </w:tc>
      </w:tr>
      <w:tr>
        <w:trPr>
          <w:cantSplit/>
        </w:trPr>
        <w:tc>
          <w:tcPr>
            <w:tcW w:type="dxa" w:w="21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Trade-off</w:t>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Cost against K with the optimum starred. Click a bar to jump to that K.</w:t>
            </w:r>
          </w:p>
        </w:tc>
      </w:tr>
      <w:tr>
        <w:trPr>
          <w:cantSplit/>
        </w:trPr>
        <w:tc>
          <w:tcPr>
            <w:tcW w:type="dxa" w:w="21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Costs</w:t>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Fuel, driver time, facilities, cost per order, vehicle-km, CO₂, robustness.</w:t>
            </w:r>
          </w:p>
        </w:tc>
      </w:tr>
      <w:tr>
        <w:trPr>
          <w:cantSplit/>
        </w:trPr>
        <w:tc>
          <w:tcPr>
            <w:tcW w:type="dxa" w:w="21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Areas</w:t>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Every neighborhood, its volume, its depot, its distance.</w:t>
            </w:r>
          </w:p>
        </w:tc>
      </w:tr>
      <w:tr>
        <w:trPr>
          <w:cantSplit/>
        </w:trPr>
        <w:tc>
          <w:tcPr>
            <w:tcW w:type="dxa" w:w="21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Proof</w:t>
            </w:r>
          </w:p>
        </w:tc>
        <w:tc>
          <w:tcPr>
            <w:tcW w:type="dxa" w:w="726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Which claim applies at this K, and the evidence behind it.</w:t>
            </w:r>
          </w:p>
        </w:tc>
      </w:tr>
    </w:tbl>
    <w:p>
      <w:pPr>
        <w:spacing w:after="130"/>
      </w:pPr>
    </w:p>
    <w:p>
      <w:pPr>
        <w:spacing w:after="130" w:before="0" w:line="268"/>
      </w:pPr>
      <w:r>
        <w:rPr>
          <w:rFonts w:ascii="Calibri" w:cs="Calibri" w:eastAsia="Calibri" w:hAnsi="Calibri"/>
          <w:color w:val="2E2E34"/>
          <w:sz w:val="20"/>
          <w:szCs w:val="20"/>
        </w:rPr>
        <w:t xml:space="preserve">Copy summary, copy a permalink to the exact scenario, or export the network as CSV. Before/After toggles the baseline. Light and dark themes are separately colour-validated.</w:t>
      </w:r>
    </w:p>
    <w:p>
      <w:pPr>
        <w:pStyle w:val="Heading1"/>
        <w:pBdr>
          <w:bottom w:val="single" w:color="141418" w:sz="6" w:space="8"/>
        </w:pBdr>
        <w:spacing w:after="150" w:before="380"/>
      </w:pPr>
      <w:r>
        <w:rPr>
          <w:rFonts w:ascii="Calibri" w:cs="Calibri" w:eastAsia="Calibri" w:hAnsi="Calibri"/>
          <w:b/>
          <w:bCs/>
          <w:color w:val="17508F"/>
          <w:sz w:val="26"/>
          <w:szCs w:val="26"/>
        </w:rPr>
        <w:t xml:space="preserve">2  </w:t>
      </w:r>
      <w:r>
        <w:rPr>
          <w:rFonts w:ascii="Calibri" w:cs="Calibri" w:eastAsia="Calibri" w:hAnsi="Calibri"/>
          <w:b/>
          <w:bCs/>
          <w:color w:val="141418"/>
          <w:sz w:val="26"/>
          <w:szCs w:val="26"/>
        </w:rPr>
        <w:t xml:space="preserve">The mathematics</w:t>
      </w:r>
    </w:p>
    <w:p>
      <w:pPr>
        <w:spacing w:after="130" w:before="0" w:line="268"/>
      </w:pPr>
      <w:r>
        <w:rPr>
          <w:rFonts w:ascii="Calibri" w:cs="Calibri" w:eastAsia="Calibri" w:hAnsi="Calibri"/>
          <w:color w:val="2E2E34"/>
          <w:sz w:val="20"/>
          <w:szCs w:val="20"/>
        </w:rPr>
        <w:t xml:space="preserve">Neighborhood </w:t>
      </w:r>
      <w:r>
        <w:rPr>
          <w:rFonts w:ascii="Calibri" w:cs="Calibri" w:eastAsia="Calibri" w:hAnsi="Calibri"/>
          <w:i/>
          <w:iCs/>
          <w:color w:val="2E2E34"/>
          <w:sz w:val="20"/>
          <w:szCs w:val="20"/>
        </w:rPr>
        <w:t xml:space="preserve">i</w:t>
      </w:r>
      <w:r>
        <w:rPr>
          <w:rFonts w:ascii="Calibri" w:cs="Calibri" w:eastAsia="Calibri" w:hAnsi="Calibri"/>
          <w:color w:val="2E2E34"/>
          <w:sz w:val="20"/>
          <w:szCs w:val="20"/>
        </w:rPr>
        <w:t xml:space="preserve"> sits at pᵢ with wᵢ orders per day. Choose K warehouse locations — anywhere on the surface, not only at existing sites — to minimise</w:t>
      </w:r>
    </w:p>
    <w:p>
      <w:pPr>
        <w:spacing w:after="150" w:before="150"/>
        <w:jc w:val="center"/>
      </w:pPr>
      <w:r>
        <w:rPr>
          <w:rFonts w:ascii="Consolas" w:cs="Consolas" w:eastAsia="Consolas" w:hAnsi="Consolas"/>
          <w:color w:val="141418"/>
          <w:sz w:val="20"/>
          <w:szCs w:val="20"/>
        </w:rPr>
        <w:t xml:space="preserve">f(X)  =  Σᵢ wᵢ · minⱼ d(pᵢ, xⱼ)   +   K · c_facility</w:t>
      </w:r>
    </w:p>
    <w:p>
      <w:pPr>
        <w:spacing w:after="130" w:before="0" w:line="268"/>
      </w:pPr>
      <w:r>
        <w:rPr>
          <w:rFonts w:ascii="Calibri" w:cs="Calibri" w:eastAsia="Calibri" w:hAnsi="Calibri"/>
          <w:color w:val="2E2E34"/>
          <w:sz w:val="20"/>
          <w:szCs w:val="20"/>
        </w:rPr>
        <w:t xml:space="preserve">where d is haversine distance. This is the </w:t>
      </w:r>
      <w:r>
        <w:rPr>
          <w:rFonts w:ascii="Calibri" w:cs="Calibri" w:eastAsia="Calibri" w:hAnsi="Calibri"/>
          <w:b/>
          <w:bCs/>
          <w:color w:val="141418"/>
          <w:sz w:val="20"/>
          <w:szCs w:val="20"/>
        </w:rPr>
        <w:t xml:space="preserve">weighted K-medians</w:t>
      </w:r>
      <w:r>
        <w:rPr>
          <w:rFonts w:ascii="Calibri" w:cs="Calibri" w:eastAsia="Calibri" w:hAnsi="Calibri"/>
          <w:color w:val="2E2E34"/>
          <w:sz w:val="20"/>
          <w:szCs w:val="20"/>
        </w:rPr>
        <w:t xml:space="preserve"> problem with a facility term.</w:t>
      </w:r>
    </w:p>
    <w:p>
      <w:pPr>
        <w:pStyle w:val="Heading2"/>
        <w:spacing w:after="90" w:before="260"/>
      </w:pPr>
      <w:r>
        <w:rPr>
          <w:rFonts w:ascii="Calibri" w:cs="Calibri" w:eastAsia="Calibri" w:hAnsi="Calibri"/>
          <w:b/>
          <w:bCs/>
          <w:color w:val="141418"/>
          <w:sz w:val="21"/>
          <w:szCs w:val="21"/>
        </w:rPr>
        <w:t xml:space="preserve">2.1  k-medians, not k-means</w:t>
      </w:r>
    </w:p>
    <w:p>
      <w:pPr>
        <w:spacing w:after="130" w:before="0" w:line="268"/>
      </w:pPr>
      <w:r>
        <w:rPr>
          <w:rFonts w:ascii="Calibri" w:cs="Calibri" w:eastAsia="Calibri" w:hAnsi="Calibri"/>
          <w:color w:val="2E2E34"/>
          <w:sz w:val="20"/>
          <w:szCs w:val="20"/>
        </w:rPr>
        <w:t xml:space="preserve">Delivery cost is </w:t>
      </w:r>
      <w:r>
        <w:rPr>
          <w:rFonts w:ascii="Calibri" w:cs="Calibri" w:eastAsia="Calibri" w:hAnsi="Calibri"/>
          <w:b/>
          <w:bCs/>
          <w:color w:val="141418"/>
          <w:sz w:val="20"/>
          <w:szCs w:val="20"/>
        </w:rPr>
        <w:t xml:space="preserve">linear</w:t>
      </w:r>
      <w:r>
        <w:rPr>
          <w:rFonts w:ascii="Calibri" w:cs="Calibri" w:eastAsia="Calibri" w:hAnsi="Calibri"/>
          <w:color w:val="2E2E34"/>
          <w:sz w:val="20"/>
          <w:szCs w:val="20"/>
        </w:rPr>
        <w:t xml:space="preserve"> in distance — twice as far is twice the fuel and twice the driver-hour. k-means minimises </w:t>
      </w:r>
      <w:r>
        <w:rPr>
          <w:rFonts w:ascii="Calibri" w:cs="Calibri" w:eastAsia="Calibri" w:hAnsi="Calibri"/>
          <w:b/>
          <w:bCs/>
          <w:color w:val="141418"/>
          <w:sz w:val="20"/>
          <w:szCs w:val="20"/>
        </w:rPr>
        <w:t xml:space="preserve">squared</w:t>
      </w:r>
      <w:r>
        <w:rPr>
          <w:rFonts w:ascii="Calibri" w:cs="Calibri" w:eastAsia="Calibri" w:hAnsi="Calibri"/>
          <w:color w:val="2E2E34"/>
          <w:sz w:val="20"/>
          <w:szCs w:val="20"/>
        </w:rPr>
        <w:t xml:space="preserve"> distance, which is a different objective and picks a different siting: under d², one distant high-volume zone drags a warehouse toward it far harder than its real cost justifies, and everyone left behind pays.</w:t>
      </w:r>
    </w:p>
    <w:p>
      <w:pPr>
        <w:spacing w:after="130" w:before="0" w:line="268"/>
      </w:pPr>
      <w:r>
        <w:rPr>
          <w:rFonts w:ascii="Calibri" w:cs="Calibri" w:eastAsia="Calibri" w:hAnsi="Calibri"/>
          <w:color w:val="2E2E34"/>
          <w:sz w:val="20"/>
          <w:szCs w:val="20"/>
        </w:rPr>
        <w:t xml:space="preserve">The minimisers differ even for one facility. Squared gives the weighted centroid, in closed form. Linear gives the weighted geometric median, which has no closed form for n ≥ 3 and must be found iteratively.</w:t>
      </w:r>
    </w:p>
    <w:p>
      <w:pPr>
        <w:spacing w:after="130" w:before="0" w:line="268"/>
      </w:pPr>
      <w:r>
        <w:rPr>
          <w:rFonts w:ascii="Calibri" w:cs="Calibri" w:eastAsia="Calibri" w:hAnsi="Calibri"/>
          <w:color w:val="2E2E34"/>
          <w:sz w:val="20"/>
          <w:szCs w:val="20"/>
        </w:rPr>
        <w:t xml:space="preserve">We measure the difference rather than assert it — both networks, same data, same K:</w:t>
      </w:r>
    </w:p>
    <w:tbl>
      <w:tblPr>
        <w:tblW w:type="dxa" w:w="9360"/>
        <w:tblBorders>
          <w:top w:val="single" w:color="141418" w:sz="6"/>
          <w:left w:val="none"/>
          <w:bottom w:val="single" w:color="141418" w:sz="6"/>
          <w:right w:val="none"/>
          <w:insideH w:val="single" w:color="EBE9E2" w:sz="2"/>
          <w:insideV w:val="none"/>
        </w:tblBorders>
      </w:tblPr>
      <w:tblGrid>
        <w:gridCol w:w="1200"/>
        <w:gridCol w:w="3200"/>
        <w:gridCol w:w="2600"/>
        <w:gridCol w:w="2360"/>
      </w:tblGrid>
      <w:tr>
        <w:trPr>
          <w:cantSplit/>
          <w:tblHeader/>
        </w:trPr>
        <w:tc>
          <w:tcPr>
            <w:tcW w:type="dxa" w:w="1200"/>
            <w:tcMar>
              <w:top w:type="dxa" w:w="80"/>
              <w:left w:type="dxa" w:w="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K</w:t>
            </w:r>
          </w:p>
        </w:tc>
        <w:tc>
          <w:tcPr>
            <w:tcW w:type="dxa" w:w="320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K-MEDIANS /DAY</w:t>
            </w:r>
          </w:p>
        </w:tc>
        <w:tc>
          <w:tcPr>
            <w:tcW w:type="dxa" w:w="260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K-MEANS PENALTY</w:t>
            </w:r>
          </w:p>
        </w:tc>
        <w:tc>
          <w:tcPr>
            <w:tcW w:type="dxa" w:w="236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
            </w:r>
          </w:p>
        </w:tc>
      </w:tr>
      <w:tr>
        <w:trPr>
          <w:cantSplit/>
        </w:trPr>
        <w:tc>
          <w:tcPr>
            <w:tcW w:type="dxa" w:w="1200"/>
            <w:tcMar>
              <w:top w:type="dxa" w:w="80"/>
              <w:left w:type="dxa" w:w="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2</w:t>
            </w:r>
          </w:p>
        </w:tc>
        <w:tc>
          <w:tcPr>
            <w:tcW w:type="dxa" w:w="32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₹23,448</w:t>
            </w:r>
          </w:p>
        </w:tc>
        <w:tc>
          <w:tcPr>
            <w:tcW w:type="dxa" w:w="26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+6.00%</w:t>
            </w:r>
          </w:p>
        </w:tc>
        <w:tc>
          <w:tcPr>
            <w:tcW w:type="dxa" w:w="2360"/>
            <w:tcMar>
              <w:top w:type="dxa" w:w="80"/>
              <w:left w:type="dxa" w:w="120"/>
              <w:bottom w:type="dxa" w:w="80"/>
              <w:right w:type="dxa" w:w="120"/>
            </w:tcMar>
          </w:tcPr>
          <w:p>
            <w:pPr>
              <w:keepNext/>
              <w:spacing w:after="0" w:line="248"/>
              <w:jc w:val="left"/>
            </w:pPr>
            <w:r>
              <w:rPr>
                <w:rFonts w:ascii="Calibri" w:cs="Calibri" w:eastAsia="Calibri" w:hAnsi="Calibri"/>
                <w:b w:val="false"/>
                <w:bCs w:val="false"/>
                <w:color w:val="2E2E34"/>
                <w:sz w:val="18"/>
                <w:szCs w:val="18"/>
              </w:rPr>
              <w:t xml:space="preserve"/>
            </w:r>
          </w:p>
        </w:tc>
      </w:tr>
      <w:tr>
        <w:trPr>
          <w:cantSplit/>
        </w:trPr>
        <w:tc>
          <w:tcPr>
            <w:tcW w:type="dxa" w:w="1200"/>
            <w:tcMar>
              <w:top w:type="dxa" w:w="80"/>
              <w:left w:type="dxa" w:w="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3</w:t>
            </w:r>
          </w:p>
        </w:tc>
        <w:tc>
          <w:tcPr>
            <w:tcW w:type="dxa" w:w="32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₹20,521</w:t>
            </w:r>
          </w:p>
        </w:tc>
        <w:tc>
          <w:tcPr>
            <w:tcW w:type="dxa" w:w="26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+2.81%</w:t>
            </w:r>
          </w:p>
        </w:tc>
        <w:tc>
          <w:tcPr>
            <w:tcW w:type="dxa" w:w="2360"/>
            <w:tcMar>
              <w:top w:type="dxa" w:w="80"/>
              <w:left w:type="dxa" w:w="120"/>
              <w:bottom w:type="dxa" w:w="80"/>
              <w:right w:type="dxa" w:w="120"/>
            </w:tcMar>
          </w:tcPr>
          <w:p>
            <w:pPr>
              <w:keepNext/>
              <w:spacing w:after="0" w:line="248"/>
              <w:jc w:val="left"/>
            </w:pPr>
            <w:r>
              <w:rPr>
                <w:rFonts w:ascii="Calibri" w:cs="Calibri" w:eastAsia="Calibri" w:hAnsi="Calibri"/>
                <w:b w:val="false"/>
                <w:bCs w:val="false"/>
                <w:color w:val="2E2E34"/>
                <w:sz w:val="18"/>
                <w:szCs w:val="18"/>
              </w:rPr>
              <w:t xml:space="preserve"/>
            </w:r>
          </w:p>
        </w:tc>
      </w:tr>
      <w:tr>
        <w:trPr>
          <w:cantSplit/>
        </w:trPr>
        <w:tc>
          <w:tcPr>
            <w:tcW w:type="dxa" w:w="1200"/>
            <w:tcMar>
              <w:top w:type="dxa" w:w="80"/>
              <w:left w:type="dxa" w:w="0"/>
              <w:bottom w:type="dxa" w:w="80"/>
              <w:right w:type="dxa" w:w="120"/>
            </w:tcMar>
          </w:tcPr>
          <w:p>
            <w:pPr>
              <w:keepNext/>
              <w:spacing w:after="0" w:line="248"/>
              <w:jc w:val="right"/>
            </w:pPr>
            <w:r>
              <w:rPr>
                <w:rFonts w:ascii="Calibri" w:cs="Calibri" w:eastAsia="Calibri" w:hAnsi="Calibri"/>
                <w:b/>
                <w:bCs/>
                <w:color w:val="17508F"/>
                <w:sz w:val="18"/>
                <w:szCs w:val="18"/>
              </w:rPr>
              <w:t xml:space="preserve">4</w:t>
            </w:r>
          </w:p>
        </w:tc>
        <w:tc>
          <w:tcPr>
            <w:tcW w:type="dxa" w:w="3200"/>
            <w:tcMar>
              <w:top w:type="dxa" w:w="80"/>
              <w:left w:type="dxa" w:w="120"/>
              <w:bottom w:type="dxa" w:w="80"/>
              <w:right w:type="dxa" w:w="120"/>
            </w:tcMar>
          </w:tcPr>
          <w:p>
            <w:pPr>
              <w:keepNext/>
              <w:spacing w:after="0" w:line="248"/>
              <w:jc w:val="right"/>
            </w:pPr>
            <w:r>
              <w:rPr>
                <w:rFonts w:ascii="Calibri" w:cs="Calibri" w:eastAsia="Calibri" w:hAnsi="Calibri"/>
                <w:b/>
                <w:bCs/>
                <w:color w:val="17508F"/>
                <w:sz w:val="18"/>
                <w:szCs w:val="18"/>
              </w:rPr>
              <w:t xml:space="preserve">₹18,824</w:t>
            </w:r>
          </w:p>
        </w:tc>
        <w:tc>
          <w:tcPr>
            <w:tcW w:type="dxa" w:w="2600"/>
            <w:tcMar>
              <w:top w:type="dxa" w:w="80"/>
              <w:left w:type="dxa" w:w="120"/>
              <w:bottom w:type="dxa" w:w="80"/>
              <w:right w:type="dxa" w:w="120"/>
            </w:tcMar>
          </w:tcPr>
          <w:p>
            <w:pPr>
              <w:keepNext/>
              <w:spacing w:after="0" w:line="248"/>
              <w:jc w:val="right"/>
            </w:pPr>
            <w:r>
              <w:rPr>
                <w:rFonts w:ascii="Calibri" w:cs="Calibri" w:eastAsia="Calibri" w:hAnsi="Calibri"/>
                <w:b/>
                <w:bCs/>
                <w:color w:val="17508F"/>
                <w:sz w:val="18"/>
                <w:szCs w:val="18"/>
              </w:rPr>
              <w:t xml:space="preserve">+2.07%</w:t>
            </w:r>
          </w:p>
        </w:tc>
        <w:tc>
          <w:tcPr>
            <w:tcW w:type="dxa" w:w="2360"/>
            <w:tcMar>
              <w:top w:type="dxa" w:w="80"/>
              <w:left w:type="dxa" w:w="120"/>
              <w:bottom w:type="dxa" w:w="80"/>
              <w:right w:type="dxa" w:w="120"/>
            </w:tcMar>
          </w:tcPr>
          <w:p>
            <w:pPr>
              <w:keepNext/>
              <w:spacing w:after="0" w:line="248"/>
              <w:jc w:val="left"/>
            </w:pPr>
            <w:r>
              <w:rPr>
                <w:rFonts w:ascii="Calibri" w:cs="Calibri" w:eastAsia="Calibri" w:hAnsi="Calibri"/>
                <w:b/>
                <w:bCs/>
                <w:color w:val="17508F"/>
                <w:sz w:val="18"/>
                <w:szCs w:val="18"/>
              </w:rPr>
              <w:t xml:space="preserve">optimum</w:t>
            </w:r>
          </w:p>
        </w:tc>
      </w:tr>
      <w:tr>
        <w:trPr>
          <w:cantSplit/>
        </w:trPr>
        <w:tc>
          <w:tcPr>
            <w:tcW w:type="dxa" w:w="1200"/>
            <w:tcMar>
              <w:top w:type="dxa" w:w="80"/>
              <w:left w:type="dxa" w:w="0"/>
              <w:bottom w:type="dxa" w:w="80"/>
              <w:right w:type="dxa" w:w="120"/>
            </w:tcMar>
          </w:tcPr>
          <w:p>
            <w:pPr>
              <w:keepNext w:val="false"/>
              <w:spacing w:after="0" w:line="248"/>
              <w:jc w:val="right"/>
            </w:pPr>
            <w:r>
              <w:rPr>
                <w:rFonts w:ascii="Calibri" w:cs="Calibri" w:eastAsia="Calibri" w:hAnsi="Calibri"/>
                <w:b w:val="false"/>
                <w:bCs w:val="false"/>
                <w:color w:val="2E2E34"/>
                <w:sz w:val="18"/>
                <w:szCs w:val="18"/>
              </w:rPr>
              <w:t xml:space="preserve">5</w:t>
            </w:r>
          </w:p>
        </w:tc>
        <w:tc>
          <w:tcPr>
            <w:tcW w:type="dxa" w:w="3200"/>
            <w:tcMar>
              <w:top w:type="dxa" w:w="80"/>
              <w:left w:type="dxa" w:w="120"/>
              <w:bottom w:type="dxa" w:w="80"/>
              <w:right w:type="dxa" w:w="120"/>
            </w:tcMar>
          </w:tcPr>
          <w:p>
            <w:pPr>
              <w:keepNext w:val="false"/>
              <w:spacing w:after="0" w:line="248"/>
              <w:jc w:val="right"/>
            </w:pPr>
            <w:r>
              <w:rPr>
                <w:rFonts w:ascii="Calibri" w:cs="Calibri" w:eastAsia="Calibri" w:hAnsi="Calibri"/>
                <w:b w:val="false"/>
                <w:bCs w:val="false"/>
                <w:color w:val="2E2E34"/>
                <w:sz w:val="18"/>
                <w:szCs w:val="18"/>
              </w:rPr>
              <w:t xml:space="preserve">₹19,125</w:t>
            </w:r>
          </w:p>
        </w:tc>
        <w:tc>
          <w:tcPr>
            <w:tcW w:type="dxa" w:w="2600"/>
            <w:tcMar>
              <w:top w:type="dxa" w:w="80"/>
              <w:left w:type="dxa" w:w="120"/>
              <w:bottom w:type="dxa" w:w="80"/>
              <w:right w:type="dxa" w:w="120"/>
            </w:tcMar>
          </w:tcPr>
          <w:p>
            <w:pPr>
              <w:keepNext w:val="false"/>
              <w:spacing w:after="0" w:line="248"/>
              <w:jc w:val="right"/>
            </w:pPr>
            <w:r>
              <w:rPr>
                <w:rFonts w:ascii="Calibri" w:cs="Calibri" w:eastAsia="Calibri" w:hAnsi="Calibri"/>
                <w:b w:val="false"/>
                <w:bCs w:val="false"/>
                <w:color w:val="2E2E34"/>
                <w:sz w:val="18"/>
                <w:szCs w:val="18"/>
              </w:rPr>
              <w:t xml:space="preserve">+1.22%</w:t>
            </w:r>
          </w:p>
        </w:tc>
        <w:tc>
          <w:tcPr>
            <w:tcW w:type="dxa" w:w="2360"/>
            <w:tcMar>
              <w:top w:type="dxa" w:w="80"/>
              <w:left w:type="dxa" w:w="120"/>
              <w:bottom w:type="dxa" w:w="80"/>
              <w:right w:type="dxa" w:w="120"/>
            </w:tcMar>
          </w:tcPr>
          <w:p>
            <w:pPr>
              <w:keepNext w:val="false"/>
              <w:spacing w:after="0" w:line="248"/>
              <w:jc w:val="left"/>
            </w:pPr>
            <w:r>
              <w:rPr>
                <w:rFonts w:ascii="Calibri" w:cs="Calibri" w:eastAsia="Calibri" w:hAnsi="Calibri"/>
                <w:b w:val="false"/>
                <w:bCs w:val="false"/>
                <w:color w:val="2E2E34"/>
                <w:sz w:val="18"/>
                <w:szCs w:val="18"/>
              </w:rPr>
              <w:t xml:space="preserve"/>
            </w:r>
          </w:p>
        </w:tc>
      </w:tr>
    </w:tbl>
    <w:p>
      <w:pPr>
        <w:spacing w:after="130"/>
      </w:pPr>
    </w:p>
    <w:tbl>
      <w:tblPr>
        <w:tblW w:type="dxa" w:w="9360"/>
        <w:tblBorders>
          <w:top w:val="none"/>
          <w:left w:val="none"/>
          <w:bottom w:val="none"/>
          <w:right w:val="none"/>
          <w:insideH w:val="none"/>
          <w:insideV w:val="none"/>
        </w:tblBorders>
      </w:tblPr>
      <w:tblGrid>
        <w:gridCol w:w="9360"/>
      </w:tblGrid>
      <w:tr>
        <w:tc>
          <w:tcPr>
            <w:tcW w:type="dxa" w:w="9360"/>
            <w:tcBorders>
              <w:top w:val="none"/>
              <w:left w:val="single" w:color="17508F" w:sz="16"/>
              <w:bottom w:val="none"/>
              <w:right w:val="none"/>
            </w:tcBorders>
            <w:shd w:fill="F5F4EF" w:val="clear"/>
            <w:tcMar>
              <w:top w:type="dxa" w:w="130"/>
              <w:left w:type="dxa" w:w="190"/>
              <w:bottom w:type="dxa" w:w="130"/>
              <w:right w:type="dxa" w:w="190"/>
            </w:tcMar>
          </w:tcPr>
          <w:p>
            <w:pPr>
              <w:spacing w:after="0" w:line="258"/>
            </w:pPr>
            <w:r>
              <w:rPr>
                <w:rFonts w:ascii="Calibri" w:cs="Calibri" w:eastAsia="Calibri" w:hAnsi="Calibri"/>
                <w:b/>
                <w:bCs/>
                <w:color w:val="141418"/>
                <w:sz w:val="19"/>
                <w:szCs w:val="19"/>
              </w:rPr>
              <w:t xml:space="preserve">The wrong objective costs 1.2–6.0% of total network cost,  </w:t>
            </w:r>
            <w:r>
              <w:rPr>
                <w:rFonts w:ascii="Calibri" w:cs="Calibri" w:eastAsia="Calibri" w:hAnsi="Calibri"/>
                <w:color w:val="2E2E34"/>
                <w:sz w:val="19"/>
                <w:szCs w:val="19"/>
              </w:rPr>
              <w:t xml:space="preserve">permanently, for no benefit — up to ₹5.5 lakh a year on this dataset, thrown away by reaching for the more familiar algorithm. Measured on the delivery budget alone, which is the part siting can actually move, the gap is 3.6–8.1%.</w:t>
            </w:r>
          </w:p>
        </w:tc>
      </w:tr>
    </w:tbl>
    <w:p>
      <w:pPr>
        <w:pStyle w:val="Heading2"/>
        <w:spacing w:after="90" w:before="260"/>
      </w:pPr>
      <w:r>
        <w:rPr>
          <w:rFonts w:ascii="Calibri" w:cs="Calibri" w:eastAsia="Calibri" w:hAnsi="Calibri"/>
          <w:b/>
          <w:bCs/>
          <w:color w:val="141418"/>
          <w:sz w:val="21"/>
          <w:szCs w:val="21"/>
        </w:rPr>
        <w:t xml:space="preserve">2.2  The cost model is free</w:t>
      </w:r>
    </w:p>
    <w:p>
      <w:pPr>
        <w:spacing w:after="130" w:before="0" w:line="268"/>
      </w:pPr>
      <w:r>
        <w:rPr>
          <w:rFonts w:ascii="Calibri" w:cs="Calibri" w:eastAsia="Calibri" w:hAnsi="Calibri"/>
          <w:color w:val="2E2E34"/>
          <w:sz w:val="20"/>
          <w:szCs w:val="20"/>
        </w:rPr>
        <w:t xml:space="preserve">For neighborhood i served from warehouse w:</w:t>
      </w:r>
    </w:p>
    <w:p>
      <w:pPr>
        <w:spacing w:after="40" w:line="240"/>
        <w:ind w:left="340"/>
      </w:pPr>
      <w:r>
        <w:rPr>
          <w:rFonts w:ascii="Consolas" w:cs="Consolas" w:eastAsia="Consolas" w:hAnsi="Consolas"/>
          <w:color w:val="2E2E34"/>
          <w:sz w:val="18"/>
          <w:szCs w:val="18"/>
        </w:rPr>
        <w:t xml:space="preserve">roadKmᵢ     = d(pᵢ, w) × ρ             ρ = 1.32 detour factor</w:t>
      </w:r>
    </w:p>
    <w:p>
      <w:pPr>
        <w:spacing w:after="40" w:line="240"/>
        <w:ind w:left="340"/>
      </w:pPr>
      <w:r>
        <w:rPr>
          <w:rFonts w:ascii="Consolas" w:cs="Consolas" w:eastAsia="Consolas" w:hAnsi="Consolas"/>
          <w:color w:val="2E2E34"/>
          <w:sz w:val="18"/>
          <w:szCs w:val="18"/>
        </w:rPr>
        <w:t xml:space="preserve">tripsᵢ      = ⌈wᵢ / Q⌉                 Q = vehicle capacity</w:t>
      </w:r>
    </w:p>
    <w:p>
      <w:pPr>
        <w:spacing w:after="40" w:line="240"/>
        <w:ind w:left="340"/>
      </w:pPr>
      <w:r>
        <w:rPr>
          <w:rFonts w:ascii="Consolas" w:cs="Consolas" w:eastAsia="Consolas" w:hAnsi="Consolas"/>
          <w:color w:val="2E2E34"/>
          <w:sz w:val="18"/>
          <w:szCs w:val="18"/>
        </w:rPr>
        <w:t xml:space="preserve">vehicleKmᵢ  = 2 × roadKmᵢ × tripsᵢ      round trips</w:t>
      </w:r>
    </w:p>
    <w:p>
      <w:pPr>
        <w:spacing w:after="40" w:line="240"/>
        <w:ind w:left="340"/>
      </w:pPr>
      <w:r>
        <w:rPr>
          <w:rFonts w:ascii="Consolas" w:cs="Consolas" w:eastAsia="Consolas" w:hAnsi="Consolas"/>
          <w:color w:val="2E2E34"/>
          <w:sz w:val="18"/>
          <w:szCs w:val="18"/>
        </w:rPr>
        <w:t xml:space="preserve">r           = φ·P_fuel + u + W/v_eff   ₹ per vehicle-km</w:t>
      </w:r>
    </w:p>
    <w:p>
      <w:pPr>
        <w:spacing w:after="150" w:line="240"/>
        <w:ind w:left="340"/>
      </w:pPr>
      <w:r>
        <w:rPr>
          <w:rFonts w:ascii="Consolas" w:cs="Consolas" w:eastAsia="Consolas" w:hAnsi="Consolas"/>
          <w:b/>
          <w:bCs/>
          <w:color w:val="141418"/>
          <w:sz w:val="18"/>
          <w:szCs w:val="18"/>
        </w:rPr>
        <w:t xml:space="preserve">costᵢ       = d(pᵢ, w) × [ 2 · tripsᵢ · ρ · r ]</w:t>
      </w:r>
    </w:p>
    <w:p>
      <w:pPr>
        <w:spacing w:after="130" w:before="0" w:line="268"/>
      </w:pPr>
      <w:r>
        <w:rPr>
          <w:rFonts w:ascii="Calibri" w:cs="Calibri" w:eastAsia="Calibri" w:hAnsi="Calibri"/>
          <w:color w:val="2E2E34"/>
          <w:sz w:val="20"/>
          <w:szCs w:val="20"/>
        </w:rPr>
        <w:t xml:space="preserve">The bracketed term is </w:t>
      </w:r>
      <w:r>
        <w:rPr>
          <w:rFonts w:ascii="Calibri" w:cs="Calibri" w:eastAsia="Calibri" w:hAnsi="Calibri"/>
          <w:b/>
          <w:bCs/>
          <w:color w:val="141418"/>
          <w:sz w:val="20"/>
          <w:szCs w:val="20"/>
        </w:rPr>
        <w:t xml:space="preserve">constant in w</w:t>
      </w:r>
      <w:r>
        <w:rPr>
          <w:rFonts w:ascii="Calibri" w:cs="Calibri" w:eastAsia="Calibri" w:hAnsi="Calibri"/>
          <w:color w:val="2E2E34"/>
          <w:sz w:val="20"/>
          <w:szCs w:val="20"/>
        </w:rPr>
        <w:t xml:space="preserve">. So minimising rupees is still exactly weighted k-medians — the whole vehicle, fuel, traffic and wage model collapses into the weights. Five fleets and four congestion profiles cost the optimiser nothing.</w:t>
      </w:r>
    </w:p>
    <w:p>
      <w:pPr>
        <w:spacing w:after="130" w:before="0" w:line="268"/>
      </w:pPr>
      <w:r>
        <w:rPr>
          <w:rFonts w:ascii="Calibri" w:cs="Calibri" w:eastAsia="Calibri" w:hAnsi="Calibri"/>
          <w:b/>
          <w:bCs/>
          <w:color w:val="141418"/>
          <w:sz w:val="20"/>
          <w:szCs w:val="20"/>
        </w:rPr>
        <w:t xml:space="preserve">Stated openly: </w:t>
      </w:r>
      <w:r>
        <w:rPr>
          <w:rFonts w:ascii="Calibri" w:cs="Calibri" w:eastAsia="Calibri" w:hAnsi="Calibri"/>
          <w:color w:val="2E2E34"/>
          <w:sz w:val="20"/>
          <w:szCs w:val="20"/>
        </w:rPr>
        <w:t xml:space="preserve">we price the trunk leg plus facilities. Distribution inside a neighborhood is excluded because it is near-invariant to depot position and cannot move the optimum.</w:t>
      </w:r>
    </w:p>
    <w:p>
      <w:pPr>
        <w:pStyle w:val="Heading2"/>
        <w:spacing w:after="90" w:before="260"/>
      </w:pPr>
      <w:r>
        <w:rPr>
          <w:rFonts w:ascii="Calibri" w:cs="Calibri" w:eastAsia="Calibri" w:hAnsi="Calibri"/>
          <w:b/>
          <w:bCs/>
          <w:color w:val="141418"/>
          <w:sz w:val="21"/>
          <w:szCs w:val="21"/>
        </w:rPr>
        <w:t xml:space="preserve">2.3  What is proven, and what is not</w:t>
      </w:r>
    </w:p>
    <w:p>
      <w:pPr>
        <w:spacing w:after="130" w:before="0" w:line="268"/>
      </w:pPr>
      <w:r>
        <w:rPr>
          <w:rFonts w:ascii="Calibri" w:cs="Calibri" w:eastAsia="Calibri" w:hAnsi="Calibri"/>
          <w:b/>
          <w:bCs/>
          <w:color w:val="141418"/>
          <w:sz w:val="20"/>
          <w:szCs w:val="20"/>
        </w:rPr>
        <w:t xml:space="preserve">K = 1 — proven globally optimal. </w:t>
      </w:r>
      <w:r>
        <w:rPr>
          <w:rFonts w:ascii="Calibri" w:cs="Calibri" w:eastAsia="Calibri" w:hAnsi="Calibri"/>
          <w:color w:val="2E2E34"/>
          <w:sz w:val="20"/>
          <w:szCs w:val="20"/>
        </w:rPr>
        <w:t xml:space="preserve">Each ‖x − pᵢ‖ is a norm, hence convex; a non-negative weighted sum of convex functions is convex; so any local minimum is the global one. Weiszfeld’s iteration</w:t>
      </w:r>
    </w:p>
    <w:p>
      <w:pPr>
        <w:spacing w:after="150" w:before="150"/>
        <w:jc w:val="center"/>
      </w:pPr>
      <w:r>
        <w:rPr>
          <w:rFonts w:ascii="Consolas" w:cs="Consolas" w:eastAsia="Consolas" w:hAnsi="Consolas"/>
          <w:color w:val="141418"/>
          <w:sz w:val="20"/>
          <w:szCs w:val="20"/>
        </w:rPr>
        <w:t xml:space="preserve">x⁽ᵐ⁺¹⁾ = Σᵢ (wᵢpᵢ / ‖x⁽ᵐ⁾−pᵢ‖) / Σᵢ (wᵢ / ‖x⁽ᵐ⁾−pᵢ‖)</w:t>
      </w:r>
    </w:p>
    <w:p>
      <w:pPr>
        <w:spacing w:after="130" w:before="0" w:line="268"/>
      </w:pPr>
      <w:r>
        <w:rPr>
          <w:rFonts w:ascii="Calibri" w:cs="Calibri" w:eastAsia="Calibri" w:hAnsi="Calibri"/>
          <w:color w:val="2E2E34"/>
          <w:sz w:val="20"/>
          <w:szCs w:val="20"/>
        </w:rPr>
        <w:t xml:space="preserve">is a descent method on that objective, so its fixed point is the global minimum. Sludge is not reporting the best location it found — it is reporting the best that exists.</w:t>
      </w:r>
    </w:p>
    <w:p>
      <w:pPr>
        <w:spacing w:after="130" w:before="0" w:line="268"/>
      </w:pPr>
      <w:r>
        <w:rPr>
          <w:rFonts w:ascii="Calibri" w:cs="Calibri" w:eastAsia="Calibri" w:hAnsi="Calibri"/>
          <w:b/>
          <w:bCs/>
          <w:i/>
          <w:iCs/>
          <w:color w:val="141418"/>
          <w:sz w:val="20"/>
          <w:szCs w:val="20"/>
        </w:rPr>
        <w:t xml:space="preserve">Caveat. </w:t>
      </w:r>
      <w:r>
        <w:rPr>
          <w:rFonts w:ascii="Calibri" w:cs="Calibri" w:eastAsia="Calibri" w:hAnsi="Calibri"/>
          <w:i/>
          <w:iCs/>
          <w:color w:val="2E2E34"/>
          <w:sz w:val="20"/>
          <w:szCs w:val="20"/>
        </w:rPr>
        <w:t xml:space="preserve">The iteration is undefined if an iterate lands exactly on a demand point. We floor the denominator away from zero; a production version should use the Vardi–Zhang modification.</w:t>
      </w:r>
    </w:p>
    <w:p>
      <w:pPr>
        <w:spacing w:after="40"/>
      </w:pPr>
    </w:p>
    <w:p>
      <w:pPr>
        <w:spacing w:after="130" w:before="0" w:line="268"/>
      </w:pPr>
      <w:r>
        <w:rPr>
          <w:rFonts w:ascii="Calibri" w:cs="Calibri" w:eastAsia="Calibri" w:hAnsi="Calibri"/>
          <w:b/>
          <w:bCs/>
          <w:color w:val="141418"/>
          <w:sz w:val="20"/>
          <w:szCs w:val="20"/>
        </w:rPr>
        <w:t xml:space="preserve">K &gt; 1 — NP-hard, so we certify instead. </w:t>
      </w:r>
      <w:r>
        <w:rPr>
          <w:rFonts w:ascii="Calibri" w:cs="Calibri" w:eastAsia="Calibri" w:hAnsi="Calibri"/>
          <w:color w:val="2E2E34"/>
          <w:sz w:val="20"/>
          <w:szCs w:val="20"/>
        </w:rPr>
        <w:t xml:space="preserve">Two things are proven rather than one thing overclaimed:</w:t>
      </w:r>
    </w:p>
    <w:p>
      <w:pPr>
        <w:pStyle w:val="ListParagraph"/>
        <w:numPr>
          <w:ilvl w:val="0"/>
          <w:numId w:val="3"/>
        </w:numPr>
        <w:spacing w:after="60" w:line="264"/>
      </w:pPr>
      <w:r>
        <w:rPr>
          <w:rFonts w:ascii="Calibri" w:cs="Calibri" w:eastAsia="Calibri" w:hAnsi="Calibri"/>
          <w:b/>
          <w:bCs/>
          <w:color w:val="141418"/>
          <w:sz w:val="20"/>
          <w:szCs w:val="20"/>
        </w:rPr>
        <w:t xml:space="preserve">Never worse than exhaustive search. </w:t>
      </w:r>
      <w:r>
        <w:rPr>
          <w:rFonts w:ascii="Calibri" w:cs="Calibri" w:eastAsia="Calibri" w:hAnsi="Calibri"/>
          <w:color w:val="2E2E34"/>
          <w:sz w:val="20"/>
          <w:szCs w:val="20"/>
        </w:rPr>
        <w:t xml:space="preserve">All C(n,K) ways of siting K depots on the demand points are enumerated exactly — 495 subsets at n=12, K=4 — and warm-start the solver. Lloyd’s decreases monotonically, so the result cannot be worse. That is a guarantee.</w:t>
      </w:r>
    </w:p>
    <w:p>
      <w:pPr>
        <w:pStyle w:val="ListParagraph"/>
        <w:numPr>
          <w:ilvl w:val="0"/>
          <w:numId w:val="3"/>
        </w:numPr>
        <w:spacing w:after="60" w:line="264"/>
      </w:pPr>
      <w:r>
        <w:rPr>
          <w:rFonts w:ascii="Calibri" w:cs="Calibri" w:eastAsia="Calibri" w:hAnsi="Calibri"/>
          <w:b/>
          <w:bCs/>
          <w:color w:val="141418"/>
          <w:sz w:val="20"/>
          <w:szCs w:val="20"/>
        </w:rPr>
        <w:t xml:space="preserve">Certified locally optimal. </w:t>
      </w:r>
      <w:r>
        <w:rPr>
          <w:rFonts w:ascii="Calibri" w:cs="Calibri" w:eastAsia="Calibri" w:hAnsi="Calibri"/>
          <w:color w:val="2E2E34"/>
          <w:sz w:val="20"/>
          <w:szCs w:val="20"/>
        </w:rPr>
        <w:t xml:space="preserve">Each warehouse is perturbed across a 21×21 lattice within 2 km — 1,764 probes at K=4 — and none improves the objective. Certified to ~100 m, finer than a lease.</w:t>
      </w:r>
    </w:p>
    <w:p>
      <w:pPr>
        <w:pStyle w:val="Heading2"/>
        <w:spacing w:after="90" w:before="260"/>
      </w:pPr>
      <w:r>
        <w:rPr>
          <w:rFonts w:ascii="Calibri" w:cs="Calibri" w:eastAsia="Calibri" w:hAnsi="Calibri"/>
          <w:b/>
          <w:bCs/>
          <w:color w:val="141418"/>
          <w:sz w:val="21"/>
          <w:szCs w:val="21"/>
        </w:rPr>
        <w:t xml:space="preserve">2.4  How many warehouses</w:t>
      </w:r>
    </w:p>
    <w:p>
      <w:pPr>
        <w:spacing w:after="130" w:before="0" w:line="268"/>
      </w:pPr>
      <w:r>
        <w:rPr>
          <w:rFonts w:ascii="Calibri" w:cs="Calibri" w:eastAsia="Calibri" w:hAnsi="Calibri"/>
          <w:color w:val="2E2E34"/>
          <w:sz w:val="20"/>
          <w:szCs w:val="20"/>
        </w:rPr>
        <w:t xml:space="preserve">Delivery cost falls with K; rent rises linearly. The sum has a genuine interior minimum.</w:t>
      </w:r>
    </w:p>
    <w:tbl>
      <w:tblPr>
        <w:tblW w:type="dxa" w:w="9360"/>
        <w:tblBorders>
          <w:top w:val="single" w:color="141418" w:sz="6"/>
          <w:left w:val="none"/>
          <w:bottom w:val="single" w:color="141418" w:sz="6"/>
          <w:right w:val="none"/>
          <w:insideH w:val="single" w:color="EBE9E2" w:sz="2"/>
          <w:insideV w:val="none"/>
        </w:tblBorders>
      </w:tblPr>
      <w:tblGrid>
        <w:gridCol w:w="1000"/>
        <w:gridCol w:w="2100"/>
        <w:gridCol w:w="2100"/>
        <w:gridCol w:w="2100"/>
        <w:gridCol w:w="2060"/>
      </w:tblGrid>
      <w:tr>
        <w:trPr>
          <w:cantSplit/>
          <w:tblHeader/>
        </w:trPr>
        <w:tc>
          <w:tcPr>
            <w:tcW w:type="dxa" w:w="1000"/>
            <w:tcMar>
              <w:top w:type="dxa" w:w="80"/>
              <w:left w:type="dxa" w:w="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K</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DELIVERY</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FACILITIES</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TOTAL/DAY</w:t>
            </w:r>
          </w:p>
        </w:tc>
        <w:tc>
          <w:tcPr>
            <w:tcW w:type="dxa" w:w="206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VS ONE DEPOT</w:t>
            </w:r>
          </w:p>
        </w:tc>
      </w:tr>
      <w:tr>
        <w:trPr>
          <w:cantSplit/>
        </w:trPr>
        <w:tc>
          <w:tcPr>
            <w:tcW w:type="dxa" w:w="1000"/>
            <w:tcMar>
              <w:top w:type="dxa" w:w="80"/>
              <w:left w:type="dxa" w:w="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1</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₹25,370</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₹2,500</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₹27,870</w:t>
            </w:r>
          </w:p>
        </w:tc>
        <w:tc>
          <w:tcPr>
            <w:tcW w:type="dxa" w:w="206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w:t>
            </w:r>
          </w:p>
        </w:tc>
      </w:tr>
      <w:tr>
        <w:trPr>
          <w:cantSplit/>
        </w:trPr>
        <w:tc>
          <w:tcPr>
            <w:tcW w:type="dxa" w:w="1000"/>
            <w:tcMar>
              <w:top w:type="dxa" w:w="80"/>
              <w:left w:type="dxa" w:w="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2</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₹18,448</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₹5,000</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₹23,448</w:t>
            </w:r>
          </w:p>
        </w:tc>
        <w:tc>
          <w:tcPr>
            <w:tcW w:type="dxa" w:w="206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15.9%</w:t>
            </w:r>
          </w:p>
        </w:tc>
      </w:tr>
      <w:tr>
        <w:trPr>
          <w:cantSplit/>
        </w:trPr>
        <w:tc>
          <w:tcPr>
            <w:tcW w:type="dxa" w:w="1000"/>
            <w:tcMar>
              <w:top w:type="dxa" w:w="80"/>
              <w:left w:type="dxa" w:w="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3</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₹13,021</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₹7,500</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₹20,521</w:t>
            </w:r>
          </w:p>
        </w:tc>
        <w:tc>
          <w:tcPr>
            <w:tcW w:type="dxa" w:w="206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26.4%</w:t>
            </w:r>
          </w:p>
        </w:tc>
      </w:tr>
      <w:tr>
        <w:trPr>
          <w:cantSplit/>
        </w:trPr>
        <w:tc>
          <w:tcPr>
            <w:tcW w:type="dxa" w:w="1000"/>
            <w:tcMar>
              <w:top w:type="dxa" w:w="80"/>
              <w:left w:type="dxa" w:w="0"/>
              <w:bottom w:type="dxa" w:w="80"/>
              <w:right w:type="dxa" w:w="120"/>
            </w:tcMar>
          </w:tcPr>
          <w:p>
            <w:pPr>
              <w:keepNext/>
              <w:spacing w:after="0" w:line="248"/>
              <w:jc w:val="right"/>
            </w:pPr>
            <w:r>
              <w:rPr>
                <w:rFonts w:ascii="Calibri" w:cs="Calibri" w:eastAsia="Calibri" w:hAnsi="Calibri"/>
                <w:b/>
                <w:bCs/>
                <w:color w:val="17508F"/>
                <w:sz w:val="18"/>
                <w:szCs w:val="18"/>
              </w:rPr>
              <w:t xml:space="preserve">4</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bCs/>
                <w:color w:val="17508F"/>
                <w:sz w:val="18"/>
                <w:szCs w:val="18"/>
              </w:rPr>
              <w:t xml:space="preserve">₹8,824</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bCs/>
                <w:color w:val="17508F"/>
                <w:sz w:val="18"/>
                <w:szCs w:val="18"/>
              </w:rPr>
              <w:t xml:space="preserve">₹10,000</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bCs/>
                <w:color w:val="17508F"/>
                <w:sz w:val="18"/>
                <w:szCs w:val="18"/>
              </w:rPr>
              <w:t xml:space="preserve">₹18,824</w:t>
            </w:r>
          </w:p>
        </w:tc>
        <w:tc>
          <w:tcPr>
            <w:tcW w:type="dxa" w:w="2060"/>
            <w:tcMar>
              <w:top w:type="dxa" w:w="80"/>
              <w:left w:type="dxa" w:w="120"/>
              <w:bottom w:type="dxa" w:w="80"/>
              <w:right w:type="dxa" w:w="120"/>
            </w:tcMar>
          </w:tcPr>
          <w:p>
            <w:pPr>
              <w:keepNext/>
              <w:spacing w:after="0" w:line="248"/>
              <w:jc w:val="right"/>
            </w:pPr>
            <w:r>
              <w:rPr>
                <w:rFonts w:ascii="Calibri" w:cs="Calibri" w:eastAsia="Calibri" w:hAnsi="Calibri"/>
                <w:b/>
                <w:bCs/>
                <w:color w:val="17508F"/>
                <w:sz w:val="18"/>
                <w:szCs w:val="18"/>
              </w:rPr>
              <w:t xml:space="preserve">32.5%</w:t>
            </w:r>
          </w:p>
        </w:tc>
      </w:tr>
      <w:tr>
        <w:trPr>
          <w:cantSplit/>
        </w:trPr>
        <w:tc>
          <w:tcPr>
            <w:tcW w:type="dxa" w:w="1000"/>
            <w:tcMar>
              <w:top w:type="dxa" w:w="80"/>
              <w:left w:type="dxa" w:w="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5</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₹6,625</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₹12,500</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₹19,125</w:t>
            </w:r>
          </w:p>
        </w:tc>
        <w:tc>
          <w:tcPr>
            <w:tcW w:type="dxa" w:w="206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31.4%</w:t>
            </w:r>
          </w:p>
        </w:tc>
      </w:tr>
      <w:tr>
        <w:trPr>
          <w:cantSplit/>
        </w:trPr>
        <w:tc>
          <w:tcPr>
            <w:tcW w:type="dxa" w:w="1000"/>
            <w:tcMar>
              <w:top w:type="dxa" w:w="80"/>
              <w:left w:type="dxa" w:w="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6</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₹5,174</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₹15,000</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₹20,174</w:t>
            </w:r>
          </w:p>
        </w:tc>
        <w:tc>
          <w:tcPr>
            <w:tcW w:type="dxa" w:w="206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27.6%</w:t>
            </w:r>
          </w:p>
        </w:tc>
      </w:tr>
      <w:tr>
        <w:trPr>
          <w:cantSplit/>
        </w:trPr>
        <w:tc>
          <w:tcPr>
            <w:tcW w:type="dxa" w:w="1000"/>
            <w:tcMar>
              <w:top w:type="dxa" w:w="80"/>
              <w:left w:type="dxa" w:w="0"/>
              <w:bottom w:type="dxa" w:w="80"/>
              <w:right w:type="dxa" w:w="120"/>
            </w:tcMar>
          </w:tcPr>
          <w:p>
            <w:pPr>
              <w:keepNext w:val="false"/>
              <w:spacing w:after="0" w:line="248"/>
              <w:jc w:val="right"/>
            </w:pPr>
            <w:r>
              <w:rPr>
                <w:rFonts w:ascii="Calibri" w:cs="Calibri" w:eastAsia="Calibri" w:hAnsi="Calibri"/>
                <w:b w:val="false"/>
                <w:bCs w:val="false"/>
                <w:color w:val="2E2E34"/>
                <w:sz w:val="18"/>
                <w:szCs w:val="18"/>
              </w:rPr>
              <w:t xml:space="preserve">8</w:t>
            </w:r>
          </w:p>
        </w:tc>
        <w:tc>
          <w:tcPr>
            <w:tcW w:type="dxa" w:w="2100"/>
            <w:tcMar>
              <w:top w:type="dxa" w:w="80"/>
              <w:left w:type="dxa" w:w="120"/>
              <w:bottom w:type="dxa" w:w="80"/>
              <w:right w:type="dxa" w:w="120"/>
            </w:tcMar>
          </w:tcPr>
          <w:p>
            <w:pPr>
              <w:keepNext w:val="false"/>
              <w:spacing w:after="0" w:line="248"/>
              <w:jc w:val="right"/>
            </w:pPr>
            <w:r>
              <w:rPr>
                <w:rFonts w:ascii="Calibri" w:cs="Calibri" w:eastAsia="Calibri" w:hAnsi="Calibri"/>
                <w:b w:val="false"/>
                <w:bCs w:val="false"/>
                <w:color w:val="2E2E34"/>
                <w:sz w:val="18"/>
                <w:szCs w:val="18"/>
              </w:rPr>
              <w:t xml:space="preserve">₹2,704</w:t>
            </w:r>
          </w:p>
        </w:tc>
        <w:tc>
          <w:tcPr>
            <w:tcW w:type="dxa" w:w="2100"/>
            <w:tcMar>
              <w:top w:type="dxa" w:w="80"/>
              <w:left w:type="dxa" w:w="120"/>
              <w:bottom w:type="dxa" w:w="80"/>
              <w:right w:type="dxa" w:w="120"/>
            </w:tcMar>
          </w:tcPr>
          <w:p>
            <w:pPr>
              <w:keepNext w:val="false"/>
              <w:spacing w:after="0" w:line="248"/>
              <w:jc w:val="right"/>
            </w:pPr>
            <w:r>
              <w:rPr>
                <w:rFonts w:ascii="Calibri" w:cs="Calibri" w:eastAsia="Calibri" w:hAnsi="Calibri"/>
                <w:b w:val="false"/>
                <w:bCs w:val="false"/>
                <w:color w:val="2E2E34"/>
                <w:sz w:val="18"/>
                <w:szCs w:val="18"/>
              </w:rPr>
              <w:t xml:space="preserve">₹20,000</w:t>
            </w:r>
          </w:p>
        </w:tc>
        <w:tc>
          <w:tcPr>
            <w:tcW w:type="dxa" w:w="2100"/>
            <w:tcMar>
              <w:top w:type="dxa" w:w="80"/>
              <w:left w:type="dxa" w:w="120"/>
              <w:bottom w:type="dxa" w:w="80"/>
              <w:right w:type="dxa" w:w="120"/>
            </w:tcMar>
          </w:tcPr>
          <w:p>
            <w:pPr>
              <w:keepNext w:val="false"/>
              <w:spacing w:after="0" w:line="248"/>
              <w:jc w:val="right"/>
            </w:pPr>
            <w:r>
              <w:rPr>
                <w:rFonts w:ascii="Calibri" w:cs="Calibri" w:eastAsia="Calibri" w:hAnsi="Calibri"/>
                <w:b w:val="false"/>
                <w:bCs w:val="false"/>
                <w:color w:val="2E2E34"/>
                <w:sz w:val="18"/>
                <w:szCs w:val="18"/>
              </w:rPr>
              <w:t xml:space="preserve">₹22,704</w:t>
            </w:r>
          </w:p>
        </w:tc>
        <w:tc>
          <w:tcPr>
            <w:tcW w:type="dxa" w:w="2060"/>
            <w:tcMar>
              <w:top w:type="dxa" w:w="80"/>
              <w:left w:type="dxa" w:w="120"/>
              <w:bottom w:type="dxa" w:w="80"/>
              <w:right w:type="dxa" w:w="120"/>
            </w:tcMar>
          </w:tcPr>
          <w:p>
            <w:pPr>
              <w:keepNext w:val="false"/>
              <w:spacing w:after="0" w:line="248"/>
              <w:jc w:val="right"/>
            </w:pPr>
            <w:r>
              <w:rPr>
                <w:rFonts w:ascii="Calibri" w:cs="Calibri" w:eastAsia="Calibri" w:hAnsi="Calibri"/>
                <w:b w:val="false"/>
                <w:bCs w:val="false"/>
                <w:color w:val="2E2E34"/>
                <w:sz w:val="18"/>
                <w:szCs w:val="18"/>
              </w:rPr>
              <w:t xml:space="preserve">18.5%</w:t>
            </w:r>
          </w:p>
        </w:tc>
      </w:tr>
    </w:tbl>
    <w:p>
      <w:pPr>
        <w:spacing w:after="130"/>
      </w:pPr>
    </w:p>
    <w:p>
      <w:pPr>
        <w:spacing w:after="130" w:before="0" w:line="268"/>
      </w:pPr>
      <w:r>
        <w:rPr>
          <w:rFonts w:ascii="Calibri" w:cs="Calibri" w:eastAsia="Calibri" w:hAnsi="Calibri"/>
          <w:color w:val="2E2E34"/>
          <w:sz w:val="20"/>
          <w:szCs w:val="20"/>
        </w:rPr>
        <w:t xml:space="preserve">A true interior minimum — K=5 is ₹301/day </w:t>
      </w:r>
      <w:r>
        <w:rPr>
          <w:rFonts w:ascii="Calibri" w:cs="Calibri" w:eastAsia="Calibri" w:hAnsi="Calibri"/>
          <w:i/>
          <w:iCs/>
          <w:color w:val="2E2E34"/>
          <w:sz w:val="20"/>
          <w:szCs w:val="20"/>
        </w:rPr>
        <w:t xml:space="preserve">worse</w:t>
      </w:r>
      <w:r>
        <w:rPr>
          <w:rFonts w:ascii="Calibri" w:cs="Calibri" w:eastAsia="Calibri" w:hAnsi="Calibri"/>
          <w:color w:val="2E2E34"/>
          <w:sz w:val="20"/>
          <w:szCs w:val="20"/>
        </w:rPr>
        <w:t xml:space="preserve">, not better. The curve turns. At K=4: ₹33.0 lakh saved a year, 37 t CO₂ avoided.</w:t>
      </w:r>
    </w:p>
    <w:p>
      <w:pPr>
        <w:pStyle w:val="Heading2"/>
        <w:spacing w:after="90" w:before="260"/>
      </w:pPr>
      <w:r>
        <w:rPr>
          <w:rFonts w:ascii="Calibri" w:cs="Calibri" w:eastAsia="Calibri" w:hAnsi="Calibri"/>
          <w:b/>
          <w:bCs/>
          <w:color w:val="141418"/>
          <w:sz w:val="21"/>
          <w:szCs w:val="21"/>
        </w:rPr>
        <w:t xml:space="preserve">2.5  Robustness and cross-validation</w:t>
      </w:r>
    </w:p>
    <w:p>
      <w:pPr>
        <w:spacing w:after="130" w:before="0" w:line="268"/>
      </w:pPr>
      <w:r>
        <w:rPr>
          <w:rFonts w:ascii="Calibri" w:cs="Calibri" w:eastAsia="Calibri" w:hAnsi="Calibri"/>
          <w:color w:val="2E2E34"/>
          <w:sz w:val="20"/>
          <w:szCs w:val="20"/>
        </w:rPr>
        <w:t xml:space="preserve">Demand resampled 16 times at ±30%, comparing keeping today’s siting against re-optimising with perfect hindsight. Mean regret 0.64%, worst case 2.77%. Since relocating a warehouse costs far more than 0.64% of daily operating cost, the correct decision is to build and not re-site.</w:t>
      </w:r>
    </w:p>
    <w:p>
      <w:pPr>
        <w:spacing w:after="130" w:before="0" w:line="268"/>
      </w:pPr>
      <w:r>
        <w:rPr>
          <w:rFonts w:ascii="Calibri" w:cs="Calibri" w:eastAsia="Calibri" w:hAnsi="Calibri"/>
          <w:color w:val="2E2E34"/>
          <w:sz w:val="20"/>
          <w:szCs w:val="20"/>
        </w:rPr>
        <w:t xml:space="preserve">The model was implemented twice independently — Python on a tangent plane, TypeScript on the sphere, different seeding, different arithmetic:</w:t>
      </w:r>
    </w:p>
    <w:tbl>
      <w:tblPr>
        <w:tblW w:type="dxa" w:w="9360"/>
        <w:tblBorders>
          <w:top w:val="single" w:color="141418" w:sz="6"/>
          <w:left w:val="none"/>
          <w:bottom w:val="single" w:color="141418" w:sz="6"/>
          <w:right w:val="none"/>
          <w:insideH w:val="single" w:color="EBE9E2" w:sz="2"/>
          <w:insideV w:val="none"/>
        </w:tblBorders>
      </w:tblPr>
      <w:tblGrid>
        <w:gridCol w:w="1000"/>
        <w:gridCol w:w="2700"/>
        <w:gridCol w:w="2700"/>
        <w:gridCol w:w="1500"/>
        <w:gridCol w:w="1460"/>
      </w:tblGrid>
      <w:tr>
        <w:trPr>
          <w:cantSplit/>
          <w:tblHeader/>
        </w:trPr>
        <w:tc>
          <w:tcPr>
            <w:tcW w:type="dxa" w:w="1000"/>
            <w:tcMar>
              <w:top w:type="dxa" w:w="80"/>
              <w:left w:type="dxa" w:w="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K</w:t>
            </w:r>
          </w:p>
        </w:tc>
        <w:tc>
          <w:tcPr>
            <w:tcW w:type="dxa" w:w="270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PYTHON (ORDER-KM)</w:t>
            </w:r>
          </w:p>
        </w:tc>
        <w:tc>
          <w:tcPr>
            <w:tcW w:type="dxa" w:w="270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TYPESCRIPT</w:t>
            </w:r>
          </w:p>
        </w:tc>
        <w:tc>
          <w:tcPr>
            <w:tcW w:type="dxa" w:w="150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GAP</w:t>
            </w:r>
          </w:p>
        </w:tc>
        <w:tc>
          <w:tcPr>
            <w:tcW w:type="dxa" w:w="146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WORST SITE</w:t>
            </w:r>
          </w:p>
        </w:tc>
      </w:tr>
      <w:tr>
        <w:trPr>
          <w:cantSplit/>
        </w:trPr>
        <w:tc>
          <w:tcPr>
            <w:tcW w:type="dxa" w:w="1000"/>
            <w:tcMar>
              <w:top w:type="dxa" w:w="80"/>
              <w:left w:type="dxa" w:w="0"/>
              <w:bottom w:type="dxa" w:w="80"/>
              <w:right w:type="dxa" w:w="120"/>
            </w:tcMar>
          </w:tcPr>
          <w:p>
            <w:pPr>
              <w:keepNext/>
              <w:spacing w:after="0" w:line="248"/>
              <w:jc w:val="right"/>
            </w:pPr>
            <w:r>
              <w:rPr>
                <w:rFonts w:ascii="Calibri" w:cs="Calibri" w:eastAsia="Calibri" w:hAnsi="Calibri"/>
                <w:color w:val="2E2E34"/>
                <w:sz w:val="18"/>
                <w:szCs w:val="18"/>
              </w:rPr>
              <w:t xml:space="preserve">1</w:t>
            </w:r>
          </w:p>
        </w:tc>
        <w:tc>
          <w:tcPr>
            <w:tcW w:type="dxa" w:w="270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55,490.66</w:t>
            </w:r>
          </w:p>
        </w:tc>
        <w:tc>
          <w:tcPr>
            <w:tcW w:type="dxa" w:w="270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55,490.74</w:t>
            </w:r>
          </w:p>
        </w:tc>
        <w:tc>
          <w:tcPr>
            <w:tcW w:type="dxa" w:w="150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+0.000%</w:t>
            </w:r>
          </w:p>
        </w:tc>
        <w:tc>
          <w:tcPr>
            <w:tcW w:type="dxa" w:w="14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0.000 km</w:t>
            </w:r>
          </w:p>
        </w:tc>
      </w:tr>
      <w:tr>
        <w:trPr>
          <w:cantSplit/>
        </w:trPr>
        <w:tc>
          <w:tcPr>
            <w:tcW w:type="dxa" w:w="1000"/>
            <w:tcMar>
              <w:top w:type="dxa" w:w="80"/>
              <w:left w:type="dxa" w:w="0"/>
              <w:bottom w:type="dxa" w:w="80"/>
              <w:right w:type="dxa" w:w="120"/>
            </w:tcMar>
          </w:tcPr>
          <w:p>
            <w:pPr>
              <w:keepNext/>
              <w:spacing w:after="0" w:line="248"/>
              <w:jc w:val="right"/>
            </w:pPr>
            <w:r>
              <w:rPr>
                <w:rFonts w:ascii="Calibri" w:cs="Calibri" w:eastAsia="Calibri" w:hAnsi="Calibri"/>
                <w:color w:val="2E2E34"/>
                <w:sz w:val="18"/>
                <w:szCs w:val="18"/>
              </w:rPr>
              <w:t xml:space="preserve">3</w:t>
            </w:r>
          </w:p>
        </w:tc>
        <w:tc>
          <w:tcPr>
            <w:tcW w:type="dxa" w:w="270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30,378.14</w:t>
            </w:r>
          </w:p>
        </w:tc>
        <w:tc>
          <w:tcPr>
            <w:tcW w:type="dxa" w:w="270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30,378.17</w:t>
            </w:r>
          </w:p>
        </w:tc>
        <w:tc>
          <w:tcPr>
            <w:tcW w:type="dxa" w:w="150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+0.000%</w:t>
            </w:r>
          </w:p>
        </w:tc>
        <w:tc>
          <w:tcPr>
            <w:tcW w:type="dxa" w:w="14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0.002 km</w:t>
            </w:r>
          </w:p>
        </w:tc>
      </w:tr>
      <w:tr>
        <w:trPr>
          <w:cantSplit/>
        </w:trPr>
        <w:tc>
          <w:tcPr>
            <w:tcW w:type="dxa" w:w="1000"/>
            <w:tcMar>
              <w:top w:type="dxa" w:w="80"/>
              <w:left w:type="dxa" w:w="0"/>
              <w:bottom w:type="dxa" w:w="80"/>
              <w:right w:type="dxa" w:w="120"/>
            </w:tcMar>
          </w:tcPr>
          <w:p>
            <w:pPr>
              <w:keepNext w:val="false"/>
              <w:spacing w:after="0" w:line="248"/>
              <w:jc w:val="right"/>
            </w:pPr>
            <w:r>
              <w:rPr>
                <w:rFonts w:ascii="Calibri" w:cs="Calibri" w:eastAsia="Calibri" w:hAnsi="Calibri"/>
                <w:color w:val="2E2E34"/>
                <w:sz w:val="18"/>
                <w:szCs w:val="18"/>
              </w:rPr>
              <w:t xml:space="preserve">5</w:t>
            </w:r>
          </w:p>
        </w:tc>
        <w:tc>
          <w:tcPr>
            <w:tcW w:type="dxa" w:w="2700"/>
            <w:tcMar>
              <w:top w:type="dxa" w:w="80"/>
              <w:left w:type="dxa" w:w="120"/>
              <w:bottom w:type="dxa" w:w="80"/>
              <w:right w:type="dxa" w:w="120"/>
            </w:tcMar>
          </w:tcPr>
          <w:p>
            <w:pPr>
              <w:keepNext w:val="false"/>
              <w:spacing w:after="0" w:line="248"/>
              <w:jc w:val="right"/>
            </w:pPr>
            <w:r>
              <w:rPr>
                <w:rFonts w:ascii="Calibri" w:cs="Calibri" w:eastAsia="Calibri" w:hAnsi="Calibri"/>
                <w:color w:val="2E2E34"/>
                <w:sz w:val="18"/>
                <w:szCs w:val="18"/>
              </w:rPr>
              <w:t xml:space="preserve">17,904.77</w:t>
            </w:r>
          </w:p>
        </w:tc>
        <w:tc>
          <w:tcPr>
            <w:tcW w:type="dxa" w:w="2700"/>
            <w:tcMar>
              <w:top w:type="dxa" w:w="80"/>
              <w:left w:type="dxa" w:w="120"/>
              <w:bottom w:type="dxa" w:w="80"/>
              <w:right w:type="dxa" w:w="120"/>
            </w:tcMar>
          </w:tcPr>
          <w:p>
            <w:pPr>
              <w:keepNext w:val="false"/>
              <w:spacing w:after="0" w:line="248"/>
              <w:jc w:val="right"/>
            </w:pPr>
            <w:r>
              <w:rPr>
                <w:rFonts w:ascii="Calibri" w:cs="Calibri" w:eastAsia="Calibri" w:hAnsi="Calibri"/>
                <w:color w:val="2E2E34"/>
                <w:sz w:val="18"/>
                <w:szCs w:val="18"/>
              </w:rPr>
              <w:t xml:space="preserve">17,904.80</w:t>
            </w:r>
          </w:p>
        </w:tc>
        <w:tc>
          <w:tcPr>
            <w:tcW w:type="dxa" w:w="1500"/>
            <w:tcMar>
              <w:top w:type="dxa" w:w="80"/>
              <w:left w:type="dxa" w:w="120"/>
              <w:bottom w:type="dxa" w:w="80"/>
              <w:right w:type="dxa" w:w="120"/>
            </w:tcMar>
          </w:tcPr>
          <w:p>
            <w:pPr>
              <w:keepNext w:val="false"/>
              <w:spacing w:after="0" w:line="248"/>
              <w:jc w:val="right"/>
            </w:pPr>
            <w:r>
              <w:rPr>
                <w:rFonts w:ascii="Calibri" w:cs="Calibri" w:eastAsia="Calibri" w:hAnsi="Calibri"/>
                <w:color w:val="2E2E34"/>
                <w:sz w:val="18"/>
                <w:szCs w:val="18"/>
              </w:rPr>
              <w:t xml:space="preserve">+0.000%</w:t>
            </w:r>
          </w:p>
        </w:tc>
        <w:tc>
          <w:tcPr>
            <w:tcW w:type="dxa" w:w="1460"/>
            <w:tcMar>
              <w:top w:type="dxa" w:w="80"/>
              <w:left w:type="dxa" w:w="120"/>
              <w:bottom w:type="dxa" w:w="80"/>
              <w:right w:type="dxa" w:w="120"/>
            </w:tcMar>
          </w:tcPr>
          <w:p>
            <w:pPr>
              <w:keepNext w:val="false"/>
              <w:spacing w:after="0" w:line="248"/>
              <w:jc w:val="right"/>
            </w:pPr>
            <w:r>
              <w:rPr>
                <w:rFonts w:ascii="Calibri" w:cs="Calibri" w:eastAsia="Calibri" w:hAnsi="Calibri"/>
                <w:color w:val="2E2E34"/>
                <w:sz w:val="18"/>
                <w:szCs w:val="18"/>
              </w:rPr>
              <w:t xml:space="preserve">0.000 km</w:t>
            </w:r>
          </w:p>
        </w:tc>
      </w:tr>
    </w:tbl>
    <w:p>
      <w:pPr>
        <w:spacing w:after="130"/>
      </w:pPr>
    </w:p>
    <w:tbl>
      <w:tblPr>
        <w:tblW w:type="dxa" w:w="9360"/>
        <w:tblBorders>
          <w:top w:val="none"/>
          <w:left w:val="none"/>
          <w:bottom w:val="none"/>
          <w:right w:val="none"/>
          <w:insideH w:val="none"/>
          <w:insideV w:val="none"/>
        </w:tblBorders>
      </w:tblPr>
      <w:tblGrid>
        <w:gridCol w:w="9360"/>
      </w:tblGrid>
      <w:tr>
        <w:tc>
          <w:tcPr>
            <w:tcW w:type="dxa" w:w="9360"/>
            <w:tcBorders>
              <w:top w:val="none"/>
              <w:left w:val="single" w:color="17508F" w:sz="16"/>
              <w:bottom w:val="none"/>
              <w:right w:val="none"/>
            </w:tcBorders>
            <w:shd w:fill="F5F4EF" w:val="clear"/>
            <w:tcMar>
              <w:top w:type="dxa" w:w="130"/>
              <w:left w:type="dxa" w:w="190"/>
              <w:bottom w:type="dxa" w:w="130"/>
              <w:right w:type="dxa" w:w="190"/>
            </w:tcMar>
          </w:tcPr>
          <w:p>
            <w:pPr>
              <w:spacing w:after="0" w:line="258"/>
            </w:pPr>
            <w:r>
              <w:rPr>
                <w:rFonts w:ascii="Calibri" w:cs="Calibri" w:eastAsia="Calibri" w:hAnsi="Calibri"/>
                <w:b/>
                <w:bCs/>
                <w:color w:val="141418"/>
                <w:sz w:val="19"/>
                <w:szCs w:val="19"/>
              </w:rPr>
              <w:t xml:space="preserve">Agreement to 0.0001% on cost and ~2 m on position.  </w:t>
            </w:r>
            <w:r>
              <w:rPr>
                <w:rFonts w:ascii="Calibri" w:cs="Calibri" w:eastAsia="Calibri" w:hAnsi="Calibri"/>
                <w:color w:val="2E2E34"/>
                <w:sz w:val="19"/>
                <w:szCs w:val="19"/>
              </w:rPr>
              <w:t xml:space="preserve">Reproducible with npm run crossval. Two independent implementations converging is the strongest evidence that the result is a property of the mathematics, not of one codebase.</w:t>
            </w:r>
          </w:p>
        </w:tc>
      </w:tr>
    </w:tbl>
    <w:p>
      <w:pPr>
        <w:pStyle w:val="Heading1"/>
        <w:pBdr>
          <w:bottom w:val="single" w:color="141418" w:sz="6" w:space="8"/>
        </w:pBdr>
        <w:spacing w:after="150" w:before="380"/>
      </w:pPr>
      <w:r>
        <w:rPr>
          <w:rFonts w:ascii="Calibri" w:cs="Calibri" w:eastAsia="Calibri" w:hAnsi="Calibri"/>
          <w:b/>
          <w:bCs/>
          <w:color w:val="17508F"/>
          <w:sz w:val="26"/>
          <w:szCs w:val="26"/>
        </w:rPr>
        <w:t xml:space="preserve">3  </w:t>
      </w:r>
      <w:r>
        <w:rPr>
          <w:rFonts w:ascii="Calibri" w:cs="Calibri" w:eastAsia="Calibri" w:hAnsi="Calibri"/>
          <w:b/>
          <w:bCs/>
          <w:color w:val="141418"/>
          <w:sz w:val="26"/>
          <w:szCs w:val="26"/>
        </w:rPr>
        <w:t xml:space="preserve">How it compares</w:t>
      </w:r>
    </w:p>
    <w:p>
      <w:pPr>
        <w:spacing w:after="130" w:before="0" w:line="268"/>
      </w:pPr>
      <w:r>
        <w:rPr>
          <w:rFonts w:ascii="Calibri" w:cs="Calibri" w:eastAsia="Calibri" w:hAnsi="Calibri"/>
          <w:color w:val="2E2E34"/>
          <w:sz w:val="20"/>
          <w:szCs w:val="20"/>
        </w:rPr>
        <w:t xml:space="preserve">Not against enterprise network-design suites, which do far more — against what a team would realistically reach for.</w:t>
      </w:r>
    </w:p>
    <w:tbl>
      <w:tblPr>
        <w:tblW w:type="dxa" w:w="9360"/>
        <w:tblBorders>
          <w:top w:val="single" w:color="141418" w:sz="6"/>
          <w:left w:val="none"/>
          <w:bottom w:val="single" w:color="141418" w:sz="6"/>
          <w:right w:val="none"/>
          <w:insideH w:val="single" w:color="EBE9E2" w:sz="2"/>
          <w:insideV w:val="none"/>
        </w:tblBorders>
      </w:tblPr>
      <w:tblGrid>
        <w:gridCol w:w="2400"/>
        <w:gridCol w:w="3400"/>
        <w:gridCol w:w="3560"/>
      </w:tblGrid>
      <w:tr>
        <w:trPr>
          <w:cantSplit/>
          <w:tblHeader/>
        </w:trPr>
        <w:tc>
          <w:tcPr>
            <w:tcW w:type="dxa" w:w="24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APPROACH</w:t>
            </w:r>
          </w:p>
        </w:tc>
        <w:tc>
          <w:tcPr>
            <w:tcW w:type="dxa" w:w="340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WHAT IT GETS WRONG</w:t>
            </w:r>
          </w:p>
        </w:tc>
        <w:tc>
          <w:tcPr>
            <w:tcW w:type="dxa" w:w="356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SLUDGE</w:t>
            </w:r>
          </w:p>
        </w:tc>
      </w:tr>
      <w:tr>
        <w:trPr>
          <w:cantSplit/>
        </w:trPr>
        <w:tc>
          <w:tcPr>
            <w:tcW w:type="dxa" w:w="24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Intuition / existing sites</w:t>
            </w:r>
          </w:p>
        </w:tc>
        <w:tc>
          <w:tcPr>
            <w:tcW w:type="dxa" w:w="340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Anchored on property already leased.</w:t>
            </w:r>
          </w:p>
        </w:tc>
        <w:tc>
          <w:tcPr>
            <w:tcW w:type="dxa" w:w="35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Searches the continuous plane.</w:t>
            </w:r>
          </w:p>
        </w:tc>
      </w:tr>
      <w:tr>
        <w:trPr>
          <w:cantSplit/>
        </w:trPr>
        <w:tc>
          <w:tcPr>
            <w:tcW w:type="dxa" w:w="24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k-means clustering</w:t>
            </w:r>
          </w:p>
        </w:tc>
        <w:tc>
          <w:tcPr>
            <w:tcW w:type="dxa" w:w="340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Squared distance — 1.2–6.0% dearer at equal K.</w:t>
            </w:r>
          </w:p>
        </w:tc>
        <w:tc>
          <w:tcPr>
            <w:tcW w:type="dxa" w:w="35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Minimises the actual linear cost.</w:t>
            </w:r>
          </w:p>
        </w:tc>
      </w:tr>
      <w:tr>
        <w:trPr>
          <w:cantSplit/>
        </w:trPr>
        <w:tc>
          <w:tcPr>
            <w:tcW w:type="dxa" w:w="24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Centre-of-gravity sheet</w:t>
            </w:r>
          </w:p>
        </w:tc>
        <w:tc>
          <w:tcPr>
            <w:tcW w:type="dxa" w:w="340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Weighted centroid — k-means renamed.</w:t>
            </w:r>
          </w:p>
        </w:tc>
        <w:tc>
          <w:tcPr>
            <w:tcW w:type="dxa" w:w="35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Cost model, constraints, optimum in K.</w:t>
            </w:r>
          </w:p>
        </w:tc>
      </w:tr>
      <w:tr>
        <w:trPr>
          <w:cantSplit/>
        </w:trPr>
        <w:tc>
          <w:tcPr>
            <w:tcW w:type="dxa" w:w="24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Generic solver</w:t>
            </w:r>
          </w:p>
        </w:tc>
        <w:tc>
          <w:tcPr>
            <w:tcW w:type="dxa" w:w="340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A number, with no account of confidence.</w:t>
            </w:r>
          </w:p>
        </w:tc>
        <w:tc>
          <w:tcPr>
            <w:tcW w:type="dxa" w:w="35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Proven at K=1, certified above.</w:t>
            </w:r>
          </w:p>
        </w:tc>
      </w:tr>
      <w:tr>
        <w:trPr>
          <w:cantSplit/>
        </w:trPr>
        <w:tc>
          <w:tcPr>
            <w:tcW w:type="dxa" w:w="24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Enterprise network design</w:t>
            </w:r>
          </w:p>
        </w:tc>
        <w:tc>
          <w:tcPr>
            <w:tcW w:type="dxa" w:w="340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Powerful, but days to model a question.</w:t>
            </w:r>
          </w:p>
        </w:tc>
        <w:tc>
          <w:tcPr>
            <w:tcW w:type="dxa" w:w="356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An answer in under a second.</w:t>
            </w:r>
          </w:p>
        </w:tc>
      </w:tr>
    </w:tbl>
    <w:p>
      <w:pPr>
        <w:pStyle w:val="Heading2"/>
        <w:spacing w:after="90" w:before="260"/>
      </w:pPr>
      <w:r>
        <w:rPr>
          <w:rFonts w:ascii="Calibri" w:cs="Calibri" w:eastAsia="Calibri" w:hAnsi="Calibri"/>
          <w:b/>
          <w:bCs/>
          <w:color w:val="141418"/>
          <w:sz w:val="21"/>
          <w:szCs w:val="21"/>
        </w:rPr>
        <w:t xml:space="preserve">Why the mathematics holds up</w:t>
      </w:r>
    </w:p>
    <w:p>
      <w:pPr>
        <w:pStyle w:val="ListParagraph"/>
        <w:numPr>
          <w:ilvl w:val="0"/>
          <w:numId w:val="3"/>
        </w:numPr>
        <w:spacing w:after="60" w:line="264"/>
      </w:pPr>
      <w:r>
        <w:rPr>
          <w:rFonts w:ascii="Calibri" w:cs="Calibri" w:eastAsia="Calibri" w:hAnsi="Calibri"/>
          <w:b/>
          <w:bCs/>
          <w:color w:val="141418"/>
          <w:sz w:val="20"/>
          <w:szCs w:val="20"/>
        </w:rPr>
        <w:t xml:space="preserve">The objective matches the cost. </w:t>
      </w:r>
      <w:r>
        <w:rPr>
          <w:rFonts w:ascii="Calibri" w:cs="Calibri" w:eastAsia="Calibri" w:hAnsi="Calibri"/>
          <w:color w:val="2E2E34"/>
          <w:sz w:val="20"/>
          <w:szCs w:val="20"/>
        </w:rPr>
        <w:t xml:space="preserve">Linear because fuel and driver-hours are linear — and we quantify what choosing otherwise costs.</w:t>
      </w:r>
    </w:p>
    <w:p>
      <w:pPr>
        <w:pStyle w:val="ListParagraph"/>
        <w:numPr>
          <w:ilvl w:val="0"/>
          <w:numId w:val="3"/>
        </w:numPr>
        <w:spacing w:after="60" w:line="264"/>
      </w:pPr>
      <w:r>
        <w:rPr>
          <w:rFonts w:ascii="Calibri" w:cs="Calibri" w:eastAsia="Calibri" w:hAnsi="Calibri"/>
          <w:b/>
          <w:bCs/>
          <w:color w:val="141418"/>
          <w:sz w:val="20"/>
          <w:szCs w:val="20"/>
        </w:rPr>
        <w:t xml:space="preserve">Proven where provable, certified where not. </w:t>
      </w:r>
      <w:r>
        <w:rPr>
          <w:rFonts w:ascii="Calibri" w:cs="Calibri" w:eastAsia="Calibri" w:hAnsi="Calibri"/>
          <w:color w:val="2E2E34"/>
          <w:sz w:val="20"/>
          <w:szCs w:val="20"/>
        </w:rPr>
        <w:t xml:space="preserve">K=1 by convexity; K&gt;1 is NP-hard, so we certify — and say which applies in the interface.</w:t>
      </w:r>
    </w:p>
    <w:p>
      <w:pPr>
        <w:pStyle w:val="ListParagraph"/>
        <w:numPr>
          <w:ilvl w:val="0"/>
          <w:numId w:val="3"/>
        </w:numPr>
        <w:spacing w:after="60" w:line="264"/>
      </w:pPr>
      <w:r>
        <w:rPr>
          <w:rFonts w:ascii="Calibri" w:cs="Calibri" w:eastAsia="Calibri" w:hAnsi="Calibri"/>
          <w:b/>
          <w:bCs/>
          <w:color w:val="141418"/>
          <w:sz w:val="20"/>
          <w:szCs w:val="20"/>
        </w:rPr>
        <w:t xml:space="preserve">An exhaustive benchmark. </w:t>
      </w:r>
      <w:r>
        <w:rPr>
          <w:rFonts w:ascii="Calibri" w:cs="Calibri" w:eastAsia="Calibri" w:hAnsi="Calibri"/>
          <w:color w:val="2E2E34"/>
          <w:sz w:val="20"/>
          <w:szCs w:val="20"/>
        </w:rPr>
        <w:t xml:space="preserve">All C(n,K) discrete sitings enumerated as a floor the answer cannot fall below.</w:t>
      </w:r>
    </w:p>
    <w:p>
      <w:pPr>
        <w:pStyle w:val="ListParagraph"/>
        <w:numPr>
          <w:ilvl w:val="0"/>
          <w:numId w:val="3"/>
        </w:numPr>
        <w:spacing w:after="60" w:line="264"/>
      </w:pPr>
      <w:r>
        <w:rPr>
          <w:rFonts w:ascii="Calibri" w:cs="Calibri" w:eastAsia="Calibri" w:hAnsi="Calibri"/>
          <w:b/>
          <w:bCs/>
          <w:color w:val="141418"/>
          <w:sz w:val="20"/>
          <w:szCs w:val="20"/>
        </w:rPr>
        <w:t xml:space="preserve">K is derived, not assumed. </w:t>
      </w:r>
      <w:r>
        <w:rPr>
          <w:rFonts w:ascii="Calibri" w:cs="Calibri" w:eastAsia="Calibri" w:hAnsi="Calibri"/>
          <w:color w:val="2E2E34"/>
          <w:sz w:val="20"/>
          <w:szCs w:val="20"/>
        </w:rPr>
        <w:t xml:space="preserve">The infrastructure–delivery trade-off produces a genuine interior minimum.</w:t>
      </w:r>
    </w:p>
    <w:p>
      <w:pPr>
        <w:pStyle w:val="ListParagraph"/>
        <w:numPr>
          <w:ilvl w:val="0"/>
          <w:numId w:val="3"/>
        </w:numPr>
        <w:spacing w:after="60" w:line="264"/>
      </w:pPr>
      <w:r>
        <w:rPr>
          <w:rFonts w:ascii="Calibri" w:cs="Calibri" w:eastAsia="Calibri" w:hAnsi="Calibri"/>
          <w:b/>
          <w:bCs/>
          <w:color w:val="141418"/>
          <w:sz w:val="20"/>
          <w:szCs w:val="20"/>
        </w:rPr>
        <w:t xml:space="preserve">Robustness measured, not claimed. </w:t>
      </w:r>
      <w:r>
        <w:rPr>
          <w:rFonts w:ascii="Calibri" w:cs="Calibri" w:eastAsia="Calibri" w:hAnsi="Calibri"/>
          <w:color w:val="2E2E34"/>
          <w:sz w:val="20"/>
          <w:szCs w:val="20"/>
        </w:rPr>
        <w:t xml:space="preserve">0.64% mean regret under ±30% demand movement.</w:t>
      </w:r>
    </w:p>
    <w:p>
      <w:pPr>
        <w:pStyle w:val="ListParagraph"/>
        <w:numPr>
          <w:ilvl w:val="0"/>
          <w:numId w:val="3"/>
        </w:numPr>
        <w:spacing w:after="60" w:line="264"/>
      </w:pPr>
      <w:r>
        <w:rPr>
          <w:rFonts w:ascii="Calibri" w:cs="Calibri" w:eastAsia="Calibri" w:hAnsi="Calibri"/>
          <w:b/>
          <w:bCs/>
          <w:color w:val="141418"/>
          <w:sz w:val="20"/>
          <w:szCs w:val="20"/>
        </w:rPr>
        <w:t xml:space="preserve">Independently cross-validated. </w:t>
      </w:r>
      <w:r>
        <w:rPr>
          <w:rFonts w:ascii="Calibri" w:cs="Calibri" w:eastAsia="Calibri" w:hAnsi="Calibri"/>
          <w:color w:val="2E2E34"/>
          <w:sz w:val="20"/>
          <w:szCs w:val="20"/>
        </w:rPr>
        <w:t xml:space="preserve">Two languages, two geometries, agreeing to 0.0001%.</w:t>
      </w:r>
    </w:p>
    <w:p>
      <w:pPr>
        <w:pStyle w:val="Heading1"/>
        <w:pBdr>
          <w:bottom w:val="single" w:color="141418" w:sz="6" w:space="8"/>
        </w:pBdr>
        <w:spacing w:after="150" w:before="380"/>
      </w:pPr>
      <w:r>
        <w:rPr>
          <w:rFonts w:ascii="Calibri" w:cs="Calibri" w:eastAsia="Calibri" w:hAnsi="Calibri"/>
          <w:b/>
          <w:bCs/>
          <w:color w:val="17508F"/>
          <w:sz w:val="26"/>
          <w:szCs w:val="26"/>
        </w:rPr>
        <w:t xml:space="preserve">4  </w:t>
      </w:r>
      <w:r>
        <w:rPr>
          <w:rFonts w:ascii="Calibri" w:cs="Calibri" w:eastAsia="Calibri" w:hAnsi="Calibri"/>
          <w:b/>
          <w:bCs/>
          <w:color w:val="141418"/>
          <w:sz w:val="26"/>
          <w:szCs w:val="26"/>
        </w:rPr>
        <w:t xml:space="preserve">Limitations and technical summary</w:t>
      </w:r>
    </w:p>
    <w:p>
      <w:pPr>
        <w:spacing w:after="130" w:before="0" w:line="268"/>
      </w:pPr>
      <w:r>
        <w:rPr>
          <w:rFonts w:ascii="Calibri" w:cs="Calibri" w:eastAsia="Calibri" w:hAnsi="Calibri"/>
          <w:color w:val="2E2E34"/>
          <w:sz w:val="20"/>
          <w:szCs w:val="20"/>
        </w:rPr>
        <w:t xml:space="preserve">Stated because a model whose limits are not stated should not be trusted.</w:t>
      </w:r>
    </w:p>
    <w:p>
      <w:pPr>
        <w:pStyle w:val="ListParagraph"/>
        <w:numPr>
          <w:ilvl w:val="0"/>
          <w:numId w:val="3"/>
        </w:numPr>
        <w:spacing w:after="60" w:line="264"/>
      </w:pPr>
      <w:r>
        <w:rPr>
          <w:rFonts w:ascii="Calibri" w:cs="Calibri" w:eastAsia="Calibri" w:hAnsi="Calibri"/>
          <w:b/>
          <w:bCs/>
          <w:color w:val="141418"/>
          <w:sz w:val="20"/>
          <w:szCs w:val="20"/>
        </w:rPr>
        <w:t xml:space="preserve">Great-circle × 1.32 </w:t>
      </w:r>
      <w:r>
        <w:rPr>
          <w:rFonts w:ascii="Calibri" w:cs="Calibri" w:eastAsia="Calibri" w:hAnsi="Calibri"/>
          <w:color w:val="2E2E34"/>
          <w:sz w:val="20"/>
          <w:szCs w:val="20"/>
        </w:rPr>
        <w:t xml:space="preserve">stands in for road distance — a routing API would add a live dependency we refused.</w:t>
      </w:r>
    </w:p>
    <w:p>
      <w:pPr>
        <w:pStyle w:val="ListParagraph"/>
        <w:numPr>
          <w:ilvl w:val="0"/>
          <w:numId w:val="3"/>
        </w:numPr>
        <w:spacing w:after="60" w:line="264"/>
      </w:pPr>
      <w:r>
        <w:rPr>
          <w:rFonts w:ascii="Calibri" w:cs="Calibri" w:eastAsia="Calibri" w:hAnsi="Calibri"/>
          <w:b/>
          <w:bCs/>
          <w:color w:val="141418"/>
          <w:sz w:val="20"/>
          <w:szCs w:val="20"/>
        </w:rPr>
        <w:t xml:space="preserve">Independent radial trips. </w:t>
      </w:r>
      <w:r>
        <w:rPr>
          <w:rFonts w:ascii="Calibri" w:cs="Calibri" w:eastAsia="Calibri" w:hAnsi="Calibri"/>
          <w:color w:val="2E2E34"/>
          <w:sz w:val="20"/>
          <w:szCs w:val="20"/>
        </w:rPr>
        <w:t xml:space="preserve">Multi-drop routing would lower absolute cost but affects all sitings alike, so the argmin largely holds.</w:t>
      </w:r>
    </w:p>
    <w:p>
      <w:pPr>
        <w:pStyle w:val="ListParagraph"/>
        <w:numPr>
          <w:ilvl w:val="0"/>
          <w:numId w:val="3"/>
        </w:numPr>
        <w:spacing w:after="60" w:line="264"/>
      </w:pPr>
      <w:r>
        <w:rPr>
          <w:rFonts w:ascii="Calibri" w:cs="Calibri" w:eastAsia="Calibri" w:hAnsi="Calibri"/>
          <w:b/>
          <w:bCs/>
          <w:color w:val="141418"/>
          <w:sz w:val="20"/>
          <w:szCs w:val="20"/>
        </w:rPr>
        <w:t xml:space="preserve">Uniform facility cost. </w:t>
      </w:r>
      <w:r>
        <w:rPr>
          <w:rFonts w:ascii="Calibri" w:cs="Calibri" w:eastAsia="Calibri" w:hAnsi="Calibri"/>
          <w:color w:val="2E2E34"/>
          <w:sz w:val="20"/>
          <w:szCs w:val="20"/>
        </w:rPr>
        <w:t xml:space="preserve">Real rents vary by location. This is the most valuable extension.</w:t>
      </w:r>
    </w:p>
    <w:p>
      <w:pPr>
        <w:pStyle w:val="ListParagraph"/>
        <w:numPr>
          <w:ilvl w:val="0"/>
          <w:numId w:val="3"/>
        </w:numPr>
        <w:spacing w:after="60" w:line="264"/>
      </w:pPr>
      <w:r>
        <w:rPr>
          <w:rFonts w:ascii="Calibri" w:cs="Calibri" w:eastAsia="Calibri" w:hAnsi="Calibri"/>
          <w:b/>
          <w:bCs/>
          <w:color w:val="141418"/>
          <w:sz w:val="20"/>
          <w:szCs w:val="20"/>
        </w:rPr>
        <w:t xml:space="preserve">K &gt; 1 is certified, not proven. </w:t>
      </w:r>
      <w:r>
        <w:rPr>
          <w:rFonts w:ascii="Calibri" w:cs="Calibri" w:eastAsia="Calibri" w:hAnsi="Calibri"/>
          <w:color w:val="2E2E34"/>
          <w:sz w:val="20"/>
          <w:szCs w:val="20"/>
        </w:rPr>
        <w:t xml:space="preserve">Repeated because it is the claim most likely to be over-read.</w:t>
      </w:r>
    </w:p>
    <w:p>
      <w:pPr>
        <w:pStyle w:val="ListParagraph"/>
        <w:numPr>
          <w:ilvl w:val="0"/>
          <w:numId w:val="3"/>
        </w:numPr>
        <w:spacing w:after="60" w:line="264"/>
      </w:pPr>
      <w:r>
        <w:rPr>
          <w:rFonts w:ascii="Calibri" w:cs="Calibri" w:eastAsia="Calibri" w:hAnsi="Calibri"/>
          <w:b/>
          <w:bCs/>
          <w:color w:val="141418"/>
          <w:sz w:val="20"/>
          <w:szCs w:val="20"/>
        </w:rPr>
        <w:t xml:space="preserve">Static demand within a run. </w:t>
      </w:r>
      <w:r>
        <w:rPr>
          <w:rFonts w:ascii="Calibri" w:cs="Calibri" w:eastAsia="Calibri" w:hAnsi="Calibri"/>
          <w:color w:val="2E2E34"/>
          <w:sz w:val="20"/>
          <w:szCs w:val="20"/>
        </w:rPr>
        <w:t xml:space="preserve">Scenarios model shifts between runs, not intra-day variation.</w:t>
      </w:r>
    </w:p>
    <w:p>
      <w:pPr>
        <w:pStyle w:val="ListParagraph"/>
        <w:numPr>
          <w:ilvl w:val="0"/>
          <w:numId w:val="3"/>
        </w:numPr>
        <w:spacing w:after="60" w:line="264"/>
      </w:pPr>
      <w:r>
        <w:rPr>
          <w:rFonts w:ascii="Calibri" w:cs="Calibri" w:eastAsia="Calibri" w:hAnsi="Calibri"/>
          <w:b/>
          <w:bCs/>
          <w:color w:val="141418"/>
          <w:sz w:val="20"/>
          <w:szCs w:val="20"/>
        </w:rPr>
        <w:t xml:space="preserve">Sample volumes are illustrative. </w:t>
      </w:r>
      <w:r>
        <w:rPr>
          <w:rFonts w:ascii="Calibri" w:cs="Calibri" w:eastAsia="Calibri" w:hAnsi="Calibri"/>
          <w:color w:val="2E2E34"/>
          <w:sz w:val="20"/>
          <w:szCs w:val="20"/>
        </w:rPr>
        <w:t xml:space="preserve">Coordinates are real, validated locality centroids; order counts are invented and labelled so.</w:t>
      </w:r>
    </w:p>
    <w:p>
      <w:pPr>
        <w:spacing w:after="140"/>
      </w:pPr>
    </w:p>
    <w:tbl>
      <w:tblPr>
        <w:tblW w:type="dxa" w:w="9360"/>
        <w:tblBorders>
          <w:top w:val="single" w:color="141418" w:sz="6"/>
          <w:left w:val="none"/>
          <w:bottom w:val="single" w:color="141418" w:sz="6"/>
          <w:right w:val="none"/>
          <w:insideH w:val="single" w:color="EBE9E2" w:sz="2"/>
          <w:insideV w:val="none"/>
        </w:tblBorders>
      </w:tblPr>
      <w:tblGrid>
        <w:gridCol w:w="2200"/>
        <w:gridCol w:w="7160"/>
      </w:tblGrid>
      <w:tr>
        <w:trPr>
          <w:cantSplit/>
          <w:tblHeader/>
        </w:trPr>
        <w:tc>
          <w:tcPr>
            <w:tcW w:type="dxa" w:w="22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ITEM</w:t>
            </w:r>
          </w:p>
        </w:tc>
        <w:tc>
          <w:tcPr>
            <w:tcW w:type="dxa" w:w="716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DETAIL</w:t>
            </w:r>
          </w:p>
        </w:tc>
      </w:tr>
      <w:tr>
        <w:trPr>
          <w:cantSplit/>
        </w:trPr>
        <w:tc>
          <w:tcPr>
            <w:tcW w:type="dxa" w:w="22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Algorithm</w:t>
            </w:r>
          </w:p>
        </w:tc>
        <w:tc>
          <w:tcPr>
            <w:tcW w:type="dxa" w:w="71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Weighted k-medians; Lloyd’s with a geometric-median (Weiszfeld) update, k-means++ seeding, warm-started from the exact discrete p-median</w:t>
            </w:r>
          </w:p>
        </w:tc>
      </w:tr>
      <w:tr>
        <w:trPr>
          <w:cantSplit/>
        </w:trPr>
        <w:tc>
          <w:tcPr>
            <w:tcW w:type="dxa" w:w="22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Distance</w:t>
            </w:r>
          </w:p>
        </w:tc>
        <w:tc>
          <w:tcPr>
            <w:tcW w:type="dxa" w:w="71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Haversine × 1.32 road detour factor</w:t>
            </w:r>
          </w:p>
        </w:tc>
      </w:tr>
      <w:tr>
        <w:trPr>
          <w:cantSplit/>
        </w:trPr>
        <w:tc>
          <w:tcPr>
            <w:tcW w:type="dxa" w:w="22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Cost model</w:t>
            </w:r>
          </w:p>
        </w:tc>
        <w:tc>
          <w:tcPr>
            <w:tcW w:type="dxa" w:w="71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Fuel + upkeep + driver time on the trunk leg, plus flat facility cost per day</w:t>
            </w:r>
          </w:p>
        </w:tc>
      </w:tr>
      <w:tr>
        <w:trPr>
          <w:cantSplit/>
        </w:trPr>
        <w:tc>
          <w:tcPr>
            <w:tcW w:type="dxa" w:w="22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AI component</w:t>
            </w:r>
          </w:p>
        </w:tc>
        <w:tc>
          <w:tcPr>
            <w:tcW w:type="dxa" w:w="71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Xenova/all-MiniLM-L6-v2 via Transformers.js on WebAssembly, in-browser</w:t>
            </w:r>
          </w:p>
        </w:tc>
      </w:tr>
      <w:tr>
        <w:trPr>
          <w:cantSplit/>
        </w:trPr>
        <w:tc>
          <w:tcPr>
            <w:tcW w:type="dxa" w:w="22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Stack</w:t>
            </w:r>
          </w:p>
        </w:tc>
        <w:tc>
          <w:tcPr>
            <w:tcW w:type="dxa" w:w="71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Next.js 15, React 19, TypeScript, MapLibre GL JS; Python 3 reference</w:t>
            </w:r>
          </w:p>
        </w:tc>
      </w:tr>
      <w:tr>
        <w:trPr>
          <w:cantSplit/>
        </w:trPr>
        <w:tc>
          <w:tcPr>
            <w:tcW w:type="dxa" w:w="22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Architecture</w:t>
            </w:r>
          </w:p>
        </w:tc>
        <w:tc>
          <w:tcPr>
            <w:tcW w:type="dxa" w:w="71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Entirely client-side — no backend, no database, no API keys</w:t>
            </w:r>
          </w:p>
        </w:tc>
      </w:tr>
      <w:tr>
        <w:trPr>
          <w:cantSplit/>
        </w:trPr>
        <w:tc>
          <w:tcPr>
            <w:tcW w:type="dxa" w:w="22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Tests</w:t>
            </w:r>
          </w:p>
        </w:tc>
        <w:tc>
          <w:tcPr>
            <w:tcW w:type="dxa" w:w="71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70 passing across geometry, cost model and all eight bonus features</w:t>
            </w:r>
          </w:p>
        </w:tc>
      </w:tr>
      <w:tr>
        <w:trPr>
          <w:cantSplit/>
        </w:trPr>
        <w:tc>
          <w:tcPr>
            <w:tcW w:type="dxa" w:w="22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Cross-validation</w:t>
            </w:r>
          </w:p>
        </w:tc>
        <w:tc>
          <w:tcPr>
            <w:tcW w:type="dxa" w:w="716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Python vs TypeScript to 0.0001% on cost, ~2 m on position</w:t>
            </w:r>
          </w:p>
        </w:tc>
      </w:tr>
    </w:tbl>
    <w:sectPr>
      <w:headerReference w:type="default" r:id="rId7"/>
      <w:footerReference w:type="default" r:id="rId8"/>
      <w:pgSz w:w="11906" w:h="16838"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right"/>
    </w:pPr>
    <w:r>
      <w:rPr>
        <w:rFonts w:ascii="Calibri" w:cs="Calibri" w:eastAsia="Calibri" w:hAnsi="Calibri"/>
        <w:color w:val="9A9AA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color w:val="9A9AA2"/>
        <w:spacing w:val="40"/>
        <w:sz w:val="14"/>
        <w:szCs w:val="14"/>
      </w:rPr>
      <w:t xml:space="preserve">GRIDPOINT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rPr>
        <w:b/>
        <w:bCs/>
        <w:color w:val="17508F"/>
      </w:rPr>
    </w:lvl>
  </w:abstractNum>
  <w:abstractNum w:abstractNumId="3" w15:restartNumberingAfterBreak="0">
    <w:multiLevelType w:val="hybridMultilevel"/>
    <w:lvl w:ilvl="0" w15:tentative="1">
      <w:start w:val="1"/>
      <w:numFmt w:val="decimal"/>
      <w:lvlText w:val="%1"/>
      <w:lvlJc w:val="left"/>
      <w:pPr>
        <w:ind w:left="420" w:hanging="280"/>
      </w:pPr>
      <w:rPr>
        <w:b/>
        <w:bCs/>
        <w:color w:val="17508F"/>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E2E34"/>
        <w:sz w:val="20"/>
        <w:szCs w:val="20"/>
      </w:rPr>
    </w:rPrDefault>
    <w:pPrDefault>
      <w:pPr>
        <w:spacing w:line="26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Sludge — User Manual</dc:title>
  <dc:creator>Sludge</dc:creator>
  <dc:description>Warehouse location optimisation for Indian last-mile delivery</dc:description>
  <cp:lastModifiedBy>Un-named</cp:lastModifiedBy>
  <cp:revision>1</cp:revision>
  <dcterms:created xsi:type="dcterms:W3CDTF">2026-09-20T06:31:31.360Z</dcterms:created>
  <dcterms:modified xsi:type="dcterms:W3CDTF">2026-09-20T06:31:31.360Z</dcterms:modified>
</cp:coreProperties>
</file>

<file path=docProps/custom.xml><?xml version="1.0" encoding="utf-8"?>
<Properties xmlns="http://schemas.openxmlformats.org/officeDocument/2006/custom-properties" xmlns:vt="http://schemas.openxmlformats.org/officeDocument/2006/docPropsVTypes"/>
</file>