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0"/>
        </w:rPr>
        <w:t>ONLINE RETAIL CUSTOMER SEGMENTATION</w:t>
      </w:r>
    </w:p>
    <w:p>
      <w:pPr>
        <w:jc w:val="center"/>
      </w:pPr>
      <w:r>
        <w:rPr>
          <w:b/>
        </w:rPr>
        <w:t>Capstone Project Documentation</w:t>
        <w:br/>
      </w:r>
      <w:r>
        <w:t>Retail / Clustering</w:t>
        <w:br/>
        <w:br/>
        <w:t>RFM Analysis + K-Means Clustering</w:t>
        <w:br/>
        <w:t>Dataset: online_retail_customers</w:t>
        <w:br/>
        <w:t>Observation period: 01-Dec-2010 to 09-Dec-2011</w:t>
      </w:r>
    </w:p>
    <w:p>
      <w:r>
        <w:br w:type="page"/>
      </w:r>
    </w:p>
    <w:p>
      <w:pPr>
        <w:pStyle w:val="Heading1"/>
      </w:pPr>
      <w:r>
        <w:t>1. Executive Summary</w:t>
      </w:r>
    </w:p>
    <w:p>
      <w:r>
        <w:t>This project performs customer segmentation on an online retail transaction dataset. Transaction-level data was cleaned and transformed into customer-level Recency, Frequency and Monetary (RFM) features. The RFM features were analyzed for skewness, transformed using log1p, standardized, and then used for K-Means clustering.</w:t>
      </w:r>
    </w:p>
    <w:p>
      <w:r>
        <w:t>The detailed K=3 interpretation identifies three behavioral groups: Highly Active / High Value, Regular / Moderate Value, and Inactive / Low Value. The high-value group contains only 16.92% of customers but contributes 66.73% of total monetary value in the analyzed data.</w:t>
      </w:r>
    </w:p>
    <w:p>
      <w:r>
        <w:t>Silhouette analysis gave K=2 the highest score (0.4327). K=3 was also evaluated because it provides a more granular and business-interpretable segmentation. This distinction is explicitly retained in the documentation.</w:t>
      </w:r>
    </w:p>
    <w:p>
      <w:pPr>
        <w:pStyle w:val="Heading1"/>
      </w:pPr>
      <w:r>
        <w:t>2. Problem Statement</w:t>
      </w:r>
    </w:p>
    <w:p>
      <w:r>
        <w:t>Identify meaningful customer groups from historical retail transaction behavior so that customers with similar purchasing patterns can be analyzed and addressed using differentiated business strategies.</w:t>
      </w:r>
    </w:p>
    <w:p>
      <w:pPr>
        <w:pStyle w:val="Heading1"/>
      </w:pPr>
      <w:r>
        <w:t>3. Dataset Overview</w:t>
      </w:r>
    </w:p>
    <w:p>
      <w:r>
        <w:t>The supplied database guidelines identify online_retail_customers as a dataset in the Clustering database and prescribe SQLite/Pandas for loading the selected table.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Item</w:t>
            </w:r>
          </w:p>
        </w:tc>
        <w:tc>
          <w:tcPr>
            <w:tcW w:type="dxa" w:w="504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5040"/>
          </w:tcPr>
          <w:p>
            <w:r>
              <w:t>Initial rows</w:t>
            </w:r>
          </w:p>
        </w:tc>
        <w:tc>
          <w:tcPr>
            <w:tcW w:type="dxa" w:w="5040"/>
          </w:tcPr>
          <w:p>
            <w:r>
              <w:t>541,909</w:t>
            </w:r>
          </w:p>
        </w:tc>
      </w:tr>
      <w:tr>
        <w:tc>
          <w:tcPr>
            <w:tcW w:type="dxa" w:w="5040"/>
          </w:tcPr>
          <w:p>
            <w:r>
              <w:t>Initial columns</w:t>
            </w:r>
          </w:p>
        </w:tc>
        <w:tc>
          <w:tcPr>
            <w:tcW w:type="dxa" w:w="5040"/>
          </w:tcPr>
          <w:p>
            <w:r>
              <w:t>8</w:t>
            </w:r>
          </w:p>
        </w:tc>
      </w:tr>
      <w:tr>
        <w:tc>
          <w:tcPr>
            <w:tcW w:type="dxa" w:w="5040"/>
          </w:tcPr>
          <w:p>
            <w:r>
              <w:t>Columns</w:t>
            </w:r>
          </w:p>
        </w:tc>
        <w:tc>
          <w:tcPr>
            <w:tcW w:type="dxa" w:w="5040"/>
          </w:tcPr>
          <w:p>
            <w:r>
              <w:t>InvoiceNo, StockCode, Description, InvoiceDate, Quantity, UnitPrice, CustomerID, Country</w:t>
            </w:r>
          </w:p>
        </w:tc>
      </w:tr>
      <w:tr>
        <w:tc>
          <w:tcPr>
            <w:tcW w:type="dxa" w:w="5040"/>
          </w:tcPr>
          <w:p>
            <w:r>
              <w:t>Date range</w:t>
            </w:r>
          </w:p>
        </w:tc>
        <w:tc>
          <w:tcPr>
            <w:tcW w:type="dxa" w:w="5040"/>
          </w:tcPr>
          <w:p>
            <w:r>
              <w:t>2010-12-01 08:26:00 to 2011-12-09 12:50:00</w:t>
            </w:r>
          </w:p>
        </w:tc>
      </w:tr>
      <w:tr>
        <w:tc>
          <w:tcPr>
            <w:tcW w:type="dxa" w:w="5040"/>
          </w:tcPr>
          <w:p>
            <w:r>
              <w:t>Customers after cleaning/RFM</w:t>
            </w:r>
          </w:p>
        </w:tc>
        <w:tc>
          <w:tcPr>
            <w:tcW w:type="dxa" w:w="5040"/>
          </w:tcPr>
          <w:p>
            <w:r>
              <w:t>4,339</w:t>
            </w:r>
          </w:p>
        </w:tc>
      </w:tr>
    </w:tbl>
    <w:p>
      <w:pPr>
        <w:pStyle w:val="Heading1"/>
      </w:pPr>
      <w:r>
        <w:t>4. Data Quality Analysis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Check</w:t>
            </w:r>
          </w:p>
        </w:tc>
        <w:tc>
          <w:tcPr>
            <w:tcW w:type="dxa" w:w="5040"/>
          </w:tcPr>
          <w:p>
            <w:r>
              <w:rPr>
                <w:b/>
              </w:rPr>
              <w:t>Result</w:t>
            </w:r>
          </w:p>
        </w:tc>
      </w:tr>
      <w:tr>
        <w:tc>
          <w:tcPr>
            <w:tcW w:type="dxa" w:w="5040"/>
          </w:tcPr>
          <w:p>
            <w:r>
              <w:t>Missing Description</w:t>
            </w:r>
          </w:p>
        </w:tc>
        <w:tc>
          <w:tcPr>
            <w:tcW w:type="dxa" w:w="5040"/>
          </w:tcPr>
          <w:p>
            <w:r>
              <w:t>1,454</w:t>
            </w:r>
          </w:p>
        </w:tc>
      </w:tr>
      <w:tr>
        <w:tc>
          <w:tcPr>
            <w:tcW w:type="dxa" w:w="5040"/>
          </w:tcPr>
          <w:p>
            <w:r>
              <w:t>Missing CustomerID</w:t>
            </w:r>
          </w:p>
        </w:tc>
        <w:tc>
          <w:tcPr>
            <w:tcW w:type="dxa" w:w="5040"/>
          </w:tcPr>
          <w:p>
            <w:r>
              <w:t>135,080</w:t>
            </w:r>
          </w:p>
        </w:tc>
      </w:tr>
      <w:tr>
        <w:tc>
          <w:tcPr>
            <w:tcW w:type="dxa" w:w="5040"/>
          </w:tcPr>
          <w:p>
            <w:r>
              <w:t>Duplicate rows</w:t>
            </w:r>
          </w:p>
        </w:tc>
        <w:tc>
          <w:tcPr>
            <w:tcW w:type="dxa" w:w="5040"/>
          </w:tcPr>
          <w:p>
            <w:r>
              <w:t>5,268</w:t>
            </w:r>
          </w:p>
        </w:tc>
      </w:tr>
      <w:tr>
        <w:tc>
          <w:tcPr>
            <w:tcW w:type="dxa" w:w="5040"/>
          </w:tcPr>
          <w:p>
            <w:r>
              <w:t>Negative Quantity</w:t>
            </w:r>
          </w:p>
        </w:tc>
        <w:tc>
          <w:tcPr>
            <w:tcW w:type="dxa" w:w="5040"/>
          </w:tcPr>
          <w:p>
            <w:r>
              <w:t>10,624</w:t>
            </w:r>
          </w:p>
        </w:tc>
      </w:tr>
      <w:tr>
        <w:tc>
          <w:tcPr>
            <w:tcW w:type="dxa" w:w="5040"/>
          </w:tcPr>
          <w:p>
            <w:r>
              <w:t>Zero Quantity</w:t>
            </w:r>
          </w:p>
        </w:tc>
        <w:tc>
          <w:tcPr>
            <w:tcW w:type="dxa" w:w="5040"/>
          </w:tcPr>
          <w:p>
            <w:r>
              <w:t>0</w:t>
            </w:r>
          </w:p>
        </w:tc>
      </w:tr>
      <w:tr>
        <w:tc>
          <w:tcPr>
            <w:tcW w:type="dxa" w:w="5040"/>
          </w:tcPr>
          <w:p>
            <w:r>
              <w:t>Zero UnitPrice</w:t>
            </w:r>
          </w:p>
        </w:tc>
        <w:tc>
          <w:tcPr>
            <w:tcW w:type="dxa" w:w="5040"/>
          </w:tcPr>
          <w:p>
            <w:r>
              <w:t>2,515</w:t>
            </w:r>
          </w:p>
        </w:tc>
      </w:tr>
      <w:tr>
        <w:tc>
          <w:tcPr>
            <w:tcW w:type="dxa" w:w="5040"/>
          </w:tcPr>
          <w:p>
            <w:r>
              <w:t>Negative UnitPrice</w:t>
            </w:r>
          </w:p>
        </w:tc>
        <w:tc>
          <w:tcPr>
            <w:tcW w:type="dxa" w:w="5040"/>
          </w:tcPr>
          <w:p>
            <w:r>
              <w:t>2</w:t>
            </w:r>
          </w:p>
        </w:tc>
      </w:tr>
      <w:tr>
        <w:tc>
          <w:tcPr>
            <w:tcW w:type="dxa" w:w="5040"/>
          </w:tcPr>
          <w:p>
            <w:r>
              <w:t>Cancelled invoices</w:t>
            </w:r>
          </w:p>
        </w:tc>
        <w:tc>
          <w:tcPr>
            <w:tcW w:type="dxa" w:w="5040"/>
          </w:tcPr>
          <w:p>
            <w:r>
              <w:t>9,288</w:t>
            </w:r>
          </w:p>
        </w:tc>
      </w:tr>
    </w:tbl>
    <w:p>
      <w:pPr>
        <w:pStyle w:val="Heading1"/>
      </w:pPr>
      <w:r>
        <w:t>5. Data Cleaning</w:t>
      </w:r>
    </w:p>
    <w:p>
      <w:pPr>
        <w:pStyle w:val="ListBullet"/>
      </w:pPr>
      <w:r>
        <w:t>Removed records with missing CustomerID because customer-level RFM requires a known customer.</w:t>
      </w:r>
    </w:p>
    <w:p>
      <w:pPr>
        <w:pStyle w:val="ListBullet"/>
      </w:pPr>
      <w:r>
        <w:t>Converted InvoiceDate to datetime.</w:t>
      </w:r>
    </w:p>
    <w:p>
      <w:pPr>
        <w:pStyle w:val="ListBullet"/>
      </w:pPr>
      <w:r>
        <w:t>Removed cancelled invoices where InvoiceNo begins with C.</w:t>
      </w:r>
    </w:p>
    <w:p>
      <w:pPr>
        <w:pStyle w:val="ListBullet"/>
      </w:pPr>
      <w:r>
        <w:t>Created TotalPrice = Quantity × UnitPrice.</w:t>
      </w:r>
    </w:p>
    <w:p>
      <w:pPr>
        <w:pStyle w:val="ListBullet"/>
      </w:pPr>
      <w:r>
        <w:t>Aggregated transactions by CustomerID to calculate RFM.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Stage</w:t>
            </w:r>
          </w:p>
        </w:tc>
        <w:tc>
          <w:tcPr>
            <w:tcW w:type="dxa" w:w="5040"/>
          </w:tcPr>
          <w:p>
            <w:r>
              <w:rPr>
                <w:b/>
              </w:rPr>
              <w:t>Rows</w:t>
            </w:r>
          </w:p>
        </w:tc>
      </w:tr>
      <w:tr>
        <w:tc>
          <w:tcPr>
            <w:tcW w:type="dxa" w:w="5040"/>
          </w:tcPr>
          <w:p>
            <w:r>
              <w:t>Initial</w:t>
            </w:r>
          </w:p>
        </w:tc>
        <w:tc>
          <w:tcPr>
            <w:tcW w:type="dxa" w:w="5040"/>
          </w:tcPr>
          <w:p>
            <w:r>
              <w:t>541,909</w:t>
            </w:r>
          </w:p>
        </w:tc>
      </w:tr>
      <w:tr>
        <w:tc>
          <w:tcPr>
            <w:tcW w:type="dxa" w:w="5040"/>
          </w:tcPr>
          <w:p>
            <w:r>
              <w:t>After removing missing CustomerID</w:t>
            </w:r>
          </w:p>
        </w:tc>
        <w:tc>
          <w:tcPr>
            <w:tcW w:type="dxa" w:w="5040"/>
          </w:tcPr>
          <w:p>
            <w:r>
              <w:t>406,829</w:t>
            </w:r>
          </w:p>
        </w:tc>
      </w:tr>
      <w:tr>
        <w:tc>
          <w:tcPr>
            <w:tcW w:type="dxa" w:w="5040"/>
          </w:tcPr>
          <w:p>
            <w:r>
              <w:t>After removing cancelled invoices</w:t>
            </w:r>
          </w:p>
        </w:tc>
        <w:tc>
          <w:tcPr>
            <w:tcW w:type="dxa" w:w="5040"/>
          </w:tcPr>
          <w:p>
            <w:r>
              <w:t>397,924</w:t>
            </w:r>
          </w:p>
        </w:tc>
      </w:tr>
    </w:tbl>
    <w:p>
      <w:pPr>
        <w:pStyle w:val="Heading1"/>
      </w:pPr>
      <w:r>
        <w:t>6. RFM Feature Engineering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3360"/>
          </w:tcPr>
          <w:p>
            <w:r>
              <w:rPr>
                <w:b/>
              </w:rPr>
              <w:t>Definition</w:t>
            </w:r>
          </w:p>
        </w:tc>
        <w:tc>
          <w:tcPr>
            <w:tcW w:type="dxa" w:w="3360"/>
          </w:tcPr>
          <w:p>
            <w:r>
              <w:rPr>
                <w:b/>
              </w:rPr>
              <w:t>Interpretation</w:t>
            </w:r>
          </w:p>
        </w:tc>
      </w:tr>
      <w:tr>
        <w:tc>
          <w:tcPr>
            <w:tcW w:type="dxa" w:w="3360"/>
          </w:tcPr>
          <w:p>
            <w:r>
              <w:t>Recency</w:t>
            </w:r>
          </w:p>
        </w:tc>
        <w:tc>
          <w:tcPr>
            <w:tcW w:type="dxa" w:w="3360"/>
          </w:tcPr>
          <w:p>
            <w:r>
              <w:t>Days since latest purchase</w:t>
            </w:r>
          </w:p>
        </w:tc>
        <w:tc>
          <w:tcPr>
            <w:tcW w:type="dxa" w:w="3360"/>
          </w:tcPr>
          <w:p>
            <w:r>
              <w:t>Lower = more recent</w:t>
            </w:r>
          </w:p>
        </w:tc>
      </w:tr>
      <w:tr>
        <w:tc>
          <w:tcPr>
            <w:tcW w:type="dxa" w:w="3360"/>
          </w:tcPr>
          <w:p>
            <w:r>
              <w:t>Frequency</w:t>
            </w:r>
          </w:p>
        </w:tc>
        <w:tc>
          <w:tcPr>
            <w:tcW w:type="dxa" w:w="3360"/>
          </w:tcPr>
          <w:p>
            <w:r>
              <w:t>Number of unique invoices</w:t>
            </w:r>
          </w:p>
        </w:tc>
        <w:tc>
          <w:tcPr>
            <w:tcW w:type="dxa" w:w="3360"/>
          </w:tcPr>
          <w:p>
            <w:r>
              <w:t>Higher = more frequent</w:t>
            </w:r>
          </w:p>
        </w:tc>
      </w:tr>
      <w:tr>
        <w:tc>
          <w:tcPr>
            <w:tcW w:type="dxa" w:w="3360"/>
          </w:tcPr>
          <w:p>
            <w:r>
              <w:t>Monetary</w:t>
            </w:r>
          </w:p>
        </w:tc>
        <w:tc>
          <w:tcPr>
            <w:tcW w:type="dxa" w:w="3360"/>
          </w:tcPr>
          <w:p>
            <w:r>
              <w:t>Sum of TotalPrice</w:t>
            </w:r>
          </w:p>
        </w:tc>
        <w:tc>
          <w:tcPr>
            <w:tcW w:type="dxa" w:w="3360"/>
          </w:tcPr>
          <w:p>
            <w:r>
              <w:t>Higher = greater monetary contribution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1440"/>
          </w:tcPr>
          <w:p>
            <w:r>
              <w:rPr>
                <w:b/>
              </w:rPr>
              <w:t>Min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Q1</w:t>
            </w:r>
          </w:p>
        </w:tc>
        <w:tc>
          <w:tcPr>
            <w:tcW w:type="dxa" w:w="1440"/>
          </w:tcPr>
          <w:p>
            <w:r>
              <w:rPr>
                <w:b/>
              </w:rPr>
              <w:t>Median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Q3</w:t>
            </w:r>
          </w:p>
        </w:tc>
        <w:tc>
          <w:tcPr>
            <w:tcW w:type="dxa" w:w="1440"/>
          </w:tcPr>
          <w:p>
            <w:r>
              <w:rPr>
                <w:b/>
              </w:rPr>
              <w:t>Max</w:t>
            </w:r>
          </w:p>
        </w:tc>
        <w:tc>
          <w:tcPr>
            <w:tcW w:type="dxa" w:w="1440"/>
          </w:tcPr>
          <w:p>
            <w:r>
              <w:rPr>
                <w:b/>
              </w:rPr>
              <w:t>Mean</w:t>
            </w:r>
          </w:p>
        </w:tc>
      </w:tr>
      <w:tr>
        <w:tc>
          <w:tcPr>
            <w:tcW w:type="dxa" w:w="1440"/>
          </w:tcPr>
          <w:p>
            <w:r>
              <w:t>Recency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18</w:t>
            </w:r>
          </w:p>
        </w:tc>
        <w:tc>
          <w:tcPr>
            <w:tcW w:type="dxa" w:w="1440"/>
          </w:tcPr>
          <w:p>
            <w:r>
              <w:t>51</w:t>
            </w:r>
          </w:p>
        </w:tc>
        <w:tc>
          <w:tcPr>
            <w:tcW w:type="dxa" w:w="1440"/>
          </w:tcPr>
          <w:p>
            <w:r>
              <w:t>142</w:t>
            </w:r>
          </w:p>
        </w:tc>
        <w:tc>
          <w:tcPr>
            <w:tcW w:type="dxa" w:w="1440"/>
          </w:tcPr>
          <w:p>
            <w:r>
              <w:t>374</w:t>
            </w:r>
          </w:p>
        </w:tc>
        <w:tc>
          <w:tcPr>
            <w:tcW w:type="dxa" w:w="1440"/>
          </w:tcPr>
          <w:p>
            <w:r>
              <w:t>92.52</w:t>
            </w:r>
          </w:p>
        </w:tc>
      </w:tr>
      <w:tr>
        <w:tc>
          <w:tcPr>
            <w:tcW w:type="dxa" w:w="1440"/>
          </w:tcPr>
          <w:p>
            <w:r>
              <w:t>Frequency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210</w:t>
            </w:r>
          </w:p>
        </w:tc>
        <w:tc>
          <w:tcPr>
            <w:tcW w:type="dxa" w:w="1440"/>
          </w:tcPr>
          <w:p>
            <w:r>
              <w:t>4.27</w:t>
            </w:r>
          </w:p>
        </w:tc>
      </w:tr>
      <w:tr>
        <w:tc>
          <w:tcPr>
            <w:tcW w:type="dxa" w:w="1440"/>
          </w:tcPr>
          <w:p>
            <w:r>
              <w:t>Monetary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307.25</w:t>
            </w:r>
          </w:p>
        </w:tc>
        <w:tc>
          <w:tcPr>
            <w:tcW w:type="dxa" w:w="1440"/>
          </w:tcPr>
          <w:p>
            <w:r>
              <w:t>674.45</w:t>
            </w:r>
          </w:p>
        </w:tc>
        <w:tc>
          <w:tcPr>
            <w:tcW w:type="dxa" w:w="1440"/>
          </w:tcPr>
          <w:p>
            <w:r>
              <w:t>1661.64</w:t>
            </w:r>
          </w:p>
        </w:tc>
        <w:tc>
          <w:tcPr>
            <w:tcW w:type="dxa" w:w="1440"/>
          </w:tcPr>
          <w:p>
            <w:r>
              <w:t>280206.02</w:t>
            </w:r>
          </w:p>
        </w:tc>
        <w:tc>
          <w:tcPr>
            <w:tcW w:type="dxa" w:w="1440"/>
          </w:tcPr>
          <w:p>
            <w:r>
              <w:t>2053.79</w:t>
            </w:r>
          </w:p>
        </w:tc>
      </w:tr>
    </w:tbl>
    <w:p>
      <w:pPr>
        <w:pStyle w:val="Heading1"/>
      </w:pPr>
      <w:r>
        <w:t>7. Distribution, Skewness and Transformation</w:t>
      </w:r>
    </w:p>
    <w:p>
      <w:r>
        <w:t>Histograms and boxplots showed strong right-skew, especially for Frequency and Monetary. High-value observations were not automatically removed because they may represent genuine customers.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3360"/>
          </w:tcPr>
          <w:p>
            <w:r>
              <w:rPr>
                <w:b/>
              </w:rPr>
              <w:t>Skewness before log1p</w:t>
            </w:r>
          </w:p>
        </w:tc>
        <w:tc>
          <w:tcPr>
            <w:tcW w:type="dxa" w:w="3360"/>
          </w:tcPr>
          <w:p>
            <w:r>
              <w:rPr>
                <w:b/>
              </w:rPr>
              <w:t>Skewness after log1p</w:t>
            </w:r>
          </w:p>
        </w:tc>
      </w:tr>
      <w:tr>
        <w:tc>
          <w:tcPr>
            <w:tcW w:type="dxa" w:w="3360"/>
          </w:tcPr>
          <w:p>
            <w:r>
              <w:t>Recency</w:t>
            </w:r>
          </w:p>
        </w:tc>
        <w:tc>
          <w:tcPr>
            <w:tcW w:type="dxa" w:w="3360"/>
          </w:tcPr>
          <w:p>
            <w:r>
              <w:t>1.2464</w:t>
            </w:r>
          </w:p>
        </w:tc>
        <w:tc>
          <w:tcPr>
            <w:tcW w:type="dxa" w:w="3360"/>
          </w:tcPr>
          <w:p>
            <w:r>
              <w:t>-0.3787</w:t>
            </w:r>
          </w:p>
        </w:tc>
      </w:tr>
      <w:tr>
        <w:tc>
          <w:tcPr>
            <w:tcW w:type="dxa" w:w="3360"/>
          </w:tcPr>
          <w:p>
            <w:r>
              <w:t>Frequency</w:t>
            </w:r>
          </w:p>
        </w:tc>
        <w:tc>
          <w:tcPr>
            <w:tcW w:type="dxa" w:w="3360"/>
          </w:tcPr>
          <w:p>
            <w:r>
              <w:t>12.1</w:t>
            </w:r>
          </w:p>
        </w:tc>
        <w:tc>
          <w:tcPr>
            <w:tcW w:type="dxa" w:w="3360"/>
          </w:tcPr>
          <w:p>
            <w:r>
              <w:t>1.2089</w:t>
            </w:r>
          </w:p>
        </w:tc>
      </w:tr>
      <w:tr>
        <w:tc>
          <w:tcPr>
            <w:tcW w:type="dxa" w:w="3360"/>
          </w:tcPr>
          <w:p>
            <w:r>
              <w:t>Monetary</w:t>
            </w:r>
          </w:p>
        </w:tc>
        <w:tc>
          <w:tcPr>
            <w:tcW w:type="dxa" w:w="3360"/>
          </w:tcPr>
          <w:p>
            <w:r>
              <w:t>19.327</w:t>
            </w:r>
          </w:p>
        </w:tc>
        <w:tc>
          <w:tcPr>
            <w:tcW w:type="dxa" w:w="3360"/>
          </w:tcPr>
          <w:p>
            <w:r>
              <w:t>0.3606</w:t>
            </w:r>
          </w:p>
        </w:tc>
      </w:tr>
    </w:tbl>
    <w:p>
      <w:r>
        <w:t>log1p(x) = log(1+x) was used because it compresses large values while safely handling zero values. It reduces skewness without deleting legitimate high-value customers.</w:t>
      </w:r>
    </w:p>
    <w:p>
      <w:pPr>
        <w:pStyle w:val="Heading1"/>
      </w:pPr>
      <w:r>
        <w:t>8. Standardization</w:t>
      </w:r>
    </w:p>
    <w:p>
      <w:r>
        <w:t>StandardScaler was applied after log transformation because K-Means uses distance calculations and the three RFM variables have different units and numerical ranges. The scaled features have approximately mean 0 and standard deviation 1.</w:t>
      </w:r>
    </w:p>
    <w:p>
      <w:pPr>
        <w:pStyle w:val="Heading1"/>
      </w:pPr>
      <w:r>
        <w:t>9. Choosing the Number of Clusters</w:t>
      </w:r>
    </w:p>
    <w:p>
      <w:r>
        <w:t>The Elbow Method suggested a bend around K=4–5, but it was not decisive. Silhouette analysis was therefore used as an additional validation metric.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K</w:t>
            </w:r>
          </w:p>
        </w:tc>
        <w:tc>
          <w:tcPr>
            <w:tcW w:type="dxa" w:w="5040"/>
          </w:tcPr>
          <w:p>
            <w:r>
              <w:rPr>
                <w:b/>
              </w:rPr>
              <w:t>Silhouette</w:t>
            </w:r>
          </w:p>
        </w:tc>
      </w:tr>
      <w:tr>
        <w:tc>
          <w:tcPr>
            <w:tcW w:type="dxa" w:w="5040"/>
          </w:tcPr>
          <w:p>
            <w:r>
              <w:t>2</w:t>
            </w:r>
          </w:p>
        </w:tc>
        <w:tc>
          <w:tcPr>
            <w:tcW w:type="dxa" w:w="5040"/>
          </w:tcPr>
          <w:p>
            <w:r>
              <w:t>0.4327</w:t>
            </w:r>
          </w:p>
        </w:tc>
      </w:tr>
      <w:tr>
        <w:tc>
          <w:tcPr>
            <w:tcW w:type="dxa" w:w="5040"/>
          </w:tcPr>
          <w:p>
            <w:r>
              <w:t>3</w:t>
            </w:r>
          </w:p>
        </w:tc>
        <w:tc>
          <w:tcPr>
            <w:tcW w:type="dxa" w:w="5040"/>
          </w:tcPr>
          <w:p>
            <w:r>
              <w:t>0.3390</w:t>
            </w:r>
          </w:p>
        </w:tc>
      </w:tr>
      <w:tr>
        <w:tc>
          <w:tcPr>
            <w:tcW w:type="dxa" w:w="5040"/>
          </w:tcPr>
          <w:p>
            <w:r>
              <w:t>4</w:t>
            </w:r>
          </w:p>
        </w:tc>
        <w:tc>
          <w:tcPr>
            <w:tcW w:type="dxa" w:w="5040"/>
          </w:tcPr>
          <w:p>
            <w:r>
              <w:t>0.3363</w:t>
            </w:r>
          </w:p>
        </w:tc>
      </w:tr>
      <w:tr>
        <w:tc>
          <w:tcPr>
            <w:tcW w:type="dxa" w:w="5040"/>
          </w:tcPr>
          <w:p>
            <w:r>
              <w:t>5</w:t>
            </w:r>
          </w:p>
        </w:tc>
        <w:tc>
          <w:tcPr>
            <w:tcW w:type="dxa" w:w="5040"/>
          </w:tcPr>
          <w:p>
            <w:r>
              <w:t>0.3161</w:t>
            </w:r>
          </w:p>
        </w:tc>
      </w:tr>
      <w:tr>
        <w:tc>
          <w:tcPr>
            <w:tcW w:type="dxa" w:w="5040"/>
          </w:tcPr>
          <w:p>
            <w:r>
              <w:t>6</w:t>
            </w:r>
          </w:p>
        </w:tc>
        <w:tc>
          <w:tcPr>
            <w:tcW w:type="dxa" w:w="5040"/>
          </w:tcPr>
          <w:p>
            <w:r>
              <w:t>0.3135</w:t>
            </w:r>
          </w:p>
        </w:tc>
      </w:tr>
      <w:tr>
        <w:tc>
          <w:tcPr>
            <w:tcW w:type="dxa" w:w="5040"/>
          </w:tcPr>
          <w:p>
            <w:r>
              <w:t>7</w:t>
            </w:r>
          </w:p>
        </w:tc>
        <w:tc>
          <w:tcPr>
            <w:tcW w:type="dxa" w:w="5040"/>
          </w:tcPr>
          <w:p>
            <w:r>
              <w:t>0.3090</w:t>
            </w:r>
          </w:p>
        </w:tc>
      </w:tr>
      <w:tr>
        <w:tc>
          <w:tcPr>
            <w:tcW w:type="dxa" w:w="5040"/>
          </w:tcPr>
          <w:p>
            <w:r>
              <w:t>8</w:t>
            </w:r>
          </w:p>
        </w:tc>
        <w:tc>
          <w:tcPr>
            <w:tcW w:type="dxa" w:w="5040"/>
          </w:tcPr>
          <w:p>
            <w:r>
              <w:t>0.3031</w:t>
            </w:r>
          </w:p>
        </w:tc>
      </w:tr>
      <w:tr>
        <w:tc>
          <w:tcPr>
            <w:tcW w:type="dxa" w:w="5040"/>
          </w:tcPr>
          <w:p>
            <w:r>
              <w:t>9</w:t>
            </w:r>
          </w:p>
        </w:tc>
        <w:tc>
          <w:tcPr>
            <w:tcW w:type="dxa" w:w="5040"/>
          </w:tcPr>
          <w:p>
            <w:r>
              <w:t>0.2817</w:t>
            </w:r>
          </w:p>
        </w:tc>
      </w:tr>
      <w:tr>
        <w:tc>
          <w:tcPr>
            <w:tcW w:type="dxa" w:w="5040"/>
          </w:tcPr>
          <w:p>
            <w:r>
              <w:t>10</w:t>
            </w:r>
          </w:p>
        </w:tc>
        <w:tc>
          <w:tcPr>
            <w:tcW w:type="dxa" w:w="5040"/>
          </w:tcPr>
          <w:p>
            <w:r>
              <w:t>0.2785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5661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stone_silhouett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61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K=2 had the highest silhouette score (0.4327). K=3 scored 0.3390 and K=4 scored 0.3363. K=3 was retained for business interpretation because it produces three meaningful behavioral profiles.</w:t>
      </w:r>
    </w:p>
    <w:p>
      <w:pPr>
        <w:pStyle w:val="Heading1"/>
      </w:pPr>
      <w:r>
        <w:t>10. K-Means Results</w:t>
      </w:r>
    </w:p>
    <w:p>
      <w:r>
        <w:t>K-Means was run with random_state=42 and n_init=10. Cluster numbers are arbitrary identifiers and do not represent rank.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</w:tcPr>
          <w:p>
            <w:r>
              <w:rPr>
                <w:b/>
              </w:rPr>
              <w:t>K=2 Cluster</w:t>
            </w:r>
          </w:p>
        </w:tc>
        <w:tc>
          <w:tcPr>
            <w:tcW w:type="dxa" w:w="2016"/>
          </w:tcPr>
          <w:p>
            <w:r>
              <w:rPr>
                <w:b/>
              </w:rPr>
              <w:t>Customers</w:t>
            </w:r>
          </w:p>
        </w:tc>
        <w:tc>
          <w:tcPr>
            <w:tcW w:type="dxa" w:w="2016"/>
          </w:tcPr>
          <w:p>
            <w:r>
              <w:rPr>
                <w:b/>
              </w:rPr>
              <w:t>Avg Recency</w:t>
            </w:r>
          </w:p>
        </w:tc>
        <w:tc>
          <w:tcPr>
            <w:tcW w:type="dxa" w:w="2016"/>
          </w:tcPr>
          <w:p>
            <w:r>
              <w:rPr>
                <w:b/>
              </w:rPr>
              <w:t>Avg Frequency</w:t>
            </w:r>
          </w:p>
        </w:tc>
        <w:tc>
          <w:tcPr>
            <w:tcW w:type="dxa" w:w="2016"/>
          </w:tcPr>
          <w:p>
            <w:r>
              <w:rPr>
                <w:b/>
              </w:rPr>
              <w:t>Avg Monetary</w:t>
            </w:r>
          </w:p>
        </w:tc>
      </w:tr>
      <w:tr>
        <w:tc>
          <w:tcPr>
            <w:tcW w:type="dxa" w:w="2016"/>
          </w:tcPr>
          <w:p>
            <w:r>
              <w:t>0</w:t>
            </w:r>
          </w:p>
        </w:tc>
        <w:tc>
          <w:tcPr>
            <w:tcW w:type="dxa" w:w="2016"/>
          </w:tcPr>
          <w:p>
            <w:r>
              <w:t>2672</w:t>
            </w:r>
          </w:p>
        </w:tc>
        <w:tc>
          <w:tcPr>
            <w:tcW w:type="dxa" w:w="2016"/>
          </w:tcPr>
          <w:p>
            <w:r>
              <w:t>134.09</w:t>
            </w:r>
          </w:p>
        </w:tc>
        <w:tc>
          <w:tcPr>
            <w:tcW w:type="dxa" w:w="2016"/>
          </w:tcPr>
          <w:p>
            <w:r>
              <w:t>1.67</w:t>
            </w:r>
          </w:p>
        </w:tc>
        <w:tc>
          <w:tcPr>
            <w:tcW w:type="dxa" w:w="2016"/>
          </w:tcPr>
          <w:p>
            <w:r>
              <w:t>497.55</w:t>
            </w:r>
          </w:p>
        </w:tc>
      </w:tr>
      <w:tr>
        <w:tc>
          <w:tcPr>
            <w:tcW w:type="dxa" w:w="2016"/>
          </w:tcPr>
          <w:p>
            <w:r>
              <w:t>1</w:t>
            </w:r>
          </w:p>
        </w:tc>
        <w:tc>
          <w:tcPr>
            <w:tcW w:type="dxa" w:w="2016"/>
          </w:tcPr>
          <w:p>
            <w:r>
              <w:t>1667</w:t>
            </w:r>
          </w:p>
        </w:tc>
        <w:tc>
          <w:tcPr>
            <w:tcW w:type="dxa" w:w="2016"/>
          </w:tcPr>
          <w:p>
            <w:r>
              <w:t>25.88</w:t>
            </w:r>
          </w:p>
        </w:tc>
        <w:tc>
          <w:tcPr>
            <w:tcW w:type="dxa" w:w="2016"/>
          </w:tcPr>
          <w:p>
            <w:r>
              <w:t>8.44</w:t>
            </w:r>
          </w:p>
        </w:tc>
        <w:tc>
          <w:tcPr>
            <w:tcW w:type="dxa" w:w="2016"/>
          </w:tcPr>
          <w:p>
            <w:r>
              <w:t>4548.26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</w:tcPr>
          <w:p>
            <w:r>
              <w:rPr>
                <w:b/>
              </w:rPr>
              <w:t>K=4 Cluster</w:t>
            </w:r>
          </w:p>
        </w:tc>
        <w:tc>
          <w:tcPr>
            <w:tcW w:type="dxa" w:w="2016"/>
          </w:tcPr>
          <w:p>
            <w:r>
              <w:rPr>
                <w:b/>
              </w:rPr>
              <w:t>Customers</w:t>
            </w:r>
          </w:p>
        </w:tc>
        <w:tc>
          <w:tcPr>
            <w:tcW w:type="dxa" w:w="2016"/>
          </w:tcPr>
          <w:p>
            <w:r>
              <w:rPr>
                <w:b/>
              </w:rPr>
              <w:t>Avg Recency</w:t>
            </w:r>
          </w:p>
        </w:tc>
        <w:tc>
          <w:tcPr>
            <w:tcW w:type="dxa" w:w="2016"/>
          </w:tcPr>
          <w:p>
            <w:r>
              <w:rPr>
                <w:b/>
              </w:rPr>
              <w:t>Avg Frequency</w:t>
            </w:r>
          </w:p>
        </w:tc>
        <w:tc>
          <w:tcPr>
            <w:tcW w:type="dxa" w:w="2016"/>
          </w:tcPr>
          <w:p>
            <w:r>
              <w:rPr>
                <w:b/>
              </w:rPr>
              <w:t>Avg Monetary</w:t>
            </w:r>
          </w:p>
        </w:tc>
      </w:tr>
      <w:tr>
        <w:tc>
          <w:tcPr>
            <w:tcW w:type="dxa" w:w="2016"/>
          </w:tcPr>
          <w:p>
            <w:r>
              <w:t>0</w:t>
            </w:r>
          </w:p>
        </w:tc>
        <w:tc>
          <w:tcPr>
            <w:tcW w:type="dxa" w:w="2016"/>
          </w:tcPr>
          <w:p>
            <w:r>
              <w:t>839</w:t>
            </w:r>
          </w:p>
        </w:tc>
        <w:tc>
          <w:tcPr>
            <w:tcW w:type="dxa" w:w="2016"/>
          </w:tcPr>
          <w:p>
            <w:r>
              <w:t>18.73</w:t>
            </w:r>
          </w:p>
        </w:tc>
        <w:tc>
          <w:tcPr>
            <w:tcW w:type="dxa" w:w="2016"/>
          </w:tcPr>
          <w:p>
            <w:r>
              <w:t>2.09</w:t>
            </w:r>
          </w:p>
        </w:tc>
        <w:tc>
          <w:tcPr>
            <w:tcW w:type="dxa" w:w="2016"/>
          </w:tcPr>
          <w:p>
            <w:r>
              <w:t>538.23</w:t>
            </w:r>
          </w:p>
        </w:tc>
      </w:tr>
      <w:tr>
        <w:tc>
          <w:tcPr>
            <w:tcW w:type="dxa" w:w="2016"/>
          </w:tcPr>
          <w:p>
            <w:r>
              <w:t>1</w:t>
            </w:r>
          </w:p>
        </w:tc>
        <w:tc>
          <w:tcPr>
            <w:tcW w:type="dxa" w:w="2016"/>
          </w:tcPr>
          <w:p>
            <w:r>
              <w:t>723</w:t>
            </w:r>
          </w:p>
        </w:tc>
        <w:tc>
          <w:tcPr>
            <w:tcW w:type="dxa" w:w="2016"/>
          </w:tcPr>
          <w:p>
            <w:r>
              <w:t>12.11</w:t>
            </w:r>
          </w:p>
        </w:tc>
        <w:tc>
          <w:tcPr>
            <w:tcW w:type="dxa" w:w="2016"/>
          </w:tcPr>
          <w:p>
            <w:r>
              <w:t>13.63</w:t>
            </w:r>
          </w:p>
        </w:tc>
        <w:tc>
          <w:tcPr>
            <w:tcW w:type="dxa" w:w="2016"/>
          </w:tcPr>
          <w:p>
            <w:r>
              <w:t>8015.42</w:t>
            </w:r>
          </w:p>
        </w:tc>
      </w:tr>
      <w:tr>
        <w:tc>
          <w:tcPr>
            <w:tcW w:type="dxa" w:w="2016"/>
          </w:tcPr>
          <w:p>
            <w:r>
              <w:t>2</w:t>
            </w:r>
          </w:p>
        </w:tc>
        <w:tc>
          <w:tcPr>
            <w:tcW w:type="dxa" w:w="2016"/>
          </w:tcPr>
          <w:p>
            <w:r>
              <w:t>1183</w:t>
            </w:r>
          </w:p>
        </w:tc>
        <w:tc>
          <w:tcPr>
            <w:tcW w:type="dxa" w:w="2016"/>
          </w:tcPr>
          <w:p>
            <w:r>
              <w:t>70.7</w:t>
            </w:r>
          </w:p>
        </w:tc>
        <w:tc>
          <w:tcPr>
            <w:tcW w:type="dxa" w:w="2016"/>
          </w:tcPr>
          <w:p>
            <w:r>
              <w:t>4.08</w:t>
            </w:r>
          </w:p>
        </w:tc>
        <w:tc>
          <w:tcPr>
            <w:tcW w:type="dxa" w:w="2016"/>
          </w:tcPr>
          <w:p>
            <w:r>
              <w:t>1791.09</w:t>
            </w:r>
          </w:p>
        </w:tc>
      </w:tr>
      <w:tr>
        <w:tc>
          <w:tcPr>
            <w:tcW w:type="dxa" w:w="2016"/>
          </w:tcPr>
          <w:p>
            <w:r>
              <w:t>3</w:t>
            </w:r>
          </w:p>
        </w:tc>
        <w:tc>
          <w:tcPr>
            <w:tcW w:type="dxa" w:w="2016"/>
          </w:tcPr>
          <w:p>
            <w:r>
              <w:t>1594</w:t>
            </w:r>
          </w:p>
        </w:tc>
        <w:tc>
          <w:tcPr>
            <w:tcW w:type="dxa" w:w="2016"/>
          </w:tcPr>
          <w:p>
            <w:r>
              <w:t>184.02</w:t>
            </w:r>
          </w:p>
        </w:tc>
        <w:tc>
          <w:tcPr>
            <w:tcW w:type="dxa" w:w="2016"/>
          </w:tcPr>
          <w:p>
            <w:r>
              <w:t>1.32</w:t>
            </w:r>
          </w:p>
        </w:tc>
        <w:tc>
          <w:tcPr>
            <w:tcW w:type="dxa" w:w="2016"/>
          </w:tcPr>
          <w:p>
            <w:r>
              <w:t>342.42</w:t>
            </w:r>
          </w:p>
        </w:tc>
      </w:tr>
    </w:tbl>
    <w:p>
      <w:pPr>
        <w:pStyle w:val="Heading1"/>
      </w:pPr>
      <w:r>
        <w:t>11. Final K=3 Customer Segments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60"/>
        <w:gridCol w:w="1260"/>
        <w:gridCol w:w="1260"/>
        <w:gridCol w:w="1260"/>
        <w:gridCol w:w="1260"/>
        <w:gridCol w:w="1260"/>
        <w:gridCol w:w="1260"/>
        <w:gridCol w:w="1260"/>
      </w:tblGrid>
      <w:tr>
        <w:tc>
          <w:tcPr>
            <w:tcW w:type="dxa" w:w="1260"/>
          </w:tcPr>
          <w:p>
            <w:r>
              <w:rPr>
                <w:b/>
              </w:rPr>
              <w:t>Cluster</w:t>
            </w:r>
          </w:p>
        </w:tc>
        <w:tc>
          <w:tcPr>
            <w:tcW w:type="dxa" w:w="1260"/>
          </w:tcPr>
          <w:p>
            <w:r>
              <w:rPr>
                <w:b/>
              </w:rPr>
              <w:t>Segment</w:t>
            </w:r>
          </w:p>
        </w:tc>
        <w:tc>
          <w:tcPr>
            <w:tcW w:type="dxa" w:w="1260"/>
          </w:tcPr>
          <w:p>
            <w:r>
              <w:rPr>
                <w:b/>
              </w:rPr>
              <w:t>Customers</w:t>
            </w:r>
          </w:p>
        </w:tc>
        <w:tc>
          <w:tcPr>
            <w:tcW w:type="dxa" w:w="1260"/>
          </w:tcPr>
          <w:p>
            <w:r>
              <w:rPr>
                <w:b/>
              </w:rPr>
              <w:t>Customer %</w:t>
            </w:r>
          </w:p>
        </w:tc>
        <w:tc>
          <w:tcPr>
            <w:tcW w:type="dxa" w:w="1260"/>
          </w:tcPr>
          <w:p>
            <w:r>
              <w:rPr>
                <w:b/>
              </w:rPr>
              <w:t>Avg Recency</w:t>
            </w:r>
          </w:p>
        </w:tc>
        <w:tc>
          <w:tcPr>
            <w:tcW w:type="dxa" w:w="1260"/>
          </w:tcPr>
          <w:p>
            <w:r>
              <w:rPr>
                <w:b/>
              </w:rPr>
              <w:t>Avg Frequency</w:t>
            </w:r>
          </w:p>
        </w:tc>
        <w:tc>
          <w:tcPr>
            <w:tcW w:type="dxa" w:w="1260"/>
          </w:tcPr>
          <w:p>
            <w:r>
              <w:rPr>
                <w:b/>
              </w:rPr>
              <w:t>Avg Monetary</w:t>
            </w:r>
          </w:p>
        </w:tc>
        <w:tc>
          <w:tcPr>
            <w:tcW w:type="dxa" w:w="1260"/>
          </w:tcPr>
          <w:p>
            <w:r>
              <w:rPr>
                <w:b/>
              </w:rPr>
              <w:t>Revenue %</w:t>
            </w:r>
          </w:p>
        </w:tc>
      </w:tr>
      <w:tr>
        <w:tc>
          <w:tcPr>
            <w:tcW w:type="dxa" w:w="1260"/>
          </w:tcPr>
          <w:p>
            <w:r>
              <w:t>0</w:t>
            </w:r>
          </w:p>
        </w:tc>
        <w:tc>
          <w:tcPr>
            <w:tcW w:type="dxa" w:w="1260"/>
          </w:tcPr>
          <w:p>
            <w:r>
              <w:t>Highly Active / High Value</w:t>
            </w:r>
          </w:p>
        </w:tc>
        <w:tc>
          <w:tcPr>
            <w:tcW w:type="dxa" w:w="1260"/>
          </w:tcPr>
          <w:p>
            <w:r>
              <w:t>734</w:t>
            </w:r>
          </w:p>
        </w:tc>
        <w:tc>
          <w:tcPr>
            <w:tcW w:type="dxa" w:w="1260"/>
          </w:tcPr>
          <w:p>
            <w:r>
              <w:t>16.92%</w:t>
            </w:r>
          </w:p>
        </w:tc>
        <w:tc>
          <w:tcPr>
            <w:tcW w:type="dxa" w:w="1260"/>
          </w:tcPr>
          <w:p>
            <w:r>
              <w:t>15.89</w:t>
            </w:r>
          </w:p>
        </w:tc>
        <w:tc>
          <w:tcPr>
            <w:tcW w:type="dxa" w:w="1260"/>
          </w:tcPr>
          <w:p>
            <w:r>
              <w:t>13.70</w:t>
            </w:r>
          </w:p>
        </w:tc>
        <w:tc>
          <w:tcPr>
            <w:tcW w:type="dxa" w:w="1260"/>
          </w:tcPr>
          <w:p>
            <w:r>
              <w:t>8101.50</w:t>
            </w:r>
          </w:p>
        </w:tc>
        <w:tc>
          <w:tcPr>
            <w:tcW w:type="dxa" w:w="1260"/>
          </w:tcPr>
          <w:p>
            <w:r>
              <w:t>66.73%</w:t>
            </w:r>
          </w:p>
        </w:tc>
      </w:tr>
      <w:tr>
        <w:tc>
          <w:tcPr>
            <w:tcW w:type="dxa" w:w="1260"/>
          </w:tcPr>
          <w:p>
            <w:r>
              <w:t>1</w:t>
            </w:r>
          </w:p>
        </w:tc>
        <w:tc>
          <w:tcPr>
            <w:tcW w:type="dxa" w:w="1260"/>
          </w:tcPr>
          <w:p>
            <w:r>
              <w:t>Inactive / Low Value</w:t>
            </w:r>
          </w:p>
        </w:tc>
        <w:tc>
          <w:tcPr>
            <w:tcW w:type="dxa" w:w="1260"/>
          </w:tcPr>
          <w:p>
            <w:r>
              <w:t>1913</w:t>
            </w:r>
          </w:p>
        </w:tc>
        <w:tc>
          <w:tcPr>
            <w:tcW w:type="dxa" w:w="1260"/>
          </w:tcPr>
          <w:p>
            <w:r>
              <w:t>44.09%</w:t>
            </w:r>
          </w:p>
        </w:tc>
        <w:tc>
          <w:tcPr>
            <w:tcW w:type="dxa" w:w="1260"/>
          </w:tcPr>
          <w:p>
            <w:r>
              <w:t>164.89</w:t>
            </w:r>
          </w:p>
        </w:tc>
        <w:tc>
          <w:tcPr>
            <w:tcW w:type="dxa" w:w="1260"/>
          </w:tcPr>
          <w:p>
            <w:r>
              <w:t>1.36</w:t>
            </w:r>
          </w:p>
        </w:tc>
        <w:tc>
          <w:tcPr>
            <w:tcW w:type="dxa" w:w="1260"/>
          </w:tcPr>
          <w:p>
            <w:r>
              <w:t>365.51</w:t>
            </w:r>
          </w:p>
        </w:tc>
        <w:tc>
          <w:tcPr>
            <w:tcW w:type="dxa" w:w="1260"/>
          </w:tcPr>
          <w:p>
            <w:r>
              <w:t>7.85%</w:t>
            </w:r>
          </w:p>
        </w:tc>
      </w:tr>
      <w:tr>
        <w:tc>
          <w:tcPr>
            <w:tcW w:type="dxa" w:w="1260"/>
          </w:tcPr>
          <w:p>
            <w:r>
              <w:t>2</w:t>
            </w:r>
          </w:p>
        </w:tc>
        <w:tc>
          <w:tcPr>
            <w:tcW w:type="dxa" w:w="1260"/>
          </w:tcPr>
          <w:p>
            <w:r>
              <w:t>Regular / Moderate Value</w:t>
            </w:r>
          </w:p>
        </w:tc>
        <w:tc>
          <w:tcPr>
            <w:tcW w:type="dxa" w:w="1260"/>
          </w:tcPr>
          <w:p>
            <w:r>
              <w:t>1692</w:t>
            </w:r>
          </w:p>
        </w:tc>
        <w:tc>
          <w:tcPr>
            <w:tcW w:type="dxa" w:w="1260"/>
          </w:tcPr>
          <w:p>
            <w:r>
              <w:t>39.00%</w:t>
            </w:r>
          </w:p>
        </w:tc>
        <w:tc>
          <w:tcPr>
            <w:tcW w:type="dxa" w:w="1260"/>
          </w:tcPr>
          <w:p>
            <w:r>
              <w:t>43.93</w:t>
            </w:r>
          </w:p>
        </w:tc>
        <w:tc>
          <w:tcPr>
            <w:tcW w:type="dxa" w:w="1260"/>
          </w:tcPr>
          <w:p>
            <w:r>
              <w:t>3.47</w:t>
            </w:r>
          </w:p>
        </w:tc>
        <w:tc>
          <w:tcPr>
            <w:tcW w:type="dxa" w:w="1260"/>
          </w:tcPr>
          <w:p>
            <w:r>
              <w:t>1339.06</w:t>
            </w:r>
          </w:p>
        </w:tc>
        <w:tc>
          <w:tcPr>
            <w:tcW w:type="dxa" w:w="1260"/>
          </w:tcPr>
          <w:p>
            <w:r>
              <w:t>25.42%</w:t>
            </w:r>
          </w:p>
        </w:tc>
      </w:tr>
    </w:tbl>
    <w:p>
      <w:r>
        <w:t>Median profile: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r>
              <w:rPr>
                <w:b/>
              </w:rPr>
              <w:t>Cluster</w:t>
            </w:r>
          </w:p>
        </w:tc>
        <w:tc>
          <w:tcPr>
            <w:tcW w:type="dxa" w:w="2520"/>
          </w:tcPr>
          <w:p>
            <w:r>
              <w:rPr>
                <w:b/>
              </w:rPr>
              <w:t>Median Recency</w:t>
            </w:r>
          </w:p>
        </w:tc>
        <w:tc>
          <w:tcPr>
            <w:tcW w:type="dxa" w:w="2520"/>
          </w:tcPr>
          <w:p>
            <w:r>
              <w:rPr>
                <w:b/>
              </w:rPr>
              <w:t>Median Frequency</w:t>
            </w:r>
          </w:p>
        </w:tc>
        <w:tc>
          <w:tcPr>
            <w:tcW w:type="dxa" w:w="2520"/>
          </w:tcPr>
          <w:p>
            <w:r>
              <w:rPr>
                <w:b/>
              </w:rPr>
              <w:t>Median Monetary</w:t>
            </w:r>
          </w:p>
        </w:tc>
      </w:tr>
      <w:tr>
        <w:tc>
          <w:tcPr>
            <w:tcW w:type="dxa" w:w="2520"/>
          </w:tcPr>
          <w:p>
            <w:r>
              <w:t>0</w:t>
            </w:r>
          </w:p>
        </w:tc>
        <w:tc>
          <w:tcPr>
            <w:tcW w:type="dxa" w:w="2520"/>
          </w:tcPr>
          <w:p>
            <w:r>
              <w:t>9.0</w:t>
            </w:r>
          </w:p>
        </w:tc>
        <w:tc>
          <w:tcPr>
            <w:tcW w:type="dxa" w:w="2520"/>
          </w:tcPr>
          <w:p>
            <w:r>
              <w:t>10.0</w:t>
            </w:r>
          </w:p>
        </w:tc>
        <w:tc>
          <w:tcPr>
            <w:tcW w:type="dxa" w:w="2520"/>
          </w:tcPr>
          <w:p>
            <w:r>
              <w:t>3774.17</w:t>
            </w:r>
          </w:p>
        </w:tc>
      </w:tr>
      <w:tr>
        <w:tc>
          <w:tcPr>
            <w:tcW w:type="dxa" w:w="2520"/>
          </w:tcPr>
          <w:p>
            <w:r>
              <w:t>1</w:t>
            </w:r>
          </w:p>
        </w:tc>
        <w:tc>
          <w:tcPr>
            <w:tcW w:type="dxa" w:w="2520"/>
          </w:tcPr>
          <w:p>
            <w:r>
              <w:t>156.0</w:t>
            </w:r>
          </w:p>
        </w:tc>
        <w:tc>
          <w:tcPr>
            <w:tcW w:type="dxa" w:w="2520"/>
          </w:tcPr>
          <w:p>
            <w:r>
              <w:t>1.0</w:t>
            </w:r>
          </w:p>
        </w:tc>
        <w:tc>
          <w:tcPr>
            <w:tcW w:type="dxa" w:w="2520"/>
          </w:tcPr>
          <w:p>
            <w:r>
              <w:t>300.85</w:t>
            </w:r>
          </w:p>
        </w:tc>
      </w:tr>
      <w:tr>
        <w:tc>
          <w:tcPr>
            <w:tcW w:type="dxa" w:w="2520"/>
          </w:tcPr>
          <w:p>
            <w:r>
              <w:t>2</w:t>
            </w:r>
          </w:p>
        </w:tc>
        <w:tc>
          <w:tcPr>
            <w:tcW w:type="dxa" w:w="2520"/>
          </w:tcPr>
          <w:p>
            <w:r>
              <w:t>30.0</w:t>
            </w:r>
          </w:p>
        </w:tc>
        <w:tc>
          <w:tcPr>
            <w:tcW w:type="dxa" w:w="2520"/>
          </w:tcPr>
          <w:p>
            <w:r>
              <w:t>3.0</w:t>
            </w:r>
          </w:p>
        </w:tc>
        <w:tc>
          <w:tcPr>
            <w:tcW w:type="dxa" w:w="2520"/>
          </w:tcPr>
          <w:p>
            <w:r>
              <w:t>1011.25</w:t>
            </w:r>
          </w:p>
        </w:tc>
      </w:tr>
    </w:tbl>
    <w:p>
      <w:pPr>
        <w:pStyle w:val="Heading1"/>
      </w:pPr>
      <w:r>
        <w:t>12. PCA Visualization</w:t>
      </w:r>
    </w:p>
    <w:p>
      <w:r>
        <w:t>PCA was used only to visualize the standardized RFM data in two dimensions; it was not used to create the K-Means clusters.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5040"/>
          </w:tcPr>
          <w:p>
            <w:r>
              <w:rPr>
                <w:b/>
              </w:rPr>
              <w:t>Explained variance</w:t>
            </w:r>
          </w:p>
        </w:tc>
      </w:tr>
      <w:tr>
        <w:tc>
          <w:tcPr>
            <w:tcW w:type="dxa" w:w="5040"/>
          </w:tcPr>
          <w:p>
            <w:r>
              <w:t>PC1</w:t>
            </w:r>
          </w:p>
        </w:tc>
        <w:tc>
          <w:tcPr>
            <w:tcW w:type="dxa" w:w="5040"/>
          </w:tcPr>
          <w:p>
            <w:r>
              <w:t>75.0054%</w:t>
            </w:r>
          </w:p>
        </w:tc>
      </w:tr>
      <w:tr>
        <w:tc>
          <w:tcPr>
            <w:tcW w:type="dxa" w:w="5040"/>
          </w:tcPr>
          <w:p>
            <w:r>
              <w:t>PC2</w:t>
            </w:r>
          </w:p>
        </w:tc>
        <w:tc>
          <w:tcPr>
            <w:tcW w:type="dxa" w:w="5040"/>
          </w:tcPr>
          <w:p>
            <w:r>
              <w:t>18.8193%</w:t>
            </w:r>
          </w:p>
        </w:tc>
      </w:tr>
      <w:tr>
        <w:tc>
          <w:tcPr>
            <w:tcW w:type="dxa" w:w="5040"/>
          </w:tcPr>
          <w:p>
            <w:r>
              <w:t>PC1 + PC2</w:t>
            </w:r>
          </w:p>
        </w:tc>
        <w:tc>
          <w:tcPr>
            <w:tcW w:type="dxa" w:w="5040"/>
          </w:tcPr>
          <w:p>
            <w:r>
              <w:t>93.8247%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r>
              <w:rPr>
                <w:b/>
              </w:rPr>
            </w:r>
          </w:p>
        </w:tc>
        <w:tc>
          <w:tcPr>
            <w:tcW w:type="dxa" w:w="2520"/>
          </w:tcPr>
          <w:p>
            <w:r>
              <w:rPr>
                <w:b/>
              </w:rPr>
              <w:t>Recency</w:t>
            </w:r>
          </w:p>
        </w:tc>
        <w:tc>
          <w:tcPr>
            <w:tcW w:type="dxa" w:w="2520"/>
          </w:tcPr>
          <w:p>
            <w:r>
              <w:rPr>
                <w:b/>
              </w:rPr>
              <w:t>Frequency</w:t>
            </w:r>
          </w:p>
        </w:tc>
        <w:tc>
          <w:tcPr>
            <w:tcW w:type="dxa" w:w="2520"/>
          </w:tcPr>
          <w:p>
            <w:r>
              <w:rPr>
                <w:b/>
              </w:rPr>
              <w:t>Monetary</w:t>
            </w:r>
          </w:p>
        </w:tc>
      </w:tr>
      <w:tr>
        <w:tc>
          <w:tcPr>
            <w:tcW w:type="dxa" w:w="2520"/>
          </w:tcPr>
          <w:p>
            <w:r>
              <w:t>PC1</w:t>
            </w:r>
          </w:p>
        </w:tc>
        <w:tc>
          <w:tcPr>
            <w:tcW w:type="dxa" w:w="2520"/>
          </w:tcPr>
          <w:p>
            <w:r>
              <w:t>-0.511933</w:t>
            </w:r>
          </w:p>
        </w:tc>
        <w:tc>
          <w:tcPr>
            <w:tcW w:type="dxa" w:w="2520"/>
          </w:tcPr>
          <w:p>
            <w:r>
              <w:t>0.618196</w:t>
            </w:r>
          </w:p>
        </w:tc>
        <w:tc>
          <w:tcPr>
            <w:tcW w:type="dxa" w:w="2520"/>
          </w:tcPr>
          <w:p>
            <w:r>
              <w:t>0.596454</w:t>
            </w:r>
          </w:p>
        </w:tc>
      </w:tr>
      <w:tr>
        <w:tc>
          <w:tcPr>
            <w:tcW w:type="dxa" w:w="2520"/>
          </w:tcPr>
          <w:p>
            <w:r>
              <w:t>PC2</w:t>
            </w:r>
          </w:p>
        </w:tc>
        <w:tc>
          <w:tcPr>
            <w:tcW w:type="dxa" w:w="2520"/>
          </w:tcPr>
          <w:p>
            <w:r>
              <w:t>0.849257</w:t>
            </w:r>
          </w:p>
        </w:tc>
        <w:tc>
          <w:tcPr>
            <w:tcW w:type="dxa" w:w="2520"/>
          </w:tcPr>
          <w:p>
            <w:r>
              <w:t>0.259809</w:t>
            </w:r>
          </w:p>
        </w:tc>
        <w:tc>
          <w:tcPr>
            <w:tcW w:type="dxa" w:w="2520"/>
          </w:tcPr>
          <w:p>
            <w:r>
              <w:t>0.459633</w:t>
            </w:r>
          </w:p>
        </w:tc>
      </w:tr>
    </w:tbl>
    <w:p>
      <w:r>
        <w:t>PC1 broadly represents engagement/value because Frequency and Monetary have positive loadings while Recency has a negative loading. Lower Recency means more recent purchasing.</w:t>
      </w:r>
    </w:p>
    <w:p>
      <w:pPr>
        <w:pStyle w:val="Heading1"/>
      </w:pPr>
      <w:r>
        <w:t>13. Customer Distribution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5661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stone_customer_distributi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61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Segment 1 is the largest customer group (44.09%), followed by Segment 2 (39.00%) and Segment 0 (16.92%).</w:t>
      </w:r>
    </w:p>
    <w:p>
      <w:pPr>
        <w:pStyle w:val="Heading1"/>
      </w:pPr>
      <w:r>
        <w:t>14. Revenue Contribution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56616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stone_revenue_distributi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61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Segment 0 contains only 16.92% of customers but contributes 66.73% of monetary value. Segment 1 contains 44.09% of customers but contributes only 7.85%.</w:t>
      </w:r>
    </w:p>
    <w:p>
      <w:pPr>
        <w:pStyle w:val="Heading1"/>
      </w:pPr>
      <w:r>
        <w:t>15. RFM Segment Profile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59420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stone_rfm_profil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5942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The profile chart uses standardized cluster averages only for visualization. Recency must be interpreted inversely: lower is more recent.</w:t>
      </w:r>
    </w:p>
    <w:p>
      <w:pPr>
        <w:pStyle w:val="Heading1"/>
      </w:pPr>
      <w:r>
        <w:t>16. Key Business Insights</w:t>
      </w:r>
    </w:p>
    <w:p>
      <w:pPr>
        <w:pStyle w:val="ListBullet"/>
      </w:pPr>
      <w:r>
        <w:t>Customer value is highly concentrated: 16.92% of customers account for 66.73% of total monetary value.</w:t>
      </w:r>
    </w:p>
    <w:p>
      <w:pPr>
        <w:pStyle w:val="ListBullet"/>
      </w:pPr>
      <w:r>
        <w:t>44.09% of customers are in the Inactive / Low Value segment but contribute only 7.85% of monetary value.</w:t>
      </w:r>
    </w:p>
    <w:p>
      <w:pPr>
        <w:pStyle w:val="ListBullet"/>
      </w:pPr>
      <w:r>
        <w:t>39.00% of customers are Regular / Moderate Value and contribute 25.42% of monetary value.</w:t>
      </w:r>
    </w:p>
    <w:p>
      <w:pPr>
        <w:pStyle w:val="ListBullet"/>
      </w:pPr>
      <w:r>
        <w:t>RFM segmentation provides a practical way to differentiate customer strategies.</w:t>
      </w:r>
    </w:p>
    <w:p>
      <w:pPr>
        <w:pStyle w:val="Heading1"/>
      </w:pPr>
      <w:r>
        <w:t>17. Business Recommendations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  <w:t>Segment</w:t>
            </w:r>
          </w:p>
        </w:tc>
        <w:tc>
          <w:tcPr>
            <w:tcW w:type="dxa" w:w="3360"/>
          </w:tcPr>
          <w:p>
            <w:r>
              <w:rPr>
                <w:b/>
              </w:rPr>
              <w:t>Observed behavior</w:t>
            </w:r>
          </w:p>
        </w:tc>
        <w:tc>
          <w:tcPr>
            <w:tcW w:type="dxa" w:w="3360"/>
          </w:tcPr>
          <w:p>
            <w:r>
              <w:rPr>
                <w:b/>
              </w:rPr>
              <w:t>Recommended focus</w:t>
            </w:r>
          </w:p>
        </w:tc>
      </w:tr>
      <w:tr>
        <w:tc>
          <w:tcPr>
            <w:tcW w:type="dxa" w:w="3360"/>
          </w:tcPr>
          <w:p>
            <w:r>
              <w:t>Highly Active / High Value</w:t>
            </w:r>
          </w:p>
        </w:tc>
        <w:tc>
          <w:tcPr>
            <w:tcW w:type="dxa" w:w="3360"/>
          </w:tcPr>
          <w:p>
            <w:r>
              <w:t>Recent, frequent, high monetary contribution</w:t>
            </w:r>
          </w:p>
        </w:tc>
        <w:tc>
          <w:tcPr>
            <w:tcW w:type="dxa" w:w="3360"/>
          </w:tcPr>
          <w:p>
            <w:r>
              <w:t>Retention, loyalty, personalization, relevant cross-sell/upsell, targeted rewards</w:t>
            </w:r>
          </w:p>
        </w:tc>
      </w:tr>
      <w:tr>
        <w:tc>
          <w:tcPr>
            <w:tcW w:type="dxa" w:w="3360"/>
          </w:tcPr>
          <w:p>
            <w:r>
              <w:t>Regular / Moderate Value</w:t>
            </w:r>
          </w:p>
        </w:tc>
        <w:tc>
          <w:tcPr>
            <w:tcW w:type="dxa" w:w="3360"/>
          </w:tcPr>
          <w:p>
            <w:r>
              <w:t>Moderate recency, frequency and monetary value</w:t>
            </w:r>
          </w:p>
        </w:tc>
        <w:tc>
          <w:tcPr>
            <w:tcW w:type="dxa" w:w="3360"/>
          </w:tcPr>
          <w:p>
            <w:r>
              <w:t>Increase purchase frequency through relevant recommendations, bundles and repeat-purchase incentives</w:t>
            </w:r>
          </w:p>
        </w:tc>
      </w:tr>
      <w:tr>
        <w:tc>
          <w:tcPr>
            <w:tcW w:type="dxa" w:w="3360"/>
          </w:tcPr>
          <w:p>
            <w:r>
              <w:t>Inactive / Low Value</w:t>
            </w:r>
          </w:p>
        </w:tc>
        <w:tc>
          <w:tcPr>
            <w:tcW w:type="dxa" w:w="3360"/>
          </w:tcPr>
          <w:p>
            <w:r>
              <w:t>Longer time since purchase, low frequency and low monetary value</w:t>
            </w:r>
          </w:p>
        </w:tc>
        <w:tc>
          <w:tcPr>
            <w:tcW w:type="dxa" w:w="3360"/>
          </w:tcPr>
          <w:p>
            <w:r>
              <w:t>Targeted re-engagement; test whether incentives generate cost-effective reactivation</w:t>
            </w:r>
          </w:p>
        </w:tc>
      </w:tr>
    </w:tbl>
    <w:p>
      <w:r>
        <w:t>These are business hypotheses based on observed RFM behavior and should be validated using campaign KPIs or controlled experiments.</w:t>
      </w:r>
    </w:p>
    <w:p>
      <w:pPr>
        <w:pStyle w:val="Heading1"/>
      </w:pPr>
      <w:r>
        <w:t>18. KPI Framework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Segment</w:t>
            </w:r>
          </w:p>
        </w:tc>
        <w:tc>
          <w:tcPr>
            <w:tcW w:type="dxa" w:w="5040"/>
          </w:tcPr>
          <w:p>
            <w:r>
              <w:rPr>
                <w:b/>
              </w:rPr>
              <w:t>Suggested KPIs</w:t>
            </w:r>
          </w:p>
        </w:tc>
      </w:tr>
      <w:tr>
        <w:tc>
          <w:tcPr>
            <w:tcW w:type="dxa" w:w="5040"/>
          </w:tcPr>
          <w:p>
            <w:r>
              <w:t>Highly Active / High Value</w:t>
            </w:r>
          </w:p>
        </w:tc>
        <w:tc>
          <w:tcPr>
            <w:tcW w:type="dxa" w:w="5040"/>
          </w:tcPr>
          <w:p>
            <w:r>
              <w:t>Retention rate, repeat purchase rate, average order value, revenue/customer, purchase frequency</w:t>
            </w:r>
          </w:p>
        </w:tc>
      </w:tr>
      <w:tr>
        <w:tc>
          <w:tcPr>
            <w:tcW w:type="dxa" w:w="5040"/>
          </w:tcPr>
          <w:p>
            <w:r>
              <w:t>Regular / Moderate Value</w:t>
            </w:r>
          </w:p>
        </w:tc>
        <w:tc>
          <w:tcPr>
            <w:tcW w:type="dxa" w:w="5040"/>
          </w:tcPr>
          <w:p>
            <w:r>
              <w:t>Repeat purchase rate, frequency growth, average order value, movement toward higher-value behavior</w:t>
            </w:r>
          </w:p>
        </w:tc>
      </w:tr>
      <w:tr>
        <w:tc>
          <w:tcPr>
            <w:tcW w:type="dxa" w:w="5040"/>
          </w:tcPr>
          <w:p>
            <w:r>
              <w:t>Inactive / Low Value</w:t>
            </w:r>
          </w:p>
        </w:tc>
        <w:tc>
          <w:tcPr>
            <w:tcW w:type="dxa" w:w="5040"/>
          </w:tcPr>
          <w:p>
            <w:r>
              <w:t>Reactivation rate, campaign response, post-reactivation purchase rate, incremental revenue, marketing cost per reactivated customer</w:t>
            </w:r>
          </w:p>
        </w:tc>
      </w:tr>
    </w:tbl>
    <w:p>
      <w:pPr>
        <w:pStyle w:val="Heading1"/>
      </w:pPr>
      <w:r>
        <w:t>19. Segment Movement and Future Monitoring</w:t>
      </w:r>
    </w:p>
    <w:p>
      <w:r>
        <w:t>Segmentation can be repeated periodically. Customers may move between segments as their behavior changes. Monitoring transitions can reveal whether customers are becoming more active or less active over time.</w:t>
      </w:r>
    </w:p>
    <w:p>
      <w:pPr>
        <w:pStyle w:val="Heading1"/>
      </w:pPr>
      <w:r>
        <w:t>20. Limitations</w:t>
      </w:r>
    </w:p>
    <w:p>
      <w:pPr>
        <w:pStyle w:val="ListBullet"/>
      </w:pPr>
      <w:r>
        <w:t>Only three RFM variables are used; product preference, demographics, satisfaction and marketing response are not directly modeled.</w:t>
      </w:r>
    </w:p>
    <w:p>
      <w:pPr>
        <w:pStyle w:val="ListBullet"/>
      </w:pPr>
      <w:r>
        <w:t>The data covers a historical observation period from December 2010 to December 2011.</w:t>
      </w:r>
    </w:p>
    <w:p>
      <w:pPr>
        <w:pStyle w:val="ListBullet"/>
      </w:pPr>
      <w:r>
        <w:t>K=2 has the highest silhouette score; K=3 is a more granular business-oriented interpretation rather than the geometrically strongest solution according to silhouette alone.</w:t>
      </w:r>
    </w:p>
    <w:p>
      <w:pPr>
        <w:pStyle w:val="ListBullet"/>
      </w:pPr>
      <w:r>
        <w:t>RFM does not prove permanent churn. High Recency means the customer has not purchased recently within the observation period.</w:t>
      </w:r>
    </w:p>
    <w:p>
      <w:pPr>
        <w:pStyle w:val="ListBullet"/>
      </w:pPr>
      <w:r>
        <w:t>Extreme but legitimate transactions can influence monetary values; log transformation reduces their influence without automatically deleting them.</w:t>
      </w:r>
    </w:p>
    <w:p>
      <w:pPr>
        <w:pStyle w:val="ListBullet"/>
      </w:pPr>
      <w:r>
        <w:t>Business recommendations require KPI monitoring and experimentation before being treated as causal or proven.</w:t>
      </w:r>
    </w:p>
    <w:p>
      <w:pPr>
        <w:pStyle w:val="Heading1"/>
      </w:pPr>
      <w:r>
        <w:t>21. Conclusion</w:t>
      </w:r>
    </w:p>
    <w:p>
      <w:r>
        <w:t>The project successfully transformed transaction-level online retail data into customer-level RFM profiles and used K-Means clustering to identify distinct purchasing behaviors. After cleaning, skewness reduction and standardization, the analysis produced interpretable customer segments.</w:t>
      </w:r>
    </w:p>
    <w:p>
      <w:r>
        <w:t>The central finding is that the Highly Active / High Value group represents only 16.92% of customers but contributes 66.73% of monetary value. The segmentation therefore provides a useful framework for differentiated retention, engagement and reactivation strategies.</w:t>
      </w:r>
    </w:p>
    <w:p>
      <w:pPr>
        <w:pStyle w:val="Heading1"/>
      </w:pPr>
      <w:r>
        <w:t>22. Viva Preparation</w:t>
      </w:r>
    </w:p>
    <w:p>
      <w:r>
        <w:rPr>
          <w:b/>
        </w:rPr>
        <w:t>Q: What is RFM?</w:t>
      </w:r>
    </w:p>
    <w:p>
      <w:r>
        <w:t>A: Recency, Frequency and Monetary: how recently, how often and how much a customer purchased.</w:t>
      </w:r>
    </w:p>
    <w:p>
      <w:r>
        <w:rPr>
          <w:b/>
        </w:rPr>
        <w:t>Q: Why log1p?</w:t>
      </w:r>
    </w:p>
    <w:p>
      <w:r>
        <w:t>A: To reduce strong right-skew while safely handling zero values.</w:t>
      </w:r>
    </w:p>
    <w:p>
      <w:r>
        <w:rPr>
          <w:b/>
        </w:rPr>
        <w:t>Q: Why StandardScaler?</w:t>
      </w:r>
    </w:p>
    <w:p>
      <w:r>
        <w:t>A: K-Means relies on distance, so features need comparable scale.</w:t>
      </w:r>
    </w:p>
    <w:p>
      <w:r>
        <w:rPr>
          <w:b/>
        </w:rPr>
        <w:t>Q: Why K-Means?</w:t>
      </w:r>
    </w:p>
    <w:p>
      <w:r>
        <w:t>A: Customer segmentation is an unsupervised clustering problem and K-Means groups similar RFM profiles.</w:t>
      </w:r>
    </w:p>
    <w:p>
      <w:r>
        <w:rPr>
          <w:b/>
        </w:rPr>
        <w:t>Q: Why K=3 when K=2 has the highest silhouette?</w:t>
      </w:r>
    </w:p>
    <w:p>
      <w:r>
        <w:t>A: K=2 is strongest geometrically, but K=3 provides more granular and interpretable business profiles.</w:t>
      </w:r>
    </w:p>
    <w:p>
      <w:r>
        <w:rPr>
          <w:b/>
        </w:rPr>
        <w:t>Q: What does PCA do?</w:t>
      </w:r>
    </w:p>
    <w:p>
      <w:r>
        <w:t>A: It reduces dimensions for visualization; it was not used for clustering.</w:t>
      </w:r>
    </w:p>
    <w:p>
      <w:r>
        <w:rPr>
          <w:b/>
        </w:rPr>
        <w:t>Q: Can Segment 1 be called churned?</w:t>
      </w:r>
    </w:p>
    <w:p>
      <w:r>
        <w:t>A: No. The data shows inactive purchasing behavior, not proven permanent churn.</w:t>
      </w:r>
    </w:p>
    <w:p>
      <w:r>
        <w:rPr>
          <w:b/>
        </w:rPr>
        <w:t>Q: What is the biggest business insight?</w:t>
      </w:r>
    </w:p>
    <w:p>
      <w:r>
        <w:t>A: 16.92% of customers contribute 66.73% of monetary value.</w:t>
      </w:r>
    </w:p>
    <w:p>
      <w:pPr>
        <w:pStyle w:val="Heading1"/>
      </w:pPr>
      <w:r>
        <w:t>Appendix – Core Modeling Code</w:t>
      </w:r>
    </w:p>
    <w:p>
      <w:r>
        <w:rPr>
          <w:rFonts w:ascii="Consolas" w:hAnsi="Consolas"/>
          <w:sz w:val="17"/>
        </w:rPr>
        <w:t>from sklearn.cluster import KMeans</w:t>
        <w:br/>
        <w:br/>
        <w:t>kmeans = KMeans(</w:t>
        <w:br/>
        <w:t xml:space="preserve">    n_clusters=3,</w:t>
        <w:br/>
        <w:t xml:space="preserve">    random_state=42,</w:t>
        <w:br/>
        <w:t xml:space="preserve">    n_init=10</w:t>
        <w:br/>
        <w:t>)</w:t>
        <w:br/>
        <w:br/>
        <w:t>rfm["Cluster_3"] = kmeans.fit_predict(rfm_scaled)</w:t>
      </w:r>
    </w:p>
    <w:sectPr w:rsidR="00FC693F" w:rsidRPr="0006063C" w:rsidSect="00034616">
      <w:footerReference w:type="default" r:id="rId13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Online Retail Customer Segmentation | Capstone Documentation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