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Cambria" w:cs="Cambria" w:eastAsia="Cambria" w:hAnsi="Cambria"/>
          <w:b w:val="1"/>
          <w:color w:val="434343"/>
          <w:sz w:val="18"/>
          <w:szCs w:val="18"/>
        </w:rPr>
      </w:pPr>
      <w:bookmarkStart w:colFirst="0" w:colLast="0" w:name="_653j96bam1lx" w:id="0"/>
      <w:bookmarkEnd w:id="0"/>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color w:val="073763"/>
          <w:sz w:val="30"/>
          <w:szCs w:val="30"/>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- 2</w:t>
      </w:r>
    </w:p>
    <w:p w:rsidR="00000000" w:rsidDel="00000000" w:rsidP="00000000" w:rsidRDefault="00000000" w:rsidRPr="00000000" w14:paraId="00000008">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- 16-02-2022</w:t>
      </w:r>
    </w:p>
    <w:p w:rsidR="00000000" w:rsidDel="00000000" w:rsidP="00000000" w:rsidRDefault="00000000" w:rsidRPr="00000000" w14:paraId="0000000A">
      <w:pPr>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jc w:val="left"/>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jc w:val="left"/>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rPr>
          <w:color w:val="073763"/>
          <w:highlight w:val="yellow"/>
        </w:rPr>
      </w:pPr>
      <w:r w:rsidDel="00000000" w:rsidR="00000000" w:rsidRPr="00000000">
        <w:rPr>
          <w:rtl w:val="0"/>
        </w:rPr>
      </w:r>
    </w:p>
    <w:p w:rsidR="00000000" w:rsidDel="00000000" w:rsidP="00000000" w:rsidRDefault="00000000" w:rsidRPr="00000000" w14:paraId="00000017">
      <w:pPr>
        <w:rPr>
          <w:color w:val="20124d"/>
          <w:highlight w:val="yellow"/>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0124d"/>
          <w:sz w:val="32"/>
          <w:szCs w:val="32"/>
        </w:rPr>
      </w:pPr>
      <w:r w:rsidDel="00000000" w:rsidR="00000000" w:rsidRPr="00000000">
        <w:rPr>
          <w:rFonts w:ascii="Times New Roman" w:cs="Times New Roman" w:eastAsia="Times New Roman" w:hAnsi="Times New Roman"/>
          <w:b w:val="1"/>
          <w:color w:val="980000"/>
          <w:sz w:val="32"/>
          <w:szCs w:val="32"/>
          <w:rtl w:val="0"/>
        </w:rPr>
        <w:t xml:space="preserve">Task Performed this week</w:t>
      </w:r>
      <w:r w:rsidDel="00000000" w:rsidR="00000000" w:rsidRPr="00000000">
        <w:rPr>
          <w:rFonts w:ascii="Times New Roman" w:cs="Times New Roman" w:eastAsia="Times New Roman" w:hAnsi="Times New Roman"/>
          <w:b w:val="1"/>
          <w:color w:val="20124d"/>
          <w:sz w:val="32"/>
          <w:szCs w:val="32"/>
          <w:rtl w:val="0"/>
        </w:rPr>
        <w:t xml:space="preserve"> </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Interpretation of the obtained results on understanding data</w:t>
      </w:r>
    </w:p>
    <w:p w:rsidR="00000000" w:rsidDel="00000000" w:rsidP="00000000" w:rsidRDefault="00000000" w:rsidRPr="00000000" w14:paraId="0000001B">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below graphs interpret that the number of cylinders contributing to the Co2 emissions which is for 7385 light-duty vehicles and to what extent a small or larger number affect the emissions as shown below respectively.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5713" cy="1885950"/>
            <wp:effectExtent b="12700" l="12700" r="12700" t="12700"/>
            <wp:docPr id="2" name="image2.png"/>
            <a:graphic>
              <a:graphicData uri="http://schemas.openxmlformats.org/drawingml/2006/picture">
                <pic:pic>
                  <pic:nvPicPr>
                    <pic:cNvPr id="0" name="image2.png"/>
                    <pic:cNvPicPr preferRelativeResize="0"/>
                  </pic:nvPicPr>
                  <pic:blipFill>
                    <a:blip r:embed="rId7"/>
                    <a:srcRect b="2884" l="17085" r="9887" t="1923"/>
                    <a:stretch>
                      <a:fillRect/>
                    </a:stretch>
                  </pic:blipFill>
                  <pic:spPr>
                    <a:xfrm>
                      <a:off x="0" y="0"/>
                      <a:ext cx="3795713" cy="1885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type of CO2 emissions collectively has taken the percentage by what type of cars is interpreted as shown below which may help us in further interpretation of data.</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Pr>
        <w:drawing>
          <wp:inline distB="114300" distT="114300" distL="114300" distR="114300">
            <wp:extent cx="3738563" cy="2305050"/>
            <wp:effectExtent b="12700" l="12700" r="12700" t="12700"/>
            <wp:docPr id="5" name="image1.png"/>
            <a:graphic>
              <a:graphicData uri="http://schemas.openxmlformats.org/drawingml/2006/picture">
                <pic:pic>
                  <pic:nvPicPr>
                    <pic:cNvPr id="0" name="image1.png"/>
                    <pic:cNvPicPr preferRelativeResize="0"/>
                  </pic:nvPicPr>
                  <pic:blipFill>
                    <a:blip r:embed="rId8"/>
                    <a:srcRect b="0" l="31089" r="6140" t="4949"/>
                    <a:stretch>
                      <a:fillRect/>
                    </a:stretch>
                  </pic:blipFill>
                  <pic:spPr>
                    <a:xfrm>
                      <a:off x="0" y="0"/>
                      <a:ext cx="3738563" cy="2305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 preparation and division into train, test, validation.</w:t>
      </w:r>
    </w:p>
    <w:p w:rsidR="00000000" w:rsidDel="00000000" w:rsidP="00000000" w:rsidRDefault="00000000" w:rsidRPr="00000000" w14:paraId="00000025">
      <w:pPr>
        <w:ind w:left="0" w:firstLine="0"/>
        <w:jc w:val="left"/>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matrix table shows correlation coefficients between variables. Each cell value shows the correlation between two random variables. This matrix used to summarize data as an input into more advanced analysis.</w:t>
      </w:r>
    </w:p>
    <w:p w:rsidR="00000000" w:rsidDel="00000000" w:rsidP="00000000" w:rsidRDefault="00000000" w:rsidRPr="00000000" w14:paraId="00000027">
      <w:pPr>
        <w:numPr>
          <w:ilvl w:val="0"/>
          <w:numId w:val="2"/>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diagonal of 1.0000s shows that each variable always perfectly correlates with itself. This matrix is symmetric. The same correlation is shown above the main diagonal being a mirror image of those below the diagonal.</w:t>
      </w:r>
    </w:p>
    <w:p w:rsidR="00000000" w:rsidDel="00000000" w:rsidP="00000000" w:rsidRDefault="00000000" w:rsidRPr="00000000" w14:paraId="00000028">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a summary of a huge amount of data with the purpose of identifying patterns. The observable pattern in our example is that all of the variables are significantly correlated.</w:t>
      </w:r>
    </w:p>
    <w:p w:rsidR="00000000" w:rsidDel="00000000" w:rsidP="00000000" w:rsidRDefault="00000000" w:rsidRPr="00000000" w14:paraId="0000002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48438" cy="17526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48438" cy="175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2880" w:firstLine="0"/>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b w:val="1"/>
          <w:color w:val="980000"/>
          <w:sz w:val="24"/>
          <w:szCs w:val="24"/>
          <w:rtl w:val="0"/>
        </w:rPr>
        <w:t xml:space="preserve">                 </w:t>
      </w:r>
      <w:r w:rsidDel="00000000" w:rsidR="00000000" w:rsidRPr="00000000">
        <w:rPr>
          <w:rFonts w:ascii="Times New Roman" w:cs="Times New Roman" w:eastAsia="Times New Roman" w:hAnsi="Times New Roman"/>
          <w:b w:val="1"/>
          <w:color w:val="980000"/>
          <w:sz w:val="26"/>
          <w:szCs w:val="26"/>
          <w:rtl w:val="0"/>
        </w:rPr>
        <w:t xml:space="preserve">Correlation Matrix</w:t>
      </w:r>
      <w:r w:rsidDel="00000000" w:rsidR="00000000" w:rsidRPr="00000000">
        <w:rPr>
          <w:rFonts w:ascii="Times New Roman" w:cs="Times New Roman" w:eastAsia="Times New Roman" w:hAnsi="Times New Roman"/>
          <w:b w:val="1"/>
          <w:color w:val="980000"/>
          <w:sz w:val="24"/>
          <w:szCs w:val="24"/>
          <w:rtl w:val="0"/>
        </w:rPr>
        <w:t xml:space="preserve"> </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engine size (power of engine) of a car affects the CO2 emissions.</w:t>
      </w:r>
    </w:p>
    <w:p w:rsidR="00000000" w:rsidDel="00000000" w:rsidP="00000000" w:rsidRDefault="00000000" w:rsidRPr="00000000" w14:paraId="0000002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w:t>
      </w:r>
      <w:r w:rsidDel="00000000" w:rsidR="00000000" w:rsidRPr="00000000">
        <w:rPr>
          <w:rFonts w:ascii="Times New Roman" w:cs="Times New Roman" w:eastAsia="Times New Roman" w:hAnsi="Times New Roman"/>
          <w:sz w:val="24"/>
          <w:szCs w:val="24"/>
          <w:highlight w:val="white"/>
          <w:rtl w:val="0"/>
        </w:rPr>
        <w:t xml:space="preserve">J Mater Environ Sci.com. 2022. [online] Available at: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https://www.jmaterenvironsci.com/Document/vol11/vol11_N2/JMES-2020-11-18-Al-Arkawazi.pdf</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[Accessed 16 February 2022].</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splitted into two parts.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feature vector is defined (given the variable name) </w:t>
      </w:r>
      <w:r w:rsidDel="00000000" w:rsidR="00000000" w:rsidRPr="00000000">
        <w:rPr>
          <w:rFonts w:ascii="Times New Roman" w:cs="Times New Roman" w:eastAsia="Times New Roman" w:hAnsi="Times New Roman"/>
          <w:sz w:val="24"/>
          <w:szCs w:val="24"/>
          <w:rtl w:val="0"/>
        </w:rPr>
        <w:t xml:space="preserve">as engine</w:t>
      </w:r>
      <w:r w:rsidDel="00000000" w:rsidR="00000000" w:rsidRPr="00000000">
        <w:rPr>
          <w:rFonts w:ascii="Times New Roman" w:cs="Times New Roman" w:eastAsia="Times New Roman" w:hAnsi="Times New Roman"/>
          <w:sz w:val="24"/>
          <w:szCs w:val="24"/>
          <w:rtl w:val="0"/>
        </w:rPr>
        <w:t xml:space="preserve"> which contains Engine Size(L).</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CO2 emissions(g/km) is defined as co2.</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train_test_split data is splitted into train dataset and test dataset.</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is the scatter plot of the correlation between features of train dataset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2105025"/>
            <wp:effectExtent b="12700" l="12700" r="12700" t="12700"/>
            <wp:docPr id="4" name="image3.png"/>
            <a:graphic>
              <a:graphicData uri="http://schemas.openxmlformats.org/drawingml/2006/picture">
                <pic:pic>
                  <pic:nvPicPr>
                    <pic:cNvPr id="0" name="image3.png"/>
                    <pic:cNvPicPr preferRelativeResize="0"/>
                  </pic:nvPicPr>
                  <pic:blipFill>
                    <a:blip r:embed="rId11"/>
                    <a:srcRect b="29866" l="6835" r="68072" t="40408"/>
                    <a:stretch>
                      <a:fillRect/>
                    </a:stretch>
                  </pic:blipFill>
                  <pic:spPr>
                    <a:xfrm>
                      <a:off x="0" y="0"/>
                      <a:ext cx="3162300" cy="2105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color w:val="980000"/>
          <w:sz w:val="26"/>
          <w:szCs w:val="26"/>
        </w:rPr>
      </w:pPr>
      <w:r w:rsidDel="00000000" w:rsidR="00000000" w:rsidRPr="00000000">
        <w:rPr>
          <w:rFonts w:ascii="Times New Roman" w:cs="Times New Roman" w:eastAsia="Times New Roman" w:hAnsi="Times New Roman"/>
          <w:b w:val="1"/>
          <w:color w:val="980000"/>
          <w:sz w:val="26"/>
          <w:szCs w:val="26"/>
          <w:rtl w:val="0"/>
        </w:rPr>
        <w:t xml:space="preserve">Studying the correlation between Engine size and CO2 emissions</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jc w:val="left"/>
        <w:rPr>
          <w:rFonts w:ascii="Times New Roman" w:cs="Times New Roman" w:eastAsia="Times New Roman" w:hAnsi="Times New Roman"/>
          <w:b w:val="1"/>
          <w:sz w:val="30"/>
          <w:szCs w:val="30"/>
          <w:highlight w:val="white"/>
          <w:u w:val="none"/>
        </w:rPr>
      </w:pPr>
      <w:r w:rsidDel="00000000" w:rsidR="00000000" w:rsidRPr="00000000">
        <w:rPr>
          <w:rFonts w:ascii="Times New Roman" w:cs="Times New Roman" w:eastAsia="Times New Roman" w:hAnsi="Times New Roman"/>
          <w:b w:val="1"/>
          <w:sz w:val="30"/>
          <w:szCs w:val="30"/>
          <w:highlight w:val="white"/>
          <w:u w:val="single"/>
          <w:rtl w:val="0"/>
        </w:rPr>
        <w:t xml:space="preserve">Important Links</w:t>
      </w:r>
    </w:p>
    <w:p w:rsidR="00000000" w:rsidDel="00000000" w:rsidP="00000000" w:rsidRDefault="00000000" w:rsidRPr="00000000" w14:paraId="0000003F">
      <w:pPr>
        <w:ind w:lef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0">
      <w:pPr>
        <w:numPr>
          <w:ilvl w:val="0"/>
          <w:numId w:val="5"/>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 2022. </w:t>
      </w:r>
      <w:r w:rsidDel="00000000" w:rsidR="00000000" w:rsidRPr="00000000">
        <w:rPr>
          <w:rFonts w:ascii="Times New Roman" w:cs="Times New Roman" w:eastAsia="Times New Roman" w:hAnsi="Times New Roman"/>
          <w:i w:val="1"/>
          <w:sz w:val="24"/>
          <w:szCs w:val="24"/>
          <w:highlight w:val="white"/>
          <w:rtl w:val="0"/>
        </w:rPr>
        <w:t xml:space="preserve">Machine Learning Concept behind Linear Regression</w:t>
      </w:r>
      <w:r w:rsidDel="00000000" w:rsidR="00000000" w:rsidRPr="00000000">
        <w:rPr>
          <w:rFonts w:ascii="Times New Roman" w:cs="Times New Roman" w:eastAsia="Times New Roman" w:hAnsi="Times New Roman"/>
          <w:sz w:val="24"/>
          <w:szCs w:val="24"/>
          <w:highlight w:val="white"/>
          <w:rtl w:val="0"/>
        </w:rPr>
        <w:t xml:space="preserve">. [online] Available at: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https://towardsdatascience.com/how-machine-learns-from-data-a-simple-method-for-co2-pollution-prediction-af18430ce12b</w:t>
        </w:r>
      </w:hyperlink>
      <w:r w:rsidDel="00000000" w:rsidR="00000000" w:rsidRPr="00000000">
        <w:rPr>
          <w:rtl w:val="0"/>
        </w:rPr>
      </w:r>
    </w:p>
    <w:p w:rsidR="00000000" w:rsidDel="00000000" w:rsidP="00000000" w:rsidRDefault="00000000" w:rsidRPr="00000000" w14:paraId="00000041">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[Accessed 16 February 2022].</w:t>
      </w:r>
    </w:p>
    <w:p w:rsidR="00000000" w:rsidDel="00000000" w:rsidP="00000000" w:rsidRDefault="00000000" w:rsidRPr="00000000" w14:paraId="00000042">
      <w:pPr>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numPr>
          <w:ilvl w:val="0"/>
          <w:numId w:val="10"/>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 2022. </w:t>
      </w:r>
      <w:r w:rsidDel="00000000" w:rsidR="00000000" w:rsidRPr="00000000">
        <w:rPr>
          <w:rFonts w:ascii="Times New Roman" w:cs="Times New Roman" w:eastAsia="Times New Roman" w:hAnsi="Times New Roman"/>
          <w:i w:val="1"/>
          <w:sz w:val="24"/>
          <w:szCs w:val="24"/>
          <w:highlight w:val="white"/>
          <w:rtl w:val="0"/>
        </w:rPr>
        <w:t xml:space="preserve">Machine Learning Concept behind Linear Regression</w:t>
      </w:r>
      <w:r w:rsidDel="00000000" w:rsidR="00000000" w:rsidRPr="00000000">
        <w:rPr>
          <w:rFonts w:ascii="Times New Roman" w:cs="Times New Roman" w:eastAsia="Times New Roman" w:hAnsi="Times New Roman"/>
          <w:sz w:val="24"/>
          <w:szCs w:val="24"/>
          <w:highlight w:val="white"/>
          <w:rtl w:val="0"/>
        </w:rPr>
        <w:t xml:space="preserve">. [online] Available at: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https://towardsdatascience.com/how-machine-learns-from-data-a-simple-method-for-co2-pollution-prediction-af18430ce12b</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[Accessed 16 February 2022].</w:t>
      </w:r>
    </w:p>
    <w:p w:rsidR="00000000" w:rsidDel="00000000" w:rsidP="00000000" w:rsidRDefault="00000000" w:rsidRPr="00000000" w14:paraId="00000044">
      <w:pPr>
        <w:ind w:left="72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5">
      <w:pP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color w:val="980000"/>
          <w:sz w:val="32"/>
          <w:szCs w:val="32"/>
        </w:rPr>
      </w:pPr>
      <w:r w:rsidDel="00000000" w:rsidR="00000000" w:rsidRPr="00000000">
        <w:rPr>
          <w:rFonts w:ascii="Times New Roman" w:cs="Times New Roman" w:eastAsia="Times New Roman" w:hAnsi="Times New Roman"/>
          <w:b w:val="1"/>
          <w:color w:val="980000"/>
          <w:sz w:val="32"/>
          <w:szCs w:val="32"/>
          <w:rtl w:val="0"/>
        </w:rPr>
        <w:t xml:space="preserve">Tasks to be Performed Next Week</w:t>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color w:val="0000ff"/>
          <w:sz w:val="32"/>
          <w:szCs w:val="32"/>
        </w:rPr>
      </w:pPr>
      <w:r w:rsidDel="00000000" w:rsidR="00000000" w:rsidRPr="00000000">
        <w:rPr>
          <w:rtl w:val="0"/>
        </w:rPr>
      </w:r>
    </w:p>
    <w:p w:rsidR="00000000" w:rsidDel="00000000" w:rsidP="00000000" w:rsidRDefault="00000000" w:rsidRPr="00000000" w14:paraId="00000048">
      <w:pPr>
        <w:numPr>
          <w:ilvl w:val="0"/>
          <w:numId w:val="8"/>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Classification model based on the existing columns in data</w:t>
      </w:r>
    </w:p>
    <w:p w:rsidR="00000000" w:rsidDel="00000000" w:rsidP="00000000" w:rsidRDefault="00000000" w:rsidRPr="00000000" w14:paraId="00000049">
      <w:pPr>
        <w:numPr>
          <w:ilvl w:val="0"/>
          <w:numId w:val="8"/>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to  incorporate Linear Regression with the data 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jmaterenvironsci.com/Document/vol11/vol11_N2/JMES-2020-11-18-Al-Arkawazi.pdf" TargetMode="External"/><Relationship Id="rId13" Type="http://schemas.openxmlformats.org/officeDocument/2006/relationships/hyperlink" Target="https://towardsdatascience.com/how-machine-learns-from-data-a-simple-method-for-co2-pollution-prediction-af18430ce12b" TargetMode="External"/><Relationship Id="rId12" Type="http://schemas.openxmlformats.org/officeDocument/2006/relationships/hyperlink" Target="https://towardsdatascience.com/how-machine-learns-from-data-a-simple-method-for-co2-pollution-prediction-af18430ce12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