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EE429" w14:textId="77777777" w:rsidR="005C4EDE" w:rsidRDefault="00000000">
      <w:pPr>
        <w:spacing w:after="101" w:line="259" w:lineRule="auto"/>
        <w:ind w:left="0" w:right="20" w:firstLine="0"/>
        <w:jc w:val="center"/>
      </w:pPr>
      <w:r>
        <w:rPr>
          <w:rFonts w:ascii="Calibri" w:eastAsia="Calibri" w:hAnsi="Calibri" w:cs="Calibri"/>
          <w:color w:val="595959"/>
        </w:rPr>
        <w:t xml:space="preserve">INSIGHTS </w:t>
      </w:r>
    </w:p>
    <w:p w14:paraId="4213D26F" w14:textId="77777777" w:rsidR="005C4EDE" w:rsidRDefault="00000000">
      <w:pPr>
        <w:spacing w:after="223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0D7CC87D" w14:textId="77777777" w:rsidR="005C4EDE" w:rsidRDefault="00000000">
      <w:pPr>
        <w:numPr>
          <w:ilvl w:val="0"/>
          <w:numId w:val="1"/>
        </w:numPr>
        <w:ind w:right="-9" w:hanging="360"/>
      </w:pPr>
      <w:r>
        <w:t xml:space="preserve">The “Set” category generates the highest total sales, making it the main revenue-driving product category. This highlights strong customer demand and suggests that focusing on this category could further boost overall sales. </w:t>
      </w:r>
    </w:p>
    <w:p w14:paraId="072426ED" w14:textId="77777777" w:rsidR="005C4EDE" w:rsidRDefault="00000000">
      <w:pPr>
        <w:numPr>
          <w:ilvl w:val="0"/>
          <w:numId w:val="1"/>
        </w:numPr>
        <w:ind w:right="-9" w:hanging="360"/>
      </w:pPr>
      <w:r>
        <w:t xml:space="preserve">Maharashtra emerges as the highest revenue-generating state, while several North-Eastern states contribute comparatively less to total sales. This indicates a concentration of demand in specific regions and potential growth opportunities in underperforming areas. </w:t>
      </w:r>
    </w:p>
    <w:p w14:paraId="10F5F877" w14:textId="77777777" w:rsidR="005C4EDE" w:rsidRDefault="00000000">
      <w:pPr>
        <w:numPr>
          <w:ilvl w:val="0"/>
          <w:numId w:val="1"/>
        </w:numPr>
        <w:ind w:right="-9" w:hanging="360"/>
      </w:pPr>
      <w:r>
        <w:t xml:space="preserve">Amazon-fulfilled orders account for a larger share of total sales compared to merchant-fulfilled orders, suggesting that faster delivery and greater trust in Amazon’s logistics positively influence customer purchasing behaviour. </w:t>
      </w:r>
    </w:p>
    <w:p w14:paraId="4749A0B5" w14:textId="77777777" w:rsidR="005C4EDE" w:rsidRDefault="00000000">
      <w:pPr>
        <w:numPr>
          <w:ilvl w:val="0"/>
          <w:numId w:val="1"/>
        </w:numPr>
        <w:ind w:right="-9" w:hanging="360"/>
      </w:pPr>
      <w:r>
        <w:t xml:space="preserve">When the data is filtered to show only B2B orders, total sales drop significantly, indicating that the majority of Amazon’s sales are driven by B2C customers rather than business buyers. </w:t>
      </w:r>
    </w:p>
    <w:p w14:paraId="6EA7116C" w14:textId="77777777" w:rsidR="005C4EDE" w:rsidRDefault="00000000">
      <w:pPr>
        <w:numPr>
          <w:ilvl w:val="0"/>
          <w:numId w:val="1"/>
        </w:numPr>
        <w:ind w:right="-9" w:hanging="360"/>
      </w:pPr>
      <w:r>
        <w:t xml:space="preserve">The average profit margin remains consistent across all product categories, which suggests a uniform pricing strategy or similar cost structures across the product range. </w:t>
      </w:r>
    </w:p>
    <w:p w14:paraId="1A545BFD" w14:textId="77777777" w:rsidR="005C4EDE" w:rsidRDefault="00000000">
      <w:pPr>
        <w:numPr>
          <w:ilvl w:val="0"/>
          <w:numId w:val="1"/>
        </w:numPr>
        <w:spacing w:after="106"/>
        <w:ind w:right="-9" w:hanging="360"/>
      </w:pPr>
      <w:r>
        <w:t>The sales chart clearly demonstrates that the “Set” category significantly outperforms other product categories, reinforcing its importance as the strongest contributor to overall sales</w:t>
      </w:r>
      <w:r>
        <w:rPr>
          <w:rFonts w:ascii="Calibri" w:eastAsia="Calibri" w:hAnsi="Calibri" w:cs="Calibri"/>
          <w:sz w:val="22"/>
        </w:rPr>
        <w:t xml:space="preserve">. </w:t>
      </w:r>
    </w:p>
    <w:p w14:paraId="3159C736" w14:textId="77777777" w:rsidR="005C4EDE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sectPr w:rsidR="005C4EDE">
      <w:pgSz w:w="11906" w:h="16838"/>
      <w:pgMar w:top="1440" w:right="144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B7039"/>
    <w:multiLevelType w:val="hybridMultilevel"/>
    <w:tmpl w:val="4332665C"/>
    <w:lvl w:ilvl="0" w:tplc="2DDE22C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78074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5584A8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48300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E229D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52BBA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30C7CF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74C6C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54EBE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3929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EDE"/>
    <w:rsid w:val="000E5001"/>
    <w:rsid w:val="005C4EDE"/>
    <w:rsid w:val="00BD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30E9F"/>
  <w15:docId w15:val="{7F3E44CB-CC5E-42EF-AA48-6C81CB352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57" w:lineRule="auto"/>
      <w:ind w:left="730" w:right="3" w:hanging="37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Chaurasiya</dc:creator>
  <cp:keywords/>
  <cp:lastModifiedBy>Sakshi Chaurasiya</cp:lastModifiedBy>
  <cp:revision>2</cp:revision>
  <dcterms:created xsi:type="dcterms:W3CDTF">2026-01-16T14:37:00Z</dcterms:created>
  <dcterms:modified xsi:type="dcterms:W3CDTF">2026-01-16T14:37:00Z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0ccb23c3-87d0-409d-8822-bb4f8db0b0e6</vt:lpwstr>
  </property>
</Properties>
</file>