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1110"/>
          <w:tab w:val="center" w:leader="none" w:pos="4225"/>
        </w:tabs>
        <w:spacing w:after="0" w:lineRule="auto"/>
        <w:ind w:left="0" w:hanging="2"/>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ab/>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-232409</wp:posOffset>
                </wp:positionV>
                <wp:extent cx="3190875" cy="2010709"/>
                <wp:effectExtent b="0" l="0" r="0" t="0"/>
                <wp:wrapNone/>
                <wp:docPr id="1043" name=""/>
                <a:graphic>
                  <a:graphicData uri="http://schemas.microsoft.com/office/word/2010/wordprocessingShape">
                    <wps:wsp>
                      <wps:cNvSpPr/>
                      <wps:cNvPr id="2" name="Shape 2"/>
                      <wps:spPr>
                        <a:xfrm>
                          <a:off x="3754373" y="2803370"/>
                          <a:ext cx="3183255" cy="19532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5</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-232409</wp:posOffset>
                </wp:positionV>
                <wp:extent cx="3190875" cy="2010709"/>
                <wp:effectExtent b="0" l="0" r="0" t="0"/>
                <wp:wrapNone/>
                <wp:docPr id="104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90875" cy="2010709"/>
                        </a:xfrm>
                        <a:prstGeom prst="rect"/>
                        <a:ln/>
                      </pic:spPr>
                    </pic:pic>
                  </a:graphicData>
                </a:graphic>
              </wp:anchor>
            </w:drawing>
          </mc:Fallback>
        </mc:AlternateConten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ffffff" w:val="clear"/>
        <w:spacing w:after="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1"/>
        <w:tblW w:w="80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9"/>
        <w:tblGridChange w:id="0">
          <w:tblGrid>
            <w:gridCol w:w="8009"/>
          </w:tblGrid>
        </w:tblGridChange>
      </w:tblGrid>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9">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Implementation of  IEEE-754 floating point representation</w:t>
            </w:r>
            <w:r w:rsidDel="00000000" w:rsidR="00000000" w:rsidRPr="00000000">
              <w:rPr>
                <w:rtl w:val="0"/>
              </w:rPr>
            </w:r>
          </w:p>
        </w:tc>
      </w:tr>
    </w:tbl>
    <w:p w:rsidR="00000000" w:rsidDel="00000000" w:rsidP="00000000" w:rsidRDefault="00000000" w:rsidRPr="00000000" w14:paraId="0000000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demonstrate the single and double precision formats to represent floating point numbers.</w:t>
      </w:r>
    </w:p>
    <w:p w:rsidR="00000000" w:rsidDel="00000000" w:rsidP="00000000" w:rsidRDefault="00000000" w:rsidRPr="00000000" w14:paraId="0000000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D">
      <w:pPr>
        <w:spacing w:before="24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(Mention CO attained here)</w:t>
      </w:r>
    </w:p>
    <w:p w:rsidR="00000000" w:rsidDel="00000000" w:rsidP="00000000" w:rsidRDefault="00000000" w:rsidRPr="00000000" w14:paraId="0000000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and define the structure of a computer with buses structure and detail</w:t>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working of the arithmetic logic unit and its sub modules</w:t>
      </w:r>
      <w:r w:rsidDel="00000000" w:rsidR="00000000" w:rsidRPr="00000000">
        <w:rPr>
          <w:rtl w:val="0"/>
        </w:rPr>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11">
      <w:pPr>
        <w:spacing w:before="24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2">
      <w:pPr>
        <w:numPr>
          <w:ilvl w:val="0"/>
          <w:numId w:val="1"/>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Carl Hamacher, Zvonko Vranesic and Safwat Zaky, “Computer Organization”, Fifth Edition, TataMcGraw-Hill.</w:t>
      </w:r>
    </w:p>
    <w:p w:rsidR="00000000" w:rsidDel="00000000" w:rsidP="00000000" w:rsidRDefault="00000000" w:rsidRPr="00000000" w14:paraId="00000013">
      <w:pPr>
        <w:numPr>
          <w:ilvl w:val="0"/>
          <w:numId w:val="1"/>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William Stallings, “Computer Organization and Architecture: Designing for       Performance”, Eighth Edition, Pearson.</w:t>
      </w:r>
    </w:p>
    <w:p w:rsidR="00000000" w:rsidDel="00000000" w:rsidP="00000000" w:rsidRDefault="00000000" w:rsidRPr="00000000" w14:paraId="00000014">
      <w:pPr>
        <w:widowControl w:val="0"/>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5">
      <w:pPr>
        <w:spacing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IEEE Standard for Floating-Point Arithmetic (IEEE 754) is a </w:t>
      </w:r>
      <w:hyperlink r:id="rId8">
        <w:r w:rsidDel="00000000" w:rsidR="00000000" w:rsidRPr="00000000">
          <w:rPr>
            <w:rFonts w:ascii="Times New Roman" w:cs="Times New Roman" w:eastAsia="Times New Roman" w:hAnsi="Times New Roman"/>
            <w:color w:val="000000"/>
            <w:sz w:val="24"/>
            <w:szCs w:val="24"/>
            <w:rtl w:val="0"/>
          </w:rPr>
          <w:t xml:space="preserve">technical standard</w:t>
        </w:r>
      </w:hyperlink>
      <w:r w:rsidDel="00000000" w:rsidR="00000000" w:rsidRPr="00000000">
        <w:rPr>
          <w:rFonts w:ascii="Times New Roman" w:cs="Times New Roman" w:eastAsia="Times New Roman" w:hAnsi="Times New Roman"/>
          <w:sz w:val="24"/>
          <w:szCs w:val="24"/>
          <w:rtl w:val="0"/>
        </w:rPr>
        <w:t xml:space="preserve"> for </w:t>
      </w:r>
      <w:hyperlink r:id="rId9">
        <w:r w:rsidDel="00000000" w:rsidR="00000000" w:rsidRPr="00000000">
          <w:rPr>
            <w:rFonts w:ascii="Times New Roman" w:cs="Times New Roman" w:eastAsia="Times New Roman" w:hAnsi="Times New Roman"/>
            <w:color w:val="000000"/>
            <w:sz w:val="24"/>
            <w:szCs w:val="24"/>
            <w:rtl w:val="0"/>
          </w:rPr>
          <w:t xml:space="preserve">floating-point</w:t>
        </w:r>
      </w:hyperlink>
      <w:r w:rsidDel="00000000" w:rsidR="00000000" w:rsidRPr="00000000">
        <w:rPr>
          <w:rFonts w:ascii="Times New Roman" w:cs="Times New Roman" w:eastAsia="Times New Roman" w:hAnsi="Times New Roman"/>
          <w:sz w:val="24"/>
          <w:szCs w:val="24"/>
          <w:rtl w:val="0"/>
        </w:rPr>
        <w:t xml:space="preserve"> computation established in 1985 by the </w:t>
      </w:r>
      <w:hyperlink r:id="rId10">
        <w:r w:rsidDel="00000000" w:rsidR="00000000" w:rsidRPr="00000000">
          <w:rPr>
            <w:rFonts w:ascii="Times New Roman" w:cs="Times New Roman" w:eastAsia="Times New Roman" w:hAnsi="Times New Roman"/>
            <w:color w:val="000000"/>
            <w:sz w:val="24"/>
            <w:szCs w:val="24"/>
            <w:rtl w:val="0"/>
          </w:rPr>
          <w:t xml:space="preserve">Institute of Electrical and Electronics Engineers</w:t>
        </w:r>
      </w:hyperlink>
      <w:r w:rsidDel="00000000" w:rsidR="00000000" w:rsidRPr="00000000">
        <w:rPr>
          <w:rFonts w:ascii="Times New Roman" w:cs="Times New Roman" w:eastAsia="Times New Roman" w:hAnsi="Times New Roman"/>
          <w:sz w:val="24"/>
          <w:szCs w:val="24"/>
          <w:rtl w:val="0"/>
        </w:rPr>
        <w:t xml:space="preserve"> (IEEE). The standard </w:t>
      </w:r>
      <w:hyperlink r:id="rId11">
        <w:r w:rsidDel="00000000" w:rsidR="00000000" w:rsidRPr="00000000">
          <w:rPr>
            <w:rFonts w:ascii="Times New Roman" w:cs="Times New Roman" w:eastAsia="Times New Roman" w:hAnsi="Times New Roman"/>
            <w:color w:val="000000"/>
            <w:sz w:val="24"/>
            <w:szCs w:val="24"/>
            <w:rtl w:val="0"/>
          </w:rPr>
          <w:t xml:space="preserve">addressed many problems</w:t>
        </w:r>
      </w:hyperlink>
      <w:r w:rsidDel="00000000" w:rsidR="00000000" w:rsidRPr="00000000">
        <w:rPr>
          <w:rFonts w:ascii="Times New Roman" w:cs="Times New Roman" w:eastAsia="Times New Roman" w:hAnsi="Times New Roman"/>
          <w:sz w:val="24"/>
          <w:szCs w:val="24"/>
          <w:rtl w:val="0"/>
        </w:rPr>
        <w:t xml:space="preserve"> found in the diverse floating point implementations that made them difficult to use reliably and </w:t>
      </w:r>
      <w:hyperlink r:id="rId12">
        <w:r w:rsidDel="00000000" w:rsidR="00000000" w:rsidRPr="00000000">
          <w:rPr>
            <w:rFonts w:ascii="Times New Roman" w:cs="Times New Roman" w:eastAsia="Times New Roman" w:hAnsi="Times New Roman"/>
            <w:color w:val="000000"/>
            <w:sz w:val="24"/>
            <w:szCs w:val="24"/>
            <w:rtl w:val="0"/>
          </w:rPr>
          <w:t xml:space="preserve">portably</w:t>
        </w:r>
      </w:hyperlink>
      <w:r w:rsidDel="00000000" w:rsidR="00000000" w:rsidRPr="00000000">
        <w:rPr>
          <w:rFonts w:ascii="Times New Roman" w:cs="Times New Roman" w:eastAsia="Times New Roman" w:hAnsi="Times New Roman"/>
          <w:sz w:val="24"/>
          <w:szCs w:val="24"/>
          <w:rtl w:val="0"/>
        </w:rPr>
        <w:t xml:space="preserve">. Many hardware </w:t>
      </w:r>
      <w:hyperlink r:id="rId13">
        <w:r w:rsidDel="00000000" w:rsidR="00000000" w:rsidRPr="00000000">
          <w:rPr>
            <w:rFonts w:ascii="Times New Roman" w:cs="Times New Roman" w:eastAsia="Times New Roman" w:hAnsi="Times New Roman"/>
            <w:color w:val="000000"/>
            <w:sz w:val="24"/>
            <w:szCs w:val="24"/>
            <w:rtl w:val="0"/>
          </w:rPr>
          <w:t xml:space="preserve">floating point units</w:t>
        </w:r>
      </w:hyperlink>
      <w:r w:rsidDel="00000000" w:rsidR="00000000" w:rsidRPr="00000000">
        <w:rPr>
          <w:rFonts w:ascii="Times New Roman" w:cs="Times New Roman" w:eastAsia="Times New Roman" w:hAnsi="Times New Roman"/>
          <w:sz w:val="24"/>
          <w:szCs w:val="24"/>
          <w:rtl w:val="0"/>
        </w:rPr>
        <w:t xml:space="preserve"> now use the IEEE 754 standard.</w:t>
      </w:r>
    </w:p>
    <w:p w:rsidR="00000000" w:rsidDel="00000000" w:rsidP="00000000" w:rsidRDefault="00000000" w:rsidRPr="00000000" w14:paraId="0000001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defines:</w:t>
      </w:r>
    </w:p>
    <w:p w:rsidR="00000000" w:rsidDel="00000000" w:rsidP="00000000" w:rsidRDefault="00000000" w:rsidRPr="00000000" w14:paraId="00000018">
      <w:pPr>
        <w:numPr>
          <w:ilvl w:val="0"/>
          <w:numId w:val="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arithmetic formats:</w:t>
      </w:r>
      <w:r w:rsidDel="00000000" w:rsidR="00000000" w:rsidRPr="00000000">
        <w:rPr>
          <w:rFonts w:ascii="Times New Roman" w:cs="Times New Roman" w:eastAsia="Times New Roman" w:hAnsi="Times New Roman"/>
          <w:sz w:val="24"/>
          <w:szCs w:val="24"/>
          <w:rtl w:val="0"/>
        </w:rPr>
        <w:t xml:space="preserve"> sets of </w:t>
      </w:r>
      <w:hyperlink r:id="rId14">
        <w:r w:rsidDel="00000000" w:rsidR="00000000" w:rsidRPr="00000000">
          <w:rPr>
            <w:rFonts w:ascii="Times New Roman" w:cs="Times New Roman" w:eastAsia="Times New Roman" w:hAnsi="Times New Roman"/>
            <w:color w:val="000000"/>
            <w:sz w:val="24"/>
            <w:szCs w:val="24"/>
            <w:rtl w:val="0"/>
          </w:rPr>
          <w:t xml:space="preserve">binary</w:t>
        </w:r>
      </w:hyperlink>
      <w:r w:rsidDel="00000000" w:rsidR="00000000" w:rsidRPr="00000000">
        <w:rPr>
          <w:rFonts w:ascii="Times New Roman" w:cs="Times New Roman" w:eastAsia="Times New Roman" w:hAnsi="Times New Roman"/>
          <w:sz w:val="24"/>
          <w:szCs w:val="24"/>
          <w:rtl w:val="0"/>
        </w:rPr>
        <w:t xml:space="preserve"> and </w:t>
      </w:r>
      <w:hyperlink r:id="rId15">
        <w:r w:rsidDel="00000000" w:rsidR="00000000" w:rsidRPr="00000000">
          <w:rPr>
            <w:rFonts w:ascii="Times New Roman" w:cs="Times New Roman" w:eastAsia="Times New Roman" w:hAnsi="Times New Roman"/>
            <w:color w:val="000000"/>
            <w:sz w:val="24"/>
            <w:szCs w:val="24"/>
            <w:rtl w:val="0"/>
          </w:rPr>
          <w:t xml:space="preserve">decimal</w:t>
        </w:r>
      </w:hyperlink>
      <w:r w:rsidDel="00000000" w:rsidR="00000000" w:rsidRPr="00000000">
        <w:rPr>
          <w:rFonts w:ascii="Times New Roman" w:cs="Times New Roman" w:eastAsia="Times New Roman" w:hAnsi="Times New Roman"/>
          <w:sz w:val="24"/>
          <w:szCs w:val="24"/>
          <w:rtl w:val="0"/>
        </w:rPr>
        <w:t xml:space="preserve"> floating-point data, which consist of finite numbers (including </w:t>
      </w:r>
      <w:hyperlink r:id="rId16">
        <w:r w:rsidDel="00000000" w:rsidR="00000000" w:rsidRPr="00000000">
          <w:rPr>
            <w:rFonts w:ascii="Times New Roman" w:cs="Times New Roman" w:eastAsia="Times New Roman" w:hAnsi="Times New Roman"/>
            <w:color w:val="000000"/>
            <w:sz w:val="24"/>
            <w:szCs w:val="24"/>
            <w:rtl w:val="0"/>
          </w:rPr>
          <w:t xml:space="preserve">signed zeros</w:t>
        </w:r>
      </w:hyperlink>
      <w:r w:rsidDel="00000000" w:rsidR="00000000" w:rsidRPr="00000000">
        <w:rPr>
          <w:rFonts w:ascii="Times New Roman" w:cs="Times New Roman" w:eastAsia="Times New Roman" w:hAnsi="Times New Roman"/>
          <w:sz w:val="24"/>
          <w:szCs w:val="24"/>
          <w:rtl w:val="0"/>
        </w:rPr>
        <w:t xml:space="preserve"> and </w:t>
      </w:r>
      <w:hyperlink r:id="rId17">
        <w:r w:rsidDel="00000000" w:rsidR="00000000" w:rsidRPr="00000000">
          <w:rPr>
            <w:rFonts w:ascii="Times New Roman" w:cs="Times New Roman" w:eastAsia="Times New Roman" w:hAnsi="Times New Roman"/>
            <w:color w:val="000000"/>
            <w:sz w:val="24"/>
            <w:szCs w:val="24"/>
            <w:rtl w:val="0"/>
          </w:rPr>
          <w:t xml:space="preserve">subnormal numbers</w:t>
        </w:r>
      </w:hyperlink>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color w:val="000000"/>
            <w:sz w:val="24"/>
            <w:szCs w:val="24"/>
            <w:rtl w:val="0"/>
          </w:rPr>
          <w:t xml:space="preserve">infinities</w:t>
        </w:r>
      </w:hyperlink>
      <w:r w:rsidDel="00000000" w:rsidR="00000000" w:rsidRPr="00000000">
        <w:rPr>
          <w:rFonts w:ascii="Times New Roman" w:cs="Times New Roman" w:eastAsia="Times New Roman" w:hAnsi="Times New Roman"/>
          <w:sz w:val="24"/>
          <w:szCs w:val="24"/>
          <w:rtl w:val="0"/>
        </w:rPr>
        <w:t xml:space="preserve">, and special "not a number" values (</w:t>
      </w:r>
      <w:hyperlink r:id="rId19">
        <w:r w:rsidDel="00000000" w:rsidR="00000000" w:rsidRPr="00000000">
          <w:rPr>
            <w:rFonts w:ascii="Times New Roman" w:cs="Times New Roman" w:eastAsia="Times New Roman" w:hAnsi="Times New Roman"/>
            <w:color w:val="000000"/>
            <w:sz w:val="24"/>
            <w:szCs w:val="24"/>
            <w:rtl w:val="0"/>
          </w:rPr>
          <w:t xml:space="preserve">NaNs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0"/>
          <w:numId w:val="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interchange formats:</w:t>
      </w:r>
      <w:r w:rsidDel="00000000" w:rsidR="00000000" w:rsidRPr="00000000">
        <w:rPr>
          <w:rFonts w:ascii="Times New Roman" w:cs="Times New Roman" w:eastAsia="Times New Roman" w:hAnsi="Times New Roman"/>
          <w:sz w:val="24"/>
          <w:szCs w:val="24"/>
          <w:rtl w:val="0"/>
        </w:rPr>
        <w:t xml:space="preserve"> encodings (bit strings) that may be used to exchange floating-point data in an efficient and compact form</w:t>
      </w:r>
    </w:p>
    <w:p w:rsidR="00000000" w:rsidDel="00000000" w:rsidP="00000000" w:rsidRDefault="00000000" w:rsidRPr="00000000" w14:paraId="0000001A">
      <w:pPr>
        <w:numPr>
          <w:ilvl w:val="0"/>
          <w:numId w:val="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rounding rules:</w:t>
      </w:r>
      <w:r w:rsidDel="00000000" w:rsidR="00000000" w:rsidRPr="00000000">
        <w:rPr>
          <w:rFonts w:ascii="Times New Roman" w:cs="Times New Roman" w:eastAsia="Times New Roman" w:hAnsi="Times New Roman"/>
          <w:sz w:val="24"/>
          <w:szCs w:val="24"/>
          <w:rtl w:val="0"/>
        </w:rPr>
        <w:t xml:space="preserve"> properties to be satisfied when rounding numbers during arithmetic and conversions</w:t>
      </w:r>
    </w:p>
    <w:p w:rsidR="00000000" w:rsidDel="00000000" w:rsidP="00000000" w:rsidRDefault="00000000" w:rsidRPr="00000000" w14:paraId="0000001B">
      <w:pPr>
        <w:numPr>
          <w:ilvl w:val="0"/>
          <w:numId w:val="2"/>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operations:</w:t>
      </w:r>
      <w:r w:rsidDel="00000000" w:rsidR="00000000" w:rsidRPr="00000000">
        <w:rPr>
          <w:rFonts w:ascii="Times New Roman" w:cs="Times New Roman" w:eastAsia="Times New Roman" w:hAnsi="Times New Roman"/>
          <w:sz w:val="24"/>
          <w:szCs w:val="24"/>
          <w:rtl w:val="0"/>
        </w:rPr>
        <w:t xml:space="preserve"> arithmetic and other operations (such as </w:t>
      </w:r>
      <w:hyperlink r:id="rId20">
        <w:r w:rsidDel="00000000" w:rsidR="00000000" w:rsidRPr="00000000">
          <w:rPr>
            <w:rFonts w:ascii="Times New Roman" w:cs="Times New Roman" w:eastAsia="Times New Roman" w:hAnsi="Times New Roman"/>
            <w:color w:val="000000"/>
            <w:sz w:val="24"/>
            <w:szCs w:val="24"/>
            <w:rtl w:val="0"/>
          </w:rPr>
          <w:t xml:space="preserve">trigonometric functions</w:t>
        </w:r>
      </w:hyperlink>
      <w:r w:rsidDel="00000000" w:rsidR="00000000" w:rsidRPr="00000000">
        <w:rPr>
          <w:rFonts w:ascii="Times New Roman" w:cs="Times New Roman" w:eastAsia="Times New Roman" w:hAnsi="Times New Roman"/>
          <w:sz w:val="24"/>
          <w:szCs w:val="24"/>
          <w:rtl w:val="0"/>
        </w:rPr>
        <w:t xml:space="preserve">) on arithmetic formats</w:t>
      </w:r>
    </w:p>
    <w:p w:rsidR="00000000" w:rsidDel="00000000" w:rsidP="00000000" w:rsidRDefault="00000000" w:rsidRPr="00000000" w14:paraId="0000001C">
      <w:pPr>
        <w:widowControl w:val="0"/>
        <w:numPr>
          <w:ilvl w:val="0"/>
          <w:numId w:val="2"/>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exception handling:</w:t>
      </w:r>
      <w:r w:rsidDel="00000000" w:rsidR="00000000" w:rsidRPr="00000000">
        <w:rPr>
          <w:rFonts w:ascii="Times New Roman" w:cs="Times New Roman" w:eastAsia="Times New Roman" w:hAnsi="Times New Roman"/>
          <w:sz w:val="24"/>
          <w:szCs w:val="24"/>
          <w:rtl w:val="0"/>
        </w:rPr>
        <w:t xml:space="preserve"> indications of exceptional conditions (such as </w:t>
      </w:r>
      <w:hyperlink r:id="rId21">
        <w:r w:rsidDel="00000000" w:rsidR="00000000" w:rsidRPr="00000000">
          <w:rPr>
            <w:rFonts w:ascii="Times New Roman" w:cs="Times New Roman" w:eastAsia="Times New Roman" w:hAnsi="Times New Roman"/>
            <w:color w:val="000000"/>
            <w:sz w:val="24"/>
            <w:szCs w:val="24"/>
            <w:rtl w:val="0"/>
          </w:rPr>
          <w:t xml:space="preserve">division by zero</w:t>
        </w:r>
      </w:hyperlink>
      <w:r w:rsidDel="00000000" w:rsidR="00000000" w:rsidRPr="00000000">
        <w:rPr>
          <w:rFonts w:ascii="Times New Roman" w:cs="Times New Roman" w:eastAsia="Times New Roman" w:hAnsi="Times New Roman"/>
          <w:sz w:val="24"/>
          <w:szCs w:val="24"/>
          <w:rtl w:val="0"/>
        </w:rPr>
        <w:t xml:space="preserve">, overflow, </w:t>
      </w:r>
      <w:r w:rsidDel="00000000" w:rsidR="00000000" w:rsidRPr="00000000">
        <w:rPr>
          <w:rFonts w:ascii="Times New Roman" w:cs="Times New Roman" w:eastAsia="Times New Roman" w:hAnsi="Times New Roman"/>
          <w:i w:val="1"/>
          <w:sz w:val="24"/>
          <w:szCs w:val="24"/>
          <w:rtl w:val="0"/>
        </w:rPr>
        <w:t xml:space="preserve">etc</w:t>
      </w:r>
      <w:r w:rsidDel="00000000" w:rsidR="00000000" w:rsidRPr="00000000">
        <w:rPr>
          <w:rtl w:val="0"/>
        </w:rPr>
      </w:r>
    </w:p>
    <w:p w:rsidR="00000000" w:rsidDel="00000000" w:rsidP="00000000" w:rsidRDefault="00000000" w:rsidRPr="00000000" w14:paraId="0000001D">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widowControl w:val="0"/>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widowControl w:val="0"/>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Code:</w:t>
      </w:r>
    </w:p>
    <w:p w:rsidR="00000000" w:rsidDel="00000000" w:rsidP="00000000" w:rsidRDefault="00000000" w:rsidRPr="00000000" w14:paraId="00000031">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6181725" cy="7399991"/>
            <wp:effectExtent b="0" l="0" r="0" t="0"/>
            <wp:docPr id="104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181725" cy="739999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widowControl w:val="0"/>
        <w:spacing w:befor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6216968" cy="7724775"/>
            <wp:effectExtent b="0" l="0" r="0" t="0"/>
            <wp:docPr id="105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216968"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35">
      <w:pPr>
        <w:widowControl w:val="0"/>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003483" cy="2971800"/>
            <wp:effectExtent b="0" l="0" r="0" t="0"/>
            <wp:docPr id="104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003483"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(Single Precision – 32-bit representation)</w:t>
      </w:r>
      <w:r w:rsidDel="00000000" w:rsidR="00000000" w:rsidRPr="00000000">
        <w:rPr>
          <w:rtl w:val="0"/>
        </w:rPr>
      </w:r>
    </w:p>
    <w:p w:rsidR="00000000" w:rsidDel="00000000" w:rsidP="00000000" w:rsidRDefault="00000000" w:rsidRPr="00000000" w14:paraId="0000004E">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drawing>
          <wp:inline distB="0" distT="0" distL="0" distR="0">
            <wp:extent cx="3527107" cy="3581400"/>
            <wp:effectExtent b="0" l="0" r="0" t="0"/>
            <wp:docPr id="1047"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3527107"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(Double Precision – 64-bit representation)</w:t>
      </w:r>
    </w:p>
    <w:p w:rsidR="00000000" w:rsidDel="00000000" w:rsidP="00000000" w:rsidRDefault="00000000" w:rsidRPr="00000000" w14:paraId="00000051">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drawing>
          <wp:inline distB="0" distT="0" distL="0" distR="0">
            <wp:extent cx="3450907" cy="3657600"/>
            <wp:effectExtent b="0" l="0" r="0" t="0"/>
            <wp:docPr id="1046" name="image4.jpg"/>
            <a:graphic>
              <a:graphicData uri="http://schemas.openxmlformats.org/drawingml/2006/picture">
                <pic:pic>
                  <pic:nvPicPr>
                    <pic:cNvPr id="0" name="image4.jpg"/>
                    <pic:cNvPicPr preferRelativeResize="0"/>
                  </pic:nvPicPr>
                  <pic:blipFill>
                    <a:blip r:embed="rId26"/>
                    <a:srcRect b="0" l="0" r="0" t="0"/>
                    <a:stretch>
                      <a:fillRect/>
                    </a:stretch>
                  </pic:blipFill>
                  <pic:spPr>
                    <a:xfrm>
                      <a:off x="0" y="0"/>
                      <a:ext cx="3450907"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240" w:lineRule="auto"/>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p>
    <w:p w:rsidR="00000000" w:rsidDel="00000000" w:rsidP="00000000" w:rsidRDefault="00000000" w:rsidRPr="00000000" w14:paraId="00000053">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Give the importance of IEEE-754 representation for floating point numbers?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IEEE standard defines set formats and operation modes. The standard addressed many problems found in the diverse floating point implementations that made them difficult to use reliably and reduced their portability. All computers conforming to this standard would always calculate the same result for the same computation.</w:t>
      </w:r>
    </w:p>
    <w:p w:rsidR="00000000" w:rsidDel="00000000" w:rsidP="00000000" w:rsidRDefault="00000000" w:rsidRPr="00000000" w14:paraId="00000057">
      <w:pPr>
        <w:widowControl w:val="0"/>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59">
      <w:pPr>
        <w:ind w:left="0" w:hanging="2"/>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The IEEE 754 standard specifies two precisions for floating-point numbers. Single precision numbers have 32 bits − 1 for the sign, 8 for the exponent, and 23 for the significand. Double precision numbers use 64 bits − 1 for the sign, 11 for the exponent, and 52 for the significand.</w:t>
          </w:r>
        </w:sdtContent>
      </w:sdt>
    </w:p>
    <w:p w:rsidR="00000000" w:rsidDel="00000000" w:rsidP="00000000" w:rsidRDefault="00000000" w:rsidRPr="00000000" w14:paraId="0000005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31/08/2023</w:t>
      </w:r>
      <w:r w:rsidDel="00000000" w:rsidR="00000000" w:rsidRPr="00000000">
        <w:rPr>
          <w:rFonts w:ascii="Times New Roman" w:cs="Times New Roman" w:eastAsia="Times New Roman" w:hAnsi="Times New Roman"/>
          <w:b w:val="1"/>
          <w:sz w:val="24"/>
          <w:szCs w:val="24"/>
          <w:rtl w:val="0"/>
        </w:rPr>
        <w:t xml:space="preserve">                                                Signature of faculty in-charge </w:t>
      </w:r>
    </w:p>
    <w:p w:rsidR="00000000" w:rsidDel="00000000" w:rsidP="00000000" w:rsidRDefault="00000000" w:rsidRPr="00000000" w14:paraId="0000005D">
      <w:pPr>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COA sem III/Aug </w:t>
    </w:r>
    <w:r w:rsidDel="00000000" w:rsidR="00000000" w:rsidRPr="00000000">
      <w:rPr>
        <w:rFonts w:ascii="Times New Roman" w:cs="Times New Roman" w:eastAsia="Times New Roman" w:hAnsi="Times New Roman"/>
        <w:sz w:val="18"/>
        <w:szCs w:val="18"/>
        <w:rtl w:val="0"/>
      </w:rPr>
      <w:t xml:space="preserve">2023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11927.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2"/>
      <w:gridCol w:w="5475"/>
      <w:gridCol w:w="2880"/>
      <w:tblGridChange w:id="0">
        <w:tblGrid>
          <w:gridCol w:w="3572"/>
          <w:gridCol w:w="5475"/>
          <w:gridCol w:w="2880"/>
        </w:tblGrid>
      </w:tblGridChange>
    </w:tblGrid>
    <w:tr>
      <w:trPr>
        <w:cantSplit w:val="0"/>
        <w:trHeight w:val="907" w:hRule="atLeast"/>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left="0" w:hanging="2"/>
            <w:rPr>
              <w:color w:val="000000"/>
            </w:rPr>
          </w:pPr>
          <w:r w:rsidDel="00000000" w:rsidR="00000000" w:rsidRPr="00000000">
            <w:rPr>
              <w:color w:val="000000"/>
            </w:rPr>
            <w:drawing>
              <wp:inline distB="0" distT="0" distL="114300" distR="114300">
                <wp:extent cx="1974533" cy="619125"/>
                <wp:effectExtent b="0" l="0" r="0" t="0"/>
                <wp:docPr descr="A picture containing drawing&#10;&#10;Description automatically generated" id="1049" name="image2.jpg"/>
                <a:graphic>
                  <a:graphicData uri="http://schemas.openxmlformats.org/drawingml/2006/picture">
                    <pic:pic>
                      <pic:nvPicPr>
                        <pic:cNvPr descr="A picture containing drawing&#10;&#10;Description automatically generated" id="0" name="image2.jpg"/>
                        <pic:cNvPicPr preferRelativeResize="0"/>
                      </pic:nvPicPr>
                      <pic:blipFill>
                        <a:blip r:embed="rId1"/>
                        <a:srcRect b="0" l="0" r="0" t="0"/>
                        <a:stretch>
                          <a:fillRect/>
                        </a:stretch>
                      </pic:blipFill>
                      <pic:spPr>
                        <a:xfrm>
                          <a:off x="0" y="0"/>
                          <a:ext cx="1974533" cy="619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735"/>
              <w:tab w:val="right" w:leader="none" w:pos="2664"/>
              <w:tab w:val="center" w:leader="none" w:pos="4680"/>
              <w:tab w:val="right" w:leader="none" w:pos="9360"/>
            </w:tabs>
            <w:ind w:left="0" w:hanging="2"/>
            <w:rPr>
              <w:color w:val="000000"/>
            </w:rPr>
          </w:pPr>
          <w:r w:rsidDel="00000000" w:rsidR="00000000" w:rsidRPr="00000000">
            <w:rPr>
              <w:color w:val="000000"/>
              <w:rtl w:val="0"/>
            </w:rPr>
            <w:t xml:space="preserve">      </w:t>
          </w:r>
          <w:r w:rsidDel="00000000" w:rsidR="00000000" w:rsidRPr="00000000">
            <w:rPr>
              <w:color w:val="000000"/>
            </w:rPr>
            <w:drawing>
              <wp:inline distB="0" distT="0" distL="114300" distR="114300">
                <wp:extent cx="983615" cy="607695"/>
                <wp:effectExtent b="0" l="0" r="0" t="0"/>
                <wp:docPr descr="A close up of a sign&#10;&#10;Description automatically generated" id="1048"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3615" cy="60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s>
      <w:ind w:left="0" w:hanging="2"/>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360" w:hanging="360"/>
      </w:pPr>
      <w:rPr>
        <w:b w:val="1"/>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pPr>
      <w:ind w:left="-1" w:leftChars="-1" w:hanging="1" w:hangingChars="1"/>
      <w:textDirection w:val="btLr"/>
      <w:textAlignment w:val="top"/>
      <w:outlineLvl w:val="0"/>
    </w:pPr>
    <w:rPr>
      <w:kern w:val="1"/>
      <w:position w:val="-1"/>
      <w:lang w:eastAsia="zh-CN"/>
    </w:rPr>
  </w:style>
  <w:style w:type="paragraph" w:styleId="Heading1">
    <w:name w:val="heading 1"/>
    <w:basedOn w:val="Normal"/>
    <w:next w:val="Normal"/>
    <w:pPr>
      <w:keepNext w:val="1"/>
      <w:spacing w:after="60" w:before="240"/>
    </w:pPr>
    <w:rPr>
      <w:rFonts w:ascii="Cambria" w:cs="Times New Roman" w:eastAsia="Times New Roman" w:hAnsi="Cambria"/>
      <w:b w:val="1"/>
      <w:bCs w:val="1"/>
      <w:kern w:val="32"/>
      <w:sz w:val="32"/>
      <w:szCs w:val="32"/>
    </w:rPr>
  </w:style>
  <w:style w:type="paragraph" w:styleId="Heading2">
    <w:name w:val="heading 2"/>
    <w:basedOn w:val="Normal"/>
    <w:next w:val="Normal"/>
    <w:qFormat w:val="1"/>
    <w:pPr>
      <w:keepNext w:val="1"/>
      <w:spacing w:after="60" w:before="240"/>
      <w:outlineLvl w:val="1"/>
    </w:pPr>
    <w:rPr>
      <w:rFonts w:ascii="Cambria" w:cs="Times New Roman" w:eastAsia="Times New Roman" w:hAnsi="Cambria"/>
      <w:b w:val="1"/>
      <w:bCs w:val="1"/>
      <w:i w:val="1"/>
      <w:iCs w:val="1"/>
      <w:sz w:val="28"/>
      <w:szCs w:val="28"/>
    </w:rPr>
  </w:style>
  <w:style w:type="paragraph" w:styleId="Heading3">
    <w:name w:val="heading 3"/>
    <w:basedOn w:val="Normal"/>
    <w:pPr>
      <w:suppressAutoHyphens w:val="1"/>
      <w:spacing w:after="100" w:afterAutospacing="1" w:before="100" w:beforeAutospacing="1" w:line="240" w:lineRule="auto"/>
      <w:outlineLvl w:val="2"/>
    </w:pPr>
    <w:rPr>
      <w:rFonts w:ascii="Times New Roman" w:cs="Times New Roman" w:eastAsia="Times New Roman" w:hAnsi="Times New Roman"/>
      <w:b w:val="1"/>
      <w:bCs w:val="1"/>
      <w:kern w:val="0"/>
      <w:sz w:val="27"/>
      <w:szCs w:val="27"/>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pPr>
      <w:suppressAutoHyphens w:val="1"/>
      <w:spacing w:after="100" w:afterAutospacing="1" w:before="100" w:beforeAutospacing="1" w:line="240" w:lineRule="auto"/>
    </w:pPr>
    <w:rPr>
      <w:rFonts w:ascii="Times New Roman" w:cs="Times New Roman" w:eastAsia="Times New Roman" w:hAnsi="Times New Roman"/>
      <w:kern w:val="0"/>
      <w:sz w:val="24"/>
      <w:szCs w:val="24"/>
    </w:rPr>
  </w:style>
  <w:style w:type="character" w:styleId="WW8Num1z0" w:customStyle="1">
    <w:name w:val="WW8Num1z0"/>
    <w:rPr>
      <w:b w:val="1"/>
      <w:bCs w:val="1"/>
      <w:w w:val="100"/>
      <w:position w:val="-1"/>
      <w:sz w:val="28"/>
      <w:szCs w:val="28"/>
      <w:effect w:val="none"/>
      <w:vertAlign w:val="baseline"/>
      <w:cs w:val="0"/>
      <w:em w:val="none"/>
    </w:rPr>
  </w:style>
  <w:style w:type="character" w:styleId="WW8Num2z0" w:customStyle="1">
    <w:name w:val="WW8Num2z0"/>
    <w:rPr>
      <w:b w:val="1"/>
      <w:w w:val="100"/>
      <w:position w:val="-1"/>
      <w:effect w:val="none"/>
      <w:vertAlign w:val="baseline"/>
      <w:cs w:val="0"/>
      <w:em w:val="none"/>
    </w:rPr>
  </w:style>
  <w:style w:type="character" w:styleId="WW8Num3zfalse" w:customStyle="1">
    <w:name w:val="WW8Num3zfalse"/>
    <w:rPr>
      <w:rFonts w:ascii="Times New Roman" w:cs="Times New Roman" w:hAnsi="Times New Roman"/>
      <w:w w:val="100"/>
      <w:position w:val="-1"/>
      <w:effect w:val="none"/>
      <w:vertAlign w:val="baseline"/>
      <w:cs w:val="0"/>
      <w:em w:val="none"/>
    </w:rPr>
  </w:style>
  <w:style w:type="character" w:styleId="WW8Num3ztrue" w:customStyle="1">
    <w:name w:val="WW8Num3ztrue"/>
    <w:rPr>
      <w:w w:val="100"/>
      <w:position w:val="-1"/>
      <w:effect w:val="none"/>
      <w:vertAlign w:val="baseline"/>
      <w:cs w:val="0"/>
      <w:em w:val="none"/>
    </w:rPr>
  </w:style>
  <w:style w:type="character" w:styleId="WW8Num3ztrue0" w:customStyle="1">
    <w:name w:val="WW8Num3ztrue"/>
    <w:rPr>
      <w:w w:val="100"/>
      <w:position w:val="-1"/>
      <w:effect w:val="none"/>
      <w:vertAlign w:val="baseline"/>
      <w:cs w:val="0"/>
      <w:em w:val="none"/>
    </w:rPr>
  </w:style>
  <w:style w:type="character" w:styleId="WW8Num3ztrue1" w:customStyle="1">
    <w:name w:val="WW8Num3ztrue"/>
    <w:rPr>
      <w:w w:val="100"/>
      <w:position w:val="-1"/>
      <w:effect w:val="none"/>
      <w:vertAlign w:val="baseline"/>
      <w:cs w:val="0"/>
      <w:em w:val="none"/>
    </w:rPr>
  </w:style>
  <w:style w:type="character" w:styleId="WW8Num3ztrue2" w:customStyle="1">
    <w:name w:val="WW8Num3ztrue"/>
    <w:rPr>
      <w:w w:val="100"/>
      <w:position w:val="-1"/>
      <w:effect w:val="none"/>
      <w:vertAlign w:val="baseline"/>
      <w:cs w:val="0"/>
      <w:em w:val="none"/>
    </w:rPr>
  </w:style>
  <w:style w:type="character" w:styleId="WW8Num3ztrue3" w:customStyle="1">
    <w:name w:val="WW8Num3ztrue"/>
    <w:rPr>
      <w:w w:val="100"/>
      <w:position w:val="-1"/>
      <w:effect w:val="none"/>
      <w:vertAlign w:val="baseline"/>
      <w:cs w:val="0"/>
      <w:em w:val="none"/>
    </w:rPr>
  </w:style>
  <w:style w:type="character" w:styleId="WW8Num3ztrue4" w:customStyle="1">
    <w:name w:val="WW8Num3ztrue"/>
    <w:rPr>
      <w:w w:val="100"/>
      <w:position w:val="-1"/>
      <w:effect w:val="none"/>
      <w:vertAlign w:val="baseline"/>
      <w:cs w:val="0"/>
      <w:em w:val="none"/>
    </w:rPr>
  </w:style>
  <w:style w:type="character" w:styleId="WW8Num3ztrue5" w:customStyle="1">
    <w:name w:val="WW8Num3ztrue"/>
    <w:rPr>
      <w:w w:val="100"/>
      <w:position w:val="-1"/>
      <w:effect w:val="none"/>
      <w:vertAlign w:val="baseline"/>
      <w:cs w:val="0"/>
      <w:em w:val="none"/>
    </w:rPr>
  </w:style>
  <w:style w:type="character" w:styleId="WW8Num3ztrue6" w:customStyle="1">
    <w:name w:val="WW8Num3ztrue"/>
    <w:rPr>
      <w:w w:val="100"/>
      <w:position w:val="-1"/>
      <w:effect w:val="none"/>
      <w:vertAlign w:val="baseline"/>
      <w:cs w:val="0"/>
      <w:em w:val="none"/>
    </w:rPr>
  </w:style>
  <w:style w:type="character" w:styleId="WW-WW8Num3ztrue" w:customStyle="1">
    <w:name w:val="WW-WW8Num3ztrue"/>
    <w:rPr>
      <w:w w:val="100"/>
      <w:position w:val="-1"/>
      <w:effect w:val="none"/>
      <w:vertAlign w:val="baseline"/>
      <w:cs w:val="0"/>
      <w:em w:val="none"/>
    </w:rPr>
  </w:style>
  <w:style w:type="character" w:styleId="WW-WW8Num3ztrue1" w:customStyle="1">
    <w:name w:val="WW-WW8Num3ztrue1"/>
    <w:rPr>
      <w:w w:val="100"/>
      <w:position w:val="-1"/>
      <w:effect w:val="none"/>
      <w:vertAlign w:val="baseline"/>
      <w:cs w:val="0"/>
      <w:em w:val="none"/>
    </w:rPr>
  </w:style>
  <w:style w:type="character" w:styleId="WW-WW8Num3ztrue2" w:customStyle="1">
    <w:name w:val="WW-WW8Num3ztrue2"/>
    <w:rPr>
      <w:w w:val="100"/>
      <w:position w:val="-1"/>
      <w:effect w:val="none"/>
      <w:vertAlign w:val="baseline"/>
      <w:cs w:val="0"/>
      <w:em w:val="none"/>
    </w:rPr>
  </w:style>
  <w:style w:type="character" w:styleId="WW-WW8Num3ztrue3" w:customStyle="1">
    <w:name w:val="WW-WW8Num3ztrue3"/>
    <w:rPr>
      <w:w w:val="100"/>
      <w:position w:val="-1"/>
      <w:effect w:val="none"/>
      <w:vertAlign w:val="baseline"/>
      <w:cs w:val="0"/>
      <w:em w:val="none"/>
    </w:rPr>
  </w:style>
  <w:style w:type="character" w:styleId="WW-WW8Num3ztrue4" w:customStyle="1">
    <w:name w:val="WW-WW8Num3ztrue4"/>
    <w:rPr>
      <w:w w:val="100"/>
      <w:position w:val="-1"/>
      <w:effect w:val="none"/>
      <w:vertAlign w:val="baseline"/>
      <w:cs w:val="0"/>
      <w:em w:val="none"/>
    </w:rPr>
  </w:style>
  <w:style w:type="character" w:styleId="WW-WW8Num3ztrue5" w:customStyle="1">
    <w:name w:val="WW-WW8Num3ztrue5"/>
    <w:rPr>
      <w:w w:val="100"/>
      <w:position w:val="-1"/>
      <w:effect w:val="none"/>
      <w:vertAlign w:val="baseline"/>
      <w:cs w:val="0"/>
      <w:em w:val="none"/>
    </w:rPr>
  </w:style>
  <w:style w:type="character" w:styleId="WW-WW8Num3ztrue6" w:customStyle="1">
    <w:name w:val="WW-WW8Num3ztrue6"/>
    <w:rPr>
      <w:w w:val="100"/>
      <w:position w:val="-1"/>
      <w:effect w:val="none"/>
      <w:vertAlign w:val="baseline"/>
      <w:cs w:val="0"/>
      <w:em w:val="none"/>
    </w:rPr>
  </w:style>
  <w:style w:type="character" w:styleId="WW-WW8Num3ztrue7" w:customStyle="1">
    <w:name w:val="WW-WW8Num3ztrue7"/>
    <w:rPr>
      <w:w w:val="100"/>
      <w:position w:val="-1"/>
      <w:effect w:val="none"/>
      <w:vertAlign w:val="baseline"/>
      <w:cs w:val="0"/>
      <w:em w:val="none"/>
    </w:rPr>
  </w:style>
  <w:style w:type="character" w:styleId="WW-WW8Num3ztrue11" w:customStyle="1">
    <w:name w:val="WW-WW8Num3ztrue11"/>
    <w:rPr>
      <w:w w:val="100"/>
      <w:position w:val="-1"/>
      <w:effect w:val="none"/>
      <w:vertAlign w:val="baseline"/>
      <w:cs w:val="0"/>
      <w:em w:val="none"/>
    </w:rPr>
  </w:style>
  <w:style w:type="character" w:styleId="WW-WW8Num3ztrue21" w:customStyle="1">
    <w:name w:val="WW-WW8Num3ztrue21"/>
    <w:rPr>
      <w:w w:val="100"/>
      <w:position w:val="-1"/>
      <w:effect w:val="none"/>
      <w:vertAlign w:val="baseline"/>
      <w:cs w:val="0"/>
      <w:em w:val="none"/>
    </w:rPr>
  </w:style>
  <w:style w:type="character" w:styleId="WW-WW8Num3ztrue31" w:customStyle="1">
    <w:name w:val="WW-WW8Num3ztrue31"/>
    <w:rPr>
      <w:w w:val="100"/>
      <w:position w:val="-1"/>
      <w:effect w:val="none"/>
      <w:vertAlign w:val="baseline"/>
      <w:cs w:val="0"/>
      <w:em w:val="none"/>
    </w:rPr>
  </w:style>
  <w:style w:type="character" w:styleId="WW-WW8Num3ztrue41" w:customStyle="1">
    <w:name w:val="WW-WW8Num3ztrue41"/>
    <w:rPr>
      <w:w w:val="100"/>
      <w:position w:val="-1"/>
      <w:effect w:val="none"/>
      <w:vertAlign w:val="baseline"/>
      <w:cs w:val="0"/>
      <w:em w:val="none"/>
    </w:rPr>
  </w:style>
  <w:style w:type="character" w:styleId="WW-WW8Num3ztrue51" w:customStyle="1">
    <w:name w:val="WW-WW8Num3ztrue51"/>
    <w:rPr>
      <w:w w:val="100"/>
      <w:position w:val="-1"/>
      <w:effect w:val="none"/>
      <w:vertAlign w:val="baseline"/>
      <w:cs w:val="0"/>
      <w:em w:val="none"/>
    </w:rPr>
  </w:style>
  <w:style w:type="character" w:styleId="WW-WW8Num3ztrue61" w:customStyle="1">
    <w:name w:val="WW-WW8Num3ztrue61"/>
    <w:rPr>
      <w:w w:val="100"/>
      <w:position w:val="-1"/>
      <w:effect w:val="none"/>
      <w:vertAlign w:val="baseline"/>
      <w:cs w:val="0"/>
      <w:em w:val="none"/>
    </w:rPr>
  </w:style>
  <w:style w:type="character" w:styleId="WW8Num2zfalse" w:customStyle="1">
    <w:name w:val="WW8Num2zfalse"/>
    <w:rPr>
      <w:w w:val="100"/>
      <w:position w:val="-1"/>
      <w:effect w:val="none"/>
      <w:vertAlign w:val="baseline"/>
      <w:cs w:val="0"/>
      <w:em w:val="none"/>
    </w:rPr>
  </w:style>
  <w:style w:type="character" w:styleId="WW8Num3z0" w:customStyle="1">
    <w:name w:val="WW8Num3z0"/>
    <w:rPr>
      <w:rFonts w:ascii="Times New Roman" w:cs="Times New Roman" w:hAnsi="Times New Roman"/>
      <w:w w:val="100"/>
      <w:position w:val="-1"/>
      <w:effect w:val="none"/>
      <w:vertAlign w:val="baseline"/>
      <w:cs w:val="0"/>
      <w:em w:val="none"/>
    </w:rPr>
  </w:style>
  <w:style w:type="character" w:styleId="WW8Num4zfalse" w:customStyle="1">
    <w:name w:val="WW8Num4zfalse"/>
    <w:rPr>
      <w:w w:val="100"/>
      <w:position w:val="-1"/>
      <w:effect w:val="none"/>
      <w:vertAlign w:val="baseline"/>
      <w:cs w:val="0"/>
      <w:em w:val="none"/>
    </w:rPr>
  </w:style>
  <w:style w:type="character" w:styleId="WW8Num4ztrue" w:customStyle="1">
    <w:name w:val="WW8Num4ztrue"/>
    <w:rPr>
      <w:w w:val="100"/>
      <w:position w:val="-1"/>
      <w:effect w:val="none"/>
      <w:vertAlign w:val="baseline"/>
      <w:cs w:val="0"/>
      <w:em w:val="none"/>
    </w:rPr>
  </w:style>
  <w:style w:type="character" w:styleId="WW-WW8Num4ztrue" w:customStyle="1">
    <w:name w:val="WW-WW8Num4ztrue"/>
    <w:rPr>
      <w:w w:val="100"/>
      <w:position w:val="-1"/>
      <w:effect w:val="none"/>
      <w:vertAlign w:val="baseline"/>
      <w:cs w:val="0"/>
      <w:em w:val="none"/>
    </w:rPr>
  </w:style>
  <w:style w:type="character" w:styleId="WW-WW8Num4ztrue1" w:customStyle="1">
    <w:name w:val="WW-WW8Num4ztrue1"/>
    <w:rPr>
      <w:w w:val="100"/>
      <w:position w:val="-1"/>
      <w:effect w:val="none"/>
      <w:vertAlign w:val="baseline"/>
      <w:cs w:val="0"/>
      <w:em w:val="none"/>
    </w:rPr>
  </w:style>
  <w:style w:type="character" w:styleId="WW-WW8Num4ztrue2" w:customStyle="1">
    <w:name w:val="WW-WW8Num4ztrue2"/>
    <w:rPr>
      <w:w w:val="100"/>
      <w:position w:val="-1"/>
      <w:effect w:val="none"/>
      <w:vertAlign w:val="baseline"/>
      <w:cs w:val="0"/>
      <w:em w:val="none"/>
    </w:rPr>
  </w:style>
  <w:style w:type="character" w:styleId="WW-WW8Num4ztrue3" w:customStyle="1">
    <w:name w:val="WW-WW8Num4ztrue3"/>
    <w:rPr>
      <w:w w:val="100"/>
      <w:position w:val="-1"/>
      <w:effect w:val="none"/>
      <w:vertAlign w:val="baseline"/>
      <w:cs w:val="0"/>
      <w:em w:val="none"/>
    </w:rPr>
  </w:style>
  <w:style w:type="character" w:styleId="WW-WW8Num4ztrue4" w:customStyle="1">
    <w:name w:val="WW-WW8Num4ztrue4"/>
    <w:rPr>
      <w:w w:val="100"/>
      <w:position w:val="-1"/>
      <w:effect w:val="none"/>
      <w:vertAlign w:val="baseline"/>
      <w:cs w:val="0"/>
      <w:em w:val="none"/>
    </w:rPr>
  </w:style>
  <w:style w:type="character" w:styleId="WW-WW8Num4ztrue5" w:customStyle="1">
    <w:name w:val="WW-WW8Num4ztrue5"/>
    <w:rPr>
      <w:w w:val="100"/>
      <w:position w:val="-1"/>
      <w:effect w:val="none"/>
      <w:vertAlign w:val="baseline"/>
      <w:cs w:val="0"/>
      <w:em w:val="none"/>
    </w:rPr>
  </w:style>
  <w:style w:type="character" w:styleId="WW-WW8Num4ztrue6" w:customStyle="1">
    <w:name w:val="WW-WW8Num4ztrue6"/>
    <w:rPr>
      <w:w w:val="100"/>
      <w:position w:val="-1"/>
      <w:effect w:val="none"/>
      <w:vertAlign w:val="baseline"/>
      <w:cs w:val="0"/>
      <w:em w:val="none"/>
    </w:rPr>
  </w:style>
  <w:style w:type="character" w:styleId="WW8Num5zfalse" w:customStyle="1">
    <w:name w:val="WW8Num5zfalse"/>
    <w:rPr>
      <w:b w:val="1"/>
      <w:w w:val="100"/>
      <w:position w:val="-1"/>
      <w:effect w:val="none"/>
      <w:vertAlign w:val="baseline"/>
      <w:cs w:val="0"/>
      <w:em w:val="none"/>
    </w:rPr>
  </w:style>
  <w:style w:type="character" w:styleId="WW8Num1zfalse" w:customStyle="1">
    <w:name w:val="WW8Num1zfalse"/>
    <w:rPr>
      <w:b w:val="1"/>
      <w:bCs w:val="1"/>
      <w:w w:val="100"/>
      <w:position w:val="-1"/>
      <w:sz w:val="28"/>
      <w:szCs w:val="28"/>
      <w:effect w:val="none"/>
      <w:vertAlign w:val="baseline"/>
      <w:cs w:val="0"/>
      <w:em w:val="none"/>
    </w:rPr>
  </w:style>
  <w:style w:type="character" w:styleId="WW-WW8Num4ztrue7" w:customStyle="1">
    <w:name w:val="WW-WW8Num4ztrue7"/>
    <w:rPr>
      <w:w w:val="100"/>
      <w:position w:val="-1"/>
      <w:effect w:val="none"/>
      <w:vertAlign w:val="baseline"/>
      <w:cs w:val="0"/>
      <w:em w:val="none"/>
    </w:rPr>
  </w:style>
  <w:style w:type="character" w:styleId="WW-WW8Num4ztrue11" w:customStyle="1">
    <w:name w:val="WW-WW8Num4ztrue11"/>
    <w:rPr>
      <w:w w:val="100"/>
      <w:position w:val="-1"/>
      <w:effect w:val="none"/>
      <w:vertAlign w:val="baseline"/>
      <w:cs w:val="0"/>
      <w:em w:val="none"/>
    </w:rPr>
  </w:style>
  <w:style w:type="character" w:styleId="WW-WW8Num4ztrue21" w:customStyle="1">
    <w:name w:val="WW-WW8Num4ztrue21"/>
    <w:rPr>
      <w:w w:val="100"/>
      <w:position w:val="-1"/>
      <w:effect w:val="none"/>
      <w:vertAlign w:val="baseline"/>
      <w:cs w:val="0"/>
      <w:em w:val="none"/>
    </w:rPr>
  </w:style>
  <w:style w:type="character" w:styleId="WW-WW8Num4ztrue31" w:customStyle="1">
    <w:name w:val="WW-WW8Num4ztrue31"/>
    <w:rPr>
      <w:w w:val="100"/>
      <w:position w:val="-1"/>
      <w:effect w:val="none"/>
      <w:vertAlign w:val="baseline"/>
      <w:cs w:val="0"/>
      <w:em w:val="none"/>
    </w:rPr>
  </w:style>
  <w:style w:type="character" w:styleId="WW-WW8Num4ztrue41" w:customStyle="1">
    <w:name w:val="WW-WW8Num4ztrue41"/>
    <w:rPr>
      <w:w w:val="100"/>
      <w:position w:val="-1"/>
      <w:effect w:val="none"/>
      <w:vertAlign w:val="baseline"/>
      <w:cs w:val="0"/>
      <w:em w:val="none"/>
    </w:rPr>
  </w:style>
  <w:style w:type="character" w:styleId="WW-WW8Num4ztrue51" w:customStyle="1">
    <w:name w:val="WW-WW8Num4ztrue51"/>
    <w:rPr>
      <w:w w:val="100"/>
      <w:position w:val="-1"/>
      <w:effect w:val="none"/>
      <w:vertAlign w:val="baseline"/>
      <w:cs w:val="0"/>
      <w:em w:val="none"/>
    </w:rPr>
  </w:style>
  <w:style w:type="character" w:styleId="WW-WW8Num4ztrue61" w:customStyle="1">
    <w:name w:val="WW-WW8Num4ztrue61"/>
    <w:rPr>
      <w:w w:val="100"/>
      <w:position w:val="-1"/>
      <w:effect w:val="none"/>
      <w:vertAlign w:val="baseline"/>
      <w:cs w:val="0"/>
      <w:em w:val="none"/>
    </w:rPr>
  </w:style>
  <w:style w:type="character" w:styleId="WW-DefaultParagraphFont" w:customStyle="1">
    <w:name w:val="WW-Default Paragraph Font"/>
    <w:rPr>
      <w:w w:val="100"/>
      <w:position w:val="-1"/>
      <w:effect w:val="none"/>
      <w:vertAlign w:val="baseline"/>
      <w:cs w:val="0"/>
      <w:em w:val="none"/>
    </w:rPr>
  </w:style>
  <w:style w:type="character" w:styleId="WW-WW8Num4ztrue71" w:customStyle="1">
    <w:name w:val="WW-WW8Num4ztrue71"/>
    <w:rPr>
      <w:w w:val="100"/>
      <w:position w:val="-1"/>
      <w:effect w:val="none"/>
      <w:vertAlign w:val="baseline"/>
      <w:cs w:val="0"/>
      <w:em w:val="none"/>
    </w:rPr>
  </w:style>
  <w:style w:type="character" w:styleId="WW-WW8Num4ztrue111" w:customStyle="1">
    <w:name w:val="WW-WW8Num4ztrue111"/>
    <w:rPr>
      <w:w w:val="100"/>
      <w:position w:val="-1"/>
      <w:effect w:val="none"/>
      <w:vertAlign w:val="baseline"/>
      <w:cs w:val="0"/>
      <w:em w:val="none"/>
    </w:rPr>
  </w:style>
  <w:style w:type="character" w:styleId="WW-WW8Num4ztrue211" w:customStyle="1">
    <w:name w:val="WW-WW8Num4ztrue211"/>
    <w:rPr>
      <w:w w:val="100"/>
      <w:position w:val="-1"/>
      <w:effect w:val="none"/>
      <w:vertAlign w:val="baseline"/>
      <w:cs w:val="0"/>
      <w:em w:val="none"/>
    </w:rPr>
  </w:style>
  <w:style w:type="character" w:styleId="WW-WW8Num4ztrue311" w:customStyle="1">
    <w:name w:val="WW-WW8Num4ztrue311"/>
    <w:rPr>
      <w:w w:val="100"/>
      <w:position w:val="-1"/>
      <w:effect w:val="none"/>
      <w:vertAlign w:val="baseline"/>
      <w:cs w:val="0"/>
      <w:em w:val="none"/>
    </w:rPr>
  </w:style>
  <w:style w:type="character" w:styleId="WW-WW8Num4ztrue411" w:customStyle="1">
    <w:name w:val="WW-WW8Num4ztrue411"/>
    <w:rPr>
      <w:w w:val="100"/>
      <w:position w:val="-1"/>
      <w:effect w:val="none"/>
      <w:vertAlign w:val="baseline"/>
      <w:cs w:val="0"/>
      <w:em w:val="none"/>
    </w:rPr>
  </w:style>
  <w:style w:type="character" w:styleId="WW-WW8Num4ztrue511" w:customStyle="1">
    <w:name w:val="WW-WW8Num4ztrue511"/>
    <w:rPr>
      <w:w w:val="100"/>
      <w:position w:val="-1"/>
      <w:effect w:val="none"/>
      <w:vertAlign w:val="baseline"/>
      <w:cs w:val="0"/>
      <w:em w:val="none"/>
    </w:rPr>
  </w:style>
  <w:style w:type="character" w:styleId="WW-WW8Num4ztrue611" w:customStyle="1">
    <w:name w:val="WW-WW8Num4ztrue611"/>
    <w:rPr>
      <w:w w:val="100"/>
      <w:position w:val="-1"/>
      <w:effect w:val="none"/>
      <w:vertAlign w:val="baseline"/>
      <w:cs w:val="0"/>
      <w:em w:val="none"/>
    </w:rPr>
  </w:style>
  <w:style w:type="character" w:styleId="WW8Num1ztrue" w:customStyle="1">
    <w:name w:val="WW8Num1ztrue"/>
    <w:rPr>
      <w:w w:val="100"/>
      <w:position w:val="-1"/>
      <w:effect w:val="none"/>
      <w:vertAlign w:val="baseline"/>
      <w:cs w:val="0"/>
      <w:em w:val="none"/>
    </w:rPr>
  </w:style>
  <w:style w:type="character" w:styleId="WW-WW8Num1ztrue" w:customStyle="1">
    <w:name w:val="WW-WW8Num1ztrue"/>
    <w:rPr>
      <w:w w:val="100"/>
      <w:position w:val="-1"/>
      <w:effect w:val="none"/>
      <w:vertAlign w:val="baseline"/>
      <w:cs w:val="0"/>
      <w:em w:val="none"/>
    </w:rPr>
  </w:style>
  <w:style w:type="character" w:styleId="WW-WW8Num1ztrue1" w:customStyle="1">
    <w:name w:val="WW-WW8Num1ztrue1"/>
    <w:rPr>
      <w:w w:val="100"/>
      <w:position w:val="-1"/>
      <w:effect w:val="none"/>
      <w:vertAlign w:val="baseline"/>
      <w:cs w:val="0"/>
      <w:em w:val="none"/>
    </w:rPr>
  </w:style>
  <w:style w:type="character" w:styleId="WW-WW8Num1ztrue2" w:customStyle="1">
    <w:name w:val="WW-WW8Num1ztrue2"/>
    <w:rPr>
      <w:w w:val="100"/>
      <w:position w:val="-1"/>
      <w:effect w:val="none"/>
      <w:vertAlign w:val="baseline"/>
      <w:cs w:val="0"/>
      <w:em w:val="none"/>
    </w:rPr>
  </w:style>
  <w:style w:type="character" w:styleId="WW-WW8Num1ztrue3" w:customStyle="1">
    <w:name w:val="WW-WW8Num1ztrue3"/>
    <w:rPr>
      <w:w w:val="100"/>
      <w:position w:val="-1"/>
      <w:effect w:val="none"/>
      <w:vertAlign w:val="baseline"/>
      <w:cs w:val="0"/>
      <w:em w:val="none"/>
    </w:rPr>
  </w:style>
  <w:style w:type="character" w:styleId="WW-WW8Num1ztrue4" w:customStyle="1">
    <w:name w:val="WW-WW8Num1ztrue4"/>
    <w:rPr>
      <w:w w:val="100"/>
      <w:position w:val="-1"/>
      <w:effect w:val="none"/>
      <w:vertAlign w:val="baseline"/>
      <w:cs w:val="0"/>
      <w:em w:val="none"/>
    </w:rPr>
  </w:style>
  <w:style w:type="character" w:styleId="WW-WW8Num1ztrue5" w:customStyle="1">
    <w:name w:val="WW-WW8Num1ztrue5"/>
    <w:rPr>
      <w:w w:val="100"/>
      <w:position w:val="-1"/>
      <w:effect w:val="none"/>
      <w:vertAlign w:val="baseline"/>
      <w:cs w:val="0"/>
      <w:em w:val="none"/>
    </w:rPr>
  </w:style>
  <w:style w:type="character" w:styleId="WW-WW8Num1ztrue6" w:customStyle="1">
    <w:name w:val="WW-WW8Num1ztrue6"/>
    <w:rPr>
      <w:w w:val="100"/>
      <w:position w:val="-1"/>
      <w:effect w:val="none"/>
      <w:vertAlign w:val="baseline"/>
      <w:cs w:val="0"/>
      <w:em w:val="none"/>
    </w:rPr>
  </w:style>
  <w:style w:type="character" w:styleId="WW-WW8Num3ztrue71" w:customStyle="1">
    <w:name w:val="WW-WW8Num3ztrue71"/>
    <w:rPr>
      <w:w w:val="100"/>
      <w:position w:val="-1"/>
      <w:effect w:val="none"/>
      <w:vertAlign w:val="baseline"/>
      <w:cs w:val="0"/>
      <w:em w:val="none"/>
    </w:rPr>
  </w:style>
  <w:style w:type="character" w:styleId="WW-WW8Num3ztrue111" w:customStyle="1">
    <w:name w:val="WW-WW8Num3ztrue111"/>
    <w:rPr>
      <w:w w:val="100"/>
      <w:position w:val="-1"/>
      <w:effect w:val="none"/>
      <w:vertAlign w:val="baseline"/>
      <w:cs w:val="0"/>
      <w:em w:val="none"/>
    </w:rPr>
  </w:style>
  <w:style w:type="character" w:styleId="WW-WW8Num3ztrue211" w:customStyle="1">
    <w:name w:val="WW-WW8Num3ztrue211"/>
    <w:rPr>
      <w:w w:val="100"/>
      <w:position w:val="-1"/>
      <w:effect w:val="none"/>
      <w:vertAlign w:val="baseline"/>
      <w:cs w:val="0"/>
      <w:em w:val="none"/>
    </w:rPr>
  </w:style>
  <w:style w:type="character" w:styleId="WW-WW8Num3ztrue311" w:customStyle="1">
    <w:name w:val="WW-WW8Num3ztrue311"/>
    <w:rPr>
      <w:w w:val="100"/>
      <w:position w:val="-1"/>
      <w:effect w:val="none"/>
      <w:vertAlign w:val="baseline"/>
      <w:cs w:val="0"/>
      <w:em w:val="none"/>
    </w:rPr>
  </w:style>
  <w:style w:type="character" w:styleId="WW-WW8Num3ztrue411" w:customStyle="1">
    <w:name w:val="WW-WW8Num3ztrue411"/>
    <w:rPr>
      <w:w w:val="100"/>
      <w:position w:val="-1"/>
      <w:effect w:val="none"/>
      <w:vertAlign w:val="baseline"/>
      <w:cs w:val="0"/>
      <w:em w:val="none"/>
    </w:rPr>
  </w:style>
  <w:style w:type="character" w:styleId="WW-WW8Num3ztrue511" w:customStyle="1">
    <w:name w:val="WW-WW8Num3ztrue511"/>
    <w:rPr>
      <w:w w:val="100"/>
      <w:position w:val="-1"/>
      <w:effect w:val="none"/>
      <w:vertAlign w:val="baseline"/>
      <w:cs w:val="0"/>
      <w:em w:val="none"/>
    </w:rPr>
  </w:style>
  <w:style w:type="character" w:styleId="WW-WW8Num3ztrue611" w:customStyle="1">
    <w:name w:val="WW-WW8Num3ztrue611"/>
    <w:rPr>
      <w:w w:val="100"/>
      <w:position w:val="-1"/>
      <w:effect w:val="none"/>
      <w:vertAlign w:val="baseline"/>
      <w:cs w:val="0"/>
      <w:em w:val="none"/>
    </w:rPr>
  </w:style>
  <w:style w:type="character" w:styleId="WW-DefaultParagraphFont1" w:customStyle="1">
    <w:name w:val="WW-Default Paragraph Font1"/>
    <w:rPr>
      <w:w w:val="100"/>
      <w:position w:val="-1"/>
      <w:effect w:val="none"/>
      <w:vertAlign w:val="baseline"/>
      <w:cs w:val="0"/>
      <w:em w:val="none"/>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character" w:styleId="HeaderChar" w:customStyle="1">
    <w:name w:val="Header Char"/>
    <w:rPr>
      <w:w w:val="100"/>
      <w:position w:val="-1"/>
      <w:sz w:val="22"/>
      <w:szCs w:val="22"/>
      <w:effect w:val="none"/>
      <w:vertAlign w:val="baseline"/>
      <w:cs w:val="0"/>
      <w:em w:val="none"/>
      <w:lang w:val="en-IN"/>
    </w:rPr>
  </w:style>
  <w:style w:type="character" w:styleId="FooterChar" w:customStyle="1">
    <w:name w:val="Footer Char"/>
    <w:rPr>
      <w:w w:val="100"/>
      <w:position w:val="-1"/>
      <w:sz w:val="22"/>
      <w:szCs w:val="22"/>
      <w:effect w:val="none"/>
      <w:vertAlign w:val="baseline"/>
      <w:cs w:val="0"/>
      <w:em w:val="none"/>
      <w:lang w:val="en-IN"/>
    </w:rPr>
  </w:style>
  <w:style w:type="character" w:styleId="ListLabel1" w:customStyle="1">
    <w:name w:val="ListLabel 1"/>
    <w:rPr>
      <w:b w:val="1"/>
      <w:w w:val="100"/>
      <w:position w:val="-1"/>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ListLabel3" w:customStyle="1">
    <w:name w:val="ListLabel 3"/>
    <w:rPr>
      <w:w w:val="100"/>
      <w:position w:val="-1"/>
      <w:effect w:val="none"/>
      <w:vertAlign w:val="baseline"/>
      <w:cs w:val="0"/>
      <w:em w:val="none"/>
    </w:rPr>
  </w:style>
  <w:style w:type="character" w:styleId="ListLabel4" w:customStyle="1">
    <w:name w:val="ListLabel 4"/>
    <w:rPr>
      <w:w w:val="100"/>
      <w:position w:val="-1"/>
      <w:sz w:val="16"/>
      <w:szCs w:val="16"/>
      <w:effect w:val="none"/>
      <w:vertAlign w:val="baseline"/>
      <w:cs w:val="0"/>
      <w:em w:val="none"/>
    </w:rPr>
  </w:style>
  <w:style w:type="character" w:styleId="ListLabel5" w:customStyle="1">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styleId="WW8Num20zfalse" w:customStyle="1">
    <w:name w:val="WW8Num20zfalse"/>
    <w:rPr>
      <w:w w:val="100"/>
      <w:position w:val="-1"/>
      <w:effect w:val="none"/>
      <w:vertAlign w:val="baseline"/>
      <w:cs w:val="0"/>
      <w:em w:val="none"/>
    </w:rPr>
  </w:style>
  <w:style w:type="character" w:styleId="WW8Num20ztrue" w:customStyle="1">
    <w:name w:val="WW8Num20ztrue"/>
    <w:rPr>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WW8Num2ztrue" w:customStyle="1">
    <w:name w:val="WW8Num2ztrue"/>
    <w:rPr>
      <w:w w:val="100"/>
      <w:position w:val="-1"/>
      <w:effect w:val="none"/>
      <w:vertAlign w:val="baseline"/>
      <w:cs w:val="0"/>
      <w:em w:val="none"/>
    </w:rPr>
  </w:style>
  <w:style w:type="character" w:styleId="WW8Num10zfalse" w:customStyle="1">
    <w:name w:val="WW8Num10zfalse"/>
    <w:rPr>
      <w:w w:val="100"/>
      <w:position w:val="-1"/>
      <w:effect w:val="none"/>
      <w:vertAlign w:val="baseline"/>
      <w:cs w:val="0"/>
      <w:em w:val="none"/>
    </w:rPr>
  </w:style>
  <w:style w:type="character" w:styleId="WW8Num10ztrue" w:customStyle="1">
    <w:name w:val="WW8Num10ztrue"/>
    <w:rPr>
      <w:w w:val="100"/>
      <w:position w:val="-1"/>
      <w:effect w:val="none"/>
      <w:vertAlign w:val="baseline"/>
      <w:cs w:val="0"/>
      <w:em w:val="none"/>
    </w:rPr>
  </w:style>
  <w:style w:type="character" w:styleId="WW8Num25zfalse" w:customStyle="1">
    <w:name w:val="WW8Num25zfalse"/>
    <w:rPr>
      <w:w w:val="100"/>
      <w:position w:val="-1"/>
      <w:effect w:val="none"/>
      <w:vertAlign w:val="baseline"/>
      <w:cs w:val="0"/>
      <w:em w:val="none"/>
    </w:rPr>
  </w:style>
  <w:style w:type="character" w:styleId="WW8Num25ztrue" w:customStyle="1">
    <w:name w:val="WW8Num25ztrue"/>
    <w:rPr>
      <w:w w:val="100"/>
      <w:position w:val="-1"/>
      <w:effect w:val="none"/>
      <w:vertAlign w:val="baseline"/>
      <w:cs w:val="0"/>
      <w:em w:val="none"/>
    </w:rPr>
  </w:style>
  <w:style w:type="character" w:styleId="WW8Num9zfalse" w:customStyle="1">
    <w:name w:val="WW8Num9zfalse"/>
    <w:rPr>
      <w:w w:val="100"/>
      <w:position w:val="-1"/>
      <w:effect w:val="none"/>
      <w:vertAlign w:val="baseline"/>
      <w:cs w:val="0"/>
      <w:em w:val="none"/>
    </w:rPr>
  </w:style>
  <w:style w:type="character" w:styleId="WW8Num9ztrue" w:customStyle="1">
    <w:name w:val="WW8Num9ztrue"/>
    <w:rPr>
      <w:w w:val="100"/>
      <w:position w:val="-1"/>
      <w:effect w:val="none"/>
      <w:vertAlign w:val="baseline"/>
      <w:cs w:val="0"/>
      <w:em w:val="none"/>
    </w:rPr>
  </w:style>
  <w:style w:type="paragraph" w:styleId="Heading" w:customStyle="1">
    <w:name w:val="Heading"/>
    <w:basedOn w:val="Normal"/>
    <w:next w:val="BodyText"/>
    <w:pPr>
      <w:keepNext w:val="1"/>
      <w:spacing w:after="120" w:before="240"/>
    </w:pPr>
    <w:rPr>
      <w:rFonts w:ascii="Arial" w:cs="Mangal" w:eastAsia="Microsoft YaHei" w:hAnsi="Ari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val="1"/>
      <w:spacing w:after="120" w:before="120"/>
    </w:pPr>
    <w:rPr>
      <w:rFonts w:cs="Mangal"/>
      <w:i w:val="1"/>
      <w:iCs w:val="1"/>
      <w:sz w:val="24"/>
      <w:szCs w:val="24"/>
    </w:rPr>
  </w:style>
  <w:style w:type="paragraph" w:styleId="Index" w:customStyle="1">
    <w:name w:val="Index"/>
    <w:basedOn w:val="Normal"/>
    <w:pPr>
      <w:suppressLineNumbers w:val="1"/>
    </w:pPr>
    <w:rPr>
      <w:rFonts w:cs="Mangal"/>
    </w:rPr>
  </w:style>
  <w:style w:type="paragraph" w:styleId="BalloonText">
    <w:name w:val="Balloon Text"/>
    <w:basedOn w:val="Normal"/>
    <w:pPr>
      <w:spacing w:after="0" w:line="100" w:lineRule="atLeast"/>
    </w:pPr>
    <w:rPr>
      <w:rFonts w:ascii="Tahoma" w:cs="Tahoma" w:hAnsi="Tahoma"/>
      <w:sz w:val="16"/>
      <w:szCs w:val="16"/>
    </w:rPr>
  </w:style>
  <w:style w:type="paragraph" w:styleId="ListParagraph">
    <w:name w:val="List Paragraph"/>
    <w:basedOn w:val="Normal"/>
    <w:qFormat w:val="1"/>
    <w:pPr>
      <w:spacing w:after="0" w:line="100" w:lineRule="atLeast"/>
      <w:ind w:left="720" w:firstLine="0"/>
      <w:contextualSpacing w:val="1"/>
    </w:pPr>
    <w:rPr>
      <w:rFonts w:ascii="Times New Roman" w:cs="Times New Roman" w:eastAsia="Times New Roman" w:hAnsi="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FrameContents" w:customStyle="1">
    <w:name w:val="Frame Contents"/>
    <w:basedOn w:val="BodyText"/>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NormalWeb">
    <w:name w:val="Normal (Web)"/>
    <w:basedOn w:val="Normal"/>
    <w:qFormat w:val="1"/>
    <w:pPr>
      <w:suppressAutoHyphens w:val="1"/>
      <w:spacing w:after="100" w:afterAutospacing="1" w:before="100" w:beforeAutospacing="1" w:line="240" w:lineRule="auto"/>
    </w:pPr>
    <w:rPr>
      <w:rFonts w:ascii="Times New Roman" w:cs="Times New Roman" w:eastAsia="Times New Roman" w:hAnsi="Times New Roman"/>
      <w:kern w:val="0"/>
      <w:sz w:val="24"/>
      <w:szCs w:val="24"/>
      <w:lang w:val="en-US"/>
    </w:rPr>
  </w:style>
  <w:style w:type="character" w:styleId="contentcolor" w:customStyle="1">
    <w:name w:val="content_color"/>
    <w:basedOn w:val="DefaultParagraphFont"/>
    <w:rPr>
      <w:w w:val="100"/>
      <w:position w:val="-1"/>
      <w:effect w:val="none"/>
      <w:vertAlign w:val="baseline"/>
      <w:cs w:val="0"/>
      <w:em w:val="none"/>
    </w:rPr>
  </w:style>
  <w:style w:type="character" w:styleId="contentselect" w:customStyle="1">
    <w:name w:val="content_select"/>
    <w:basedOn w:val="DefaultParagraphFont"/>
    <w:rPr>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color w:val="000000"/>
      <w:position w:val="-1"/>
      <w:sz w:val="24"/>
      <w:szCs w:val="24"/>
      <w:lang w:eastAsia="en-US" w:val="en-US"/>
    </w:rPr>
  </w:style>
  <w:style w:type="character" w:styleId="Heading3Char" w:customStyle="1">
    <w:name w:val="Heading 3 Char"/>
    <w:rPr>
      <w:b w:val="1"/>
      <w:bCs w:val="1"/>
      <w:w w:val="100"/>
      <w:position w:val="-1"/>
      <w:sz w:val="27"/>
      <w:szCs w:val="27"/>
      <w:effect w:val="none"/>
      <w:vertAlign w:val="baseline"/>
      <w:cs w:val="0"/>
      <w:em w:val="none"/>
    </w:rPr>
  </w:style>
  <w:style w:type="character" w:styleId="apple-converted-space" w:customStyle="1">
    <w:name w:val="apple-converted-space"/>
    <w:rPr>
      <w:w w:val="100"/>
      <w:position w:val="-1"/>
      <w:effect w:val="none"/>
      <w:vertAlign w:val="baseline"/>
      <w:cs w:val="0"/>
      <w:em w:val="none"/>
    </w:rPr>
  </w:style>
  <w:style w:type="character" w:styleId="Heading2Char" w:customStyle="1">
    <w:name w:val="Heading 2 Char"/>
    <w:rPr>
      <w:rFonts w:ascii="Cambria" w:cs="Times New Roman" w:eastAsia="Times New Roman" w:hAnsi="Cambria"/>
      <w:b w:val="1"/>
      <w:bCs w:val="1"/>
      <w:i w:val="1"/>
      <w:iCs w:val="1"/>
      <w:w w:val="100"/>
      <w:kern w:val="1"/>
      <w:position w:val="-1"/>
      <w:sz w:val="28"/>
      <w:szCs w:val="28"/>
      <w:effect w:val="none"/>
      <w:vertAlign w:val="baseline"/>
      <w:cs w:val="0"/>
      <w:em w:val="none"/>
      <w:lang w:eastAsia="zh-CN"/>
    </w:rPr>
  </w:style>
  <w:style w:type="character" w:styleId="Emphasis">
    <w:name w:val="Emphasis"/>
    <w:rPr>
      <w:i w:val="1"/>
      <w:iCs w:val="1"/>
      <w:w w:val="100"/>
      <w:position w:val="-1"/>
      <w:effect w:val="none"/>
      <w:vertAlign w:val="baseline"/>
      <w:cs w:val="0"/>
      <w:em w:val="none"/>
    </w:rPr>
  </w:style>
  <w:style w:type="character" w:styleId="Heading1Char" w:customStyle="1">
    <w:name w:val="Heading 1 Char"/>
    <w:rPr>
      <w:rFonts w:ascii="Cambria" w:cs="Times New Roman" w:eastAsia="Times New Roman" w:hAnsi="Cambria"/>
      <w:b w:val="1"/>
      <w:bCs w:val="1"/>
      <w:w w:val="100"/>
      <w:kern w:val="32"/>
      <w:position w:val="-1"/>
      <w:sz w:val="32"/>
      <w:szCs w:val="32"/>
      <w:effect w:val="none"/>
      <w:vertAlign w:val="baseline"/>
      <w:cs w:val="0"/>
      <w:em w:val="none"/>
      <w:lang w:eastAsia="zh-CN"/>
    </w:rPr>
  </w:style>
  <w:style w:type="character" w:styleId="il" w:customStyle="1">
    <w:name w:val="il"/>
    <w:rPr>
      <w:w w:val="100"/>
      <w:position w:val="-1"/>
      <w:effect w:val="none"/>
      <w:vertAlign w:val="baseline"/>
      <w:cs w:val="0"/>
      <w:em w:val="non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Trigonometric_functions" TargetMode="External"/><Relationship Id="rId22" Type="http://schemas.openxmlformats.org/officeDocument/2006/relationships/image" Target="media/image5.png"/><Relationship Id="rId21" Type="http://schemas.openxmlformats.org/officeDocument/2006/relationships/hyperlink" Target="https://en.wikipedia.org/wiki/Division_by_zero" TargetMode="External"/><Relationship Id="rId24" Type="http://schemas.openxmlformats.org/officeDocument/2006/relationships/image" Target="media/image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Floating_point" TargetMode="External"/><Relationship Id="rId26" Type="http://schemas.openxmlformats.org/officeDocument/2006/relationships/image" Target="media/image4.jpg"/><Relationship Id="rId25" Type="http://schemas.openxmlformats.org/officeDocument/2006/relationships/image" Target="media/image7.jpg"/><Relationship Id="rId28" Type="http://schemas.openxmlformats.org/officeDocument/2006/relationships/header" Target="header3.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8.png"/><Relationship Id="rId8" Type="http://schemas.openxmlformats.org/officeDocument/2006/relationships/hyperlink" Target="https://en.wikipedia.org/wiki/Technical_standard" TargetMode="External"/><Relationship Id="rId31" Type="http://schemas.openxmlformats.org/officeDocument/2006/relationships/footer" Target="footer2.xml"/><Relationship Id="rId30" Type="http://schemas.openxmlformats.org/officeDocument/2006/relationships/footer" Target="footer3.xml"/><Relationship Id="rId11" Type="http://schemas.openxmlformats.org/officeDocument/2006/relationships/hyperlink" Target="https://en.wikipedia.org/wiki/Floating_point#IEEE_754_design_rationale" TargetMode="External"/><Relationship Id="rId10" Type="http://schemas.openxmlformats.org/officeDocument/2006/relationships/hyperlink" Target="https://en.wikipedia.org/wiki/Institute_of_Electrical_and_Electronics_Engineers" TargetMode="External"/><Relationship Id="rId32" Type="http://schemas.openxmlformats.org/officeDocument/2006/relationships/footer" Target="footer1.xml"/><Relationship Id="rId13" Type="http://schemas.openxmlformats.org/officeDocument/2006/relationships/hyperlink" Target="https://en.wikipedia.org/wiki/Floating_point_unit" TargetMode="External"/><Relationship Id="rId12" Type="http://schemas.openxmlformats.org/officeDocument/2006/relationships/hyperlink" Target="https://en.wikipedia.org/wiki/Software_portability" TargetMode="External"/><Relationship Id="rId15" Type="http://schemas.openxmlformats.org/officeDocument/2006/relationships/hyperlink" Target="https://en.wikipedia.org/wiki/Decimal" TargetMode="External"/><Relationship Id="rId14" Type="http://schemas.openxmlformats.org/officeDocument/2006/relationships/hyperlink" Target="https://en.wikipedia.org/wiki/Binary_code" TargetMode="External"/><Relationship Id="rId17" Type="http://schemas.openxmlformats.org/officeDocument/2006/relationships/hyperlink" Target="https://en.wikipedia.org/wiki/Subnormal_number" TargetMode="External"/><Relationship Id="rId16" Type="http://schemas.openxmlformats.org/officeDocument/2006/relationships/hyperlink" Target="https://en.wikipedia.org/wiki/Signed_zero" TargetMode="External"/><Relationship Id="rId19" Type="http://schemas.openxmlformats.org/officeDocument/2006/relationships/hyperlink" Target="https://en.wikipedia.org/wiki/NaN" TargetMode="External"/><Relationship Id="rId18" Type="http://schemas.openxmlformats.org/officeDocument/2006/relationships/hyperlink" Target="https://en.wikipedia.org/wiki/Infin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dwPmh3V1wFOz7Ii1/p9Hcy/nQ==">CgMxLjAaJQoBMBIgCh4IB0IaCg9UaW1lcyBOZXcgUm9tYW4SB0d1bmdzdWgyCGguZ2pkZ3hzOAByITFpcmJWWDB2YThaTUdtWXJoeXFPaGVkYzlMd05GbDRGRg==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2022-10-22T14:14:00Z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