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2574290</wp:posOffset>
                </wp:positionH>
                <wp:positionV relativeFrom="paragraph">
                  <wp:posOffset>-29209</wp:posOffset>
                </wp:positionV>
                <wp:extent cx="3192780" cy="1121289"/>
                <wp:effectExtent b="0" l="0" r="0" t="0"/>
                <wp:wrapNone/>
                <wp:docPr id="2" name=""/>
                <a:graphic>
                  <a:graphicData uri="http://schemas.microsoft.com/office/word/2010/wordprocessingShape">
                    <wps:wsp>
                      <wps:cNvSpPr/>
                      <wps:cNvPr id="3" name="Shape 3"/>
                      <wps:spPr>
                        <a:xfrm>
                          <a:off x="3759135" y="3233096"/>
                          <a:ext cx="3173730" cy="109380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C2             	Roll No.: 16010121200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04</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2574290</wp:posOffset>
                </wp:positionH>
                <wp:positionV relativeFrom="paragraph">
                  <wp:posOffset>-29209</wp:posOffset>
                </wp:positionV>
                <wp:extent cx="3192780" cy="1121289"/>
                <wp:effectExtent b="0" l="0" r="0" t="0"/>
                <wp:wrapNone/>
                <wp:docPr id="2"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3192780" cy="1121289"/>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tl w:val="0"/>
              </w:rPr>
              <w:t xml:space="preserve"> Tableau- Introduction to charts  </w:t>
            </w:r>
            <w:r w:rsidDel="00000000" w:rsidR="00000000" w:rsidRPr="00000000">
              <w:rPr>
                <w:rtl w:val="0"/>
              </w:rPr>
            </w:r>
          </w:p>
        </w:tc>
      </w:tr>
    </w:tbl>
    <w:p w:rsidR="00000000" w:rsidDel="00000000" w:rsidP="00000000" w:rsidRDefault="00000000" w:rsidRPr="00000000" w14:paraId="00000009">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469900</wp:posOffset>
                </wp:positionV>
                <wp:extent cx="5581650" cy="22225"/>
                <wp:effectExtent b="0" l="0" r="0" t="0"/>
                <wp:wrapNone/>
                <wp:docPr id="1"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469900</wp:posOffset>
                </wp:positionV>
                <wp:extent cx="5581650" cy="22225"/>
                <wp:effectExtent b="0" l="0" r="0" t="0"/>
                <wp:wrapNone/>
                <wp:docPr id="1"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0A">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0B">
      <w:pPr>
        <w:pStyle w:val="Heading1"/>
        <w:spacing w:after="280" w:before="280" w:lineRule="auto"/>
        <w:ind w:right="120"/>
        <w:jc w:val="both"/>
        <w:rPr>
          <w:sz w:val="24"/>
          <w:szCs w:val="24"/>
        </w:rPr>
      </w:pPr>
      <w:r w:rsidDel="00000000" w:rsidR="00000000" w:rsidRPr="00000000">
        <w:rPr>
          <w:sz w:val="24"/>
          <w:szCs w:val="24"/>
          <w:rtl w:val="0"/>
        </w:rPr>
        <w:t xml:space="preserve">Objective: To learn how to use various charts for visualizing preprocessed data in Tableau</w:t>
      </w:r>
    </w:p>
    <w:p w:rsidR="00000000" w:rsidDel="00000000" w:rsidP="00000000" w:rsidRDefault="00000000" w:rsidRPr="00000000" w14:paraId="0000000C">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12700</wp:posOffset>
                </wp:positionV>
                <wp:extent cx="5581650" cy="22225"/>
                <wp:effectExtent b="0" l="0" r="0" t="0"/>
                <wp:wrapNone/>
                <wp:docPr id="3"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12700</wp:posOffset>
                </wp:positionV>
                <wp:extent cx="5581650" cy="22225"/>
                <wp:effectExtent b="0" l="0" r="0" t="0"/>
                <wp:wrapNone/>
                <wp:docPr id="3"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0D">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0E">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CO1: Learn how to locate and download datasets, extract insights from that data and present their findings in a variety of different formats.</w:t>
      </w:r>
    </w:p>
    <w:p w:rsidR="00000000" w:rsidDel="00000000" w:rsidP="00000000" w:rsidRDefault="00000000" w:rsidRPr="00000000" w14:paraId="0000000F">
      <w:pPr>
        <w:pStyle w:val="Heading1"/>
        <w:spacing w:after="280" w:before="280" w:lineRule="auto"/>
        <w:ind w:right="120"/>
        <w:jc w:val="both"/>
        <w:rPr/>
      </w:pPr>
      <w:bookmarkStart w:colFirst="0" w:colLast="0" w:name="_heading=h.8m3hdq59pcy" w:id="0"/>
      <w:bookmarkEnd w:id="0"/>
      <w:r w:rsidDel="00000000" w:rsidR="00000000" w:rsidRPr="00000000">
        <w:rPr>
          <w:sz w:val="24"/>
          <w:szCs w:val="24"/>
          <w:rtl w:val="0"/>
        </w:rPr>
        <w:t xml:space="preserve">CO3:</w:t>
        <w:tab/>
        <w:t xml:space="preserve">Apply data visualization best practices</w:t>
      </w:r>
      <w:r w:rsidDel="00000000" w:rsidR="00000000" w:rsidRPr="00000000">
        <w:rPr>
          <w:rtl w:val="0"/>
        </w:rPr>
      </w:r>
    </w:p>
    <w:p w:rsidR="00000000" w:rsidDel="00000000" w:rsidP="00000000" w:rsidRDefault="00000000" w:rsidRPr="00000000" w14:paraId="00000010">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1">
      <w:pPr>
        <w:spacing w:after="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https://www.kaggle.com/datasets/shekpaul/global-superstore</w:t>
        </w:r>
      </w:hyperlink>
      <w:r w:rsidDel="00000000" w:rsidR="00000000" w:rsidRPr="00000000">
        <w:rPr>
          <w:rtl w:val="0"/>
        </w:rPr>
      </w:r>
    </w:p>
    <w:p w:rsidR="00000000" w:rsidDel="00000000" w:rsidP="00000000" w:rsidRDefault="00000000" w:rsidRPr="00000000" w14:paraId="00000012">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1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Excel, Online Dataset</w:t>
      </w:r>
    </w:p>
    <w:p w:rsidR="00000000" w:rsidDel="00000000" w:rsidP="00000000" w:rsidRDefault="00000000" w:rsidRPr="00000000" w14:paraId="00000014">
      <w:pPr>
        <w:pStyle w:val="Heading1"/>
        <w:spacing w:after="280" w:before="280" w:lineRule="auto"/>
        <w:ind w:right="120"/>
        <w:jc w:val="both"/>
        <w:rPr>
          <w:sz w:val="24"/>
          <w:szCs w:val="24"/>
        </w:rPr>
      </w:pPr>
      <w:r w:rsidDel="00000000" w:rsidR="00000000" w:rsidRPr="00000000">
        <w:rPr>
          <w:sz w:val="24"/>
          <w:szCs w:val="24"/>
          <w:rtl w:val="0"/>
        </w:rPr>
        <w:t xml:space="preserve">Theory (About various charts explored):</w:t>
      </w:r>
    </w:p>
    <w:p w:rsidR="00000000" w:rsidDel="00000000" w:rsidP="00000000" w:rsidRDefault="00000000" w:rsidRPr="00000000" w14:paraId="00000015">
      <w:pPr>
        <w:pStyle w:val="Heading1"/>
        <w:spacing w:after="280" w:before="280" w:lineRule="auto"/>
        <w:ind w:right="120"/>
        <w:jc w:val="both"/>
        <w:rPr>
          <w:b w:val="0"/>
          <w:sz w:val="24"/>
          <w:szCs w:val="24"/>
        </w:rPr>
      </w:pPr>
      <w:r w:rsidDel="00000000" w:rsidR="00000000" w:rsidRPr="00000000">
        <w:rPr>
          <w:b w:val="0"/>
          <w:color w:val="202124"/>
          <w:sz w:val="24"/>
          <w:szCs w:val="24"/>
          <w:highlight w:val="white"/>
          <w:rtl w:val="0"/>
        </w:rPr>
        <w:t xml:space="preserve">Charts enable you to visually compare multiple sets of data. Charts can help people better understand and remember information.</w:t>
      </w:r>
      <w:r w:rsidDel="00000000" w:rsidR="00000000" w:rsidRPr="00000000">
        <w:rPr>
          <w:b w:val="0"/>
          <w:sz w:val="24"/>
          <w:szCs w:val="24"/>
          <w:rtl w:val="0"/>
        </w:rPr>
        <w:t xml:space="preserve"> Different types of charts require different measures and dimensions and provide different insights into the data.</w:t>
      </w:r>
    </w:p>
    <w:p w:rsidR="00000000" w:rsidDel="00000000" w:rsidP="00000000" w:rsidRDefault="00000000" w:rsidRPr="00000000" w14:paraId="00000016">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17">
      <w:pPr>
        <w:pStyle w:val="Heading1"/>
        <w:spacing w:after="280" w:before="280" w:lineRule="auto"/>
        <w:ind w:right="120"/>
        <w:jc w:val="both"/>
        <w:rPr>
          <w:b w:val="0"/>
          <w:sz w:val="24"/>
          <w:szCs w:val="24"/>
        </w:rPr>
      </w:pPr>
      <w:r w:rsidDel="00000000" w:rsidR="00000000" w:rsidRPr="00000000">
        <w:rPr>
          <w:b w:val="0"/>
          <w:sz w:val="24"/>
          <w:szCs w:val="24"/>
          <w:rtl w:val="0"/>
        </w:rPr>
        <w:t xml:space="preserve">Different charts explored for data visualization:</w:t>
      </w:r>
    </w:p>
    <w:p w:rsidR="00000000" w:rsidDel="00000000" w:rsidP="00000000" w:rsidRDefault="00000000" w:rsidRPr="00000000" w14:paraId="00000018">
      <w:pPr>
        <w:pStyle w:val="Heading1"/>
        <w:numPr>
          <w:ilvl w:val="0"/>
          <w:numId w:val="2"/>
        </w:numPr>
        <w:spacing w:after="0" w:before="280" w:lineRule="auto"/>
        <w:ind w:left="720" w:right="120" w:hanging="360"/>
        <w:jc w:val="both"/>
        <w:rPr>
          <w:b w:val="0"/>
          <w:sz w:val="24"/>
          <w:szCs w:val="24"/>
        </w:rPr>
      </w:pPr>
      <w:r w:rsidDel="00000000" w:rsidR="00000000" w:rsidRPr="00000000">
        <w:rPr>
          <w:b w:val="0"/>
          <w:sz w:val="24"/>
          <w:szCs w:val="24"/>
          <w:rtl w:val="0"/>
        </w:rPr>
        <w:t xml:space="preserve">Bar Chart</w:t>
      </w:r>
    </w:p>
    <w:p w:rsidR="00000000" w:rsidDel="00000000" w:rsidP="00000000" w:rsidRDefault="00000000" w:rsidRPr="00000000" w14:paraId="00000019">
      <w:pPr>
        <w:pStyle w:val="Heading1"/>
        <w:numPr>
          <w:ilvl w:val="0"/>
          <w:numId w:val="2"/>
        </w:numPr>
        <w:spacing w:after="0" w:before="0" w:lineRule="auto"/>
        <w:ind w:left="720" w:right="120" w:hanging="360"/>
        <w:jc w:val="both"/>
        <w:rPr>
          <w:b w:val="0"/>
          <w:sz w:val="24"/>
          <w:szCs w:val="24"/>
        </w:rPr>
      </w:pPr>
      <w:r w:rsidDel="00000000" w:rsidR="00000000" w:rsidRPr="00000000">
        <w:rPr>
          <w:b w:val="0"/>
          <w:sz w:val="24"/>
          <w:szCs w:val="24"/>
          <w:rtl w:val="0"/>
        </w:rPr>
        <w:t xml:space="preserve">Line Chart</w:t>
      </w:r>
    </w:p>
    <w:p w:rsidR="00000000" w:rsidDel="00000000" w:rsidP="00000000" w:rsidRDefault="00000000" w:rsidRPr="00000000" w14:paraId="0000001A">
      <w:pPr>
        <w:pStyle w:val="Heading1"/>
        <w:numPr>
          <w:ilvl w:val="0"/>
          <w:numId w:val="2"/>
        </w:numPr>
        <w:spacing w:after="0" w:before="0" w:lineRule="auto"/>
        <w:ind w:left="720" w:right="120" w:hanging="360"/>
        <w:jc w:val="both"/>
        <w:rPr>
          <w:b w:val="0"/>
          <w:sz w:val="24"/>
          <w:szCs w:val="24"/>
        </w:rPr>
      </w:pPr>
      <w:r w:rsidDel="00000000" w:rsidR="00000000" w:rsidRPr="00000000">
        <w:rPr>
          <w:b w:val="0"/>
          <w:sz w:val="24"/>
          <w:szCs w:val="24"/>
          <w:rtl w:val="0"/>
        </w:rPr>
        <w:t xml:space="preserve">Pie Chart</w:t>
      </w:r>
    </w:p>
    <w:p w:rsidR="00000000" w:rsidDel="00000000" w:rsidP="00000000" w:rsidRDefault="00000000" w:rsidRPr="00000000" w14:paraId="0000001B">
      <w:pPr>
        <w:pStyle w:val="Heading1"/>
        <w:numPr>
          <w:ilvl w:val="0"/>
          <w:numId w:val="2"/>
        </w:numPr>
        <w:spacing w:after="0" w:before="0" w:lineRule="auto"/>
        <w:ind w:left="720" w:right="120" w:hanging="360"/>
        <w:jc w:val="both"/>
        <w:rPr>
          <w:b w:val="0"/>
          <w:sz w:val="24"/>
          <w:szCs w:val="24"/>
        </w:rPr>
      </w:pPr>
      <w:r w:rsidDel="00000000" w:rsidR="00000000" w:rsidRPr="00000000">
        <w:rPr>
          <w:b w:val="0"/>
          <w:sz w:val="24"/>
          <w:szCs w:val="24"/>
          <w:rtl w:val="0"/>
        </w:rPr>
        <w:t xml:space="preserve">Scatter Plot</w:t>
      </w:r>
    </w:p>
    <w:p w:rsidR="00000000" w:rsidDel="00000000" w:rsidP="00000000" w:rsidRDefault="00000000" w:rsidRPr="00000000" w14:paraId="0000001C">
      <w:pPr>
        <w:pStyle w:val="Heading1"/>
        <w:numPr>
          <w:ilvl w:val="0"/>
          <w:numId w:val="2"/>
        </w:numPr>
        <w:spacing w:after="0" w:before="0" w:lineRule="auto"/>
        <w:ind w:left="720" w:right="120" w:hanging="360"/>
        <w:jc w:val="both"/>
        <w:rPr>
          <w:b w:val="0"/>
          <w:sz w:val="24"/>
          <w:szCs w:val="24"/>
        </w:rPr>
      </w:pPr>
      <w:r w:rsidDel="00000000" w:rsidR="00000000" w:rsidRPr="00000000">
        <w:rPr>
          <w:b w:val="0"/>
          <w:sz w:val="24"/>
          <w:szCs w:val="24"/>
          <w:rtl w:val="0"/>
        </w:rPr>
        <w:t xml:space="preserve">Packed Bubble Chart</w:t>
      </w:r>
    </w:p>
    <w:p w:rsidR="00000000" w:rsidDel="00000000" w:rsidP="00000000" w:rsidRDefault="00000000" w:rsidRPr="00000000" w14:paraId="0000001D">
      <w:pPr>
        <w:pStyle w:val="Heading1"/>
        <w:numPr>
          <w:ilvl w:val="0"/>
          <w:numId w:val="2"/>
        </w:numPr>
        <w:spacing w:after="280" w:before="0" w:lineRule="auto"/>
        <w:ind w:left="720" w:right="120" w:hanging="360"/>
        <w:jc w:val="both"/>
        <w:rPr>
          <w:b w:val="0"/>
          <w:sz w:val="24"/>
          <w:szCs w:val="24"/>
        </w:rPr>
      </w:pPr>
      <w:r w:rsidDel="00000000" w:rsidR="00000000" w:rsidRPr="00000000">
        <w:rPr>
          <w:b w:val="0"/>
          <w:sz w:val="24"/>
          <w:szCs w:val="24"/>
          <w:rtl w:val="0"/>
        </w:rPr>
        <w:t xml:space="preserve">Donut Chart</w:t>
      </w:r>
    </w:p>
    <w:p w:rsidR="00000000" w:rsidDel="00000000" w:rsidP="00000000" w:rsidRDefault="00000000" w:rsidRPr="00000000" w14:paraId="0000001E">
      <w:pPr>
        <w:pStyle w:val="Heading1"/>
        <w:spacing w:after="280" w:before="280" w:lineRule="auto"/>
        <w:ind w:right="120"/>
        <w:jc w:val="both"/>
        <w:rPr>
          <w:b w:val="0"/>
          <w:sz w:val="24"/>
          <w:szCs w:val="24"/>
        </w:rPr>
      </w:pPr>
      <w:r w:rsidDel="00000000" w:rsidR="00000000" w:rsidRPr="00000000">
        <w:rPr>
          <w:b w:val="0"/>
          <w:sz w:val="24"/>
          <w:szCs w:val="24"/>
          <w:rtl w:val="0"/>
        </w:rPr>
        <w:t xml:space="preserve">Platform used by the student: Tableau</w:t>
      </w:r>
    </w:p>
    <w:p w:rsidR="00000000" w:rsidDel="00000000" w:rsidP="00000000" w:rsidRDefault="00000000" w:rsidRPr="00000000" w14:paraId="0000001F">
      <w:pPr>
        <w:pStyle w:val="Heading1"/>
        <w:spacing w:after="280" w:before="280" w:lineRule="auto"/>
        <w:ind w:right="120"/>
        <w:jc w:val="both"/>
        <w:rPr>
          <w:b w:val="0"/>
          <w:sz w:val="24"/>
          <w:szCs w:val="24"/>
        </w:rPr>
      </w:pPr>
      <w:r w:rsidDel="00000000" w:rsidR="00000000" w:rsidRPr="00000000">
        <w:rPr>
          <w:b w:val="0"/>
          <w:sz w:val="24"/>
          <w:szCs w:val="24"/>
          <w:rtl w:val="0"/>
        </w:rPr>
        <w:t xml:space="preserve">Working: Using tableau software</w:t>
      </w:r>
    </w:p>
    <w:p w:rsidR="00000000" w:rsidDel="00000000" w:rsidP="00000000" w:rsidRDefault="00000000" w:rsidRPr="00000000" w14:paraId="00000020">
      <w:pPr>
        <w:pStyle w:val="Heading1"/>
        <w:numPr>
          <w:ilvl w:val="0"/>
          <w:numId w:val="4"/>
        </w:numPr>
        <w:spacing w:after="0" w:before="280" w:lineRule="auto"/>
        <w:ind w:left="720" w:right="120" w:hanging="360"/>
        <w:jc w:val="both"/>
        <w:rPr>
          <w:b w:val="0"/>
          <w:sz w:val="24"/>
          <w:szCs w:val="24"/>
        </w:rPr>
      </w:pPr>
      <w:r w:rsidDel="00000000" w:rsidR="00000000" w:rsidRPr="00000000">
        <w:rPr>
          <w:b w:val="0"/>
          <w:sz w:val="24"/>
          <w:szCs w:val="24"/>
          <w:rtl w:val="0"/>
        </w:rPr>
        <w:t xml:space="preserve">Screenshots of each chart output with variations explored on your dataset</w:t>
      </w:r>
    </w:p>
    <w:p w:rsidR="00000000" w:rsidDel="00000000" w:rsidP="00000000" w:rsidRDefault="00000000" w:rsidRPr="00000000" w14:paraId="00000021">
      <w:pPr>
        <w:pStyle w:val="Heading1"/>
        <w:numPr>
          <w:ilvl w:val="0"/>
          <w:numId w:val="4"/>
        </w:numPr>
        <w:spacing w:after="280" w:before="0" w:lineRule="auto"/>
        <w:ind w:left="720" w:right="120" w:hanging="360"/>
        <w:jc w:val="both"/>
        <w:rPr>
          <w:b w:val="0"/>
          <w:sz w:val="24"/>
          <w:szCs w:val="24"/>
        </w:rPr>
      </w:pPr>
      <w:r w:rsidDel="00000000" w:rsidR="00000000" w:rsidRPr="00000000">
        <w:rPr>
          <w:b w:val="0"/>
          <w:sz w:val="24"/>
          <w:szCs w:val="24"/>
          <w:rtl w:val="0"/>
        </w:rPr>
        <w:t xml:space="preserve">Interpretation (what each chart signifies)  </w:t>
      </w:r>
    </w:p>
    <w:p w:rsidR="00000000" w:rsidDel="00000000" w:rsidP="00000000" w:rsidRDefault="00000000" w:rsidRPr="00000000" w14:paraId="00000022">
      <w:pPr>
        <w:pStyle w:val="Heading1"/>
        <w:spacing w:after="280" w:before="280" w:lineRule="auto"/>
        <w:ind w:left="0" w:right="120" w:firstLine="0"/>
        <w:jc w:val="both"/>
        <w:rPr>
          <w:sz w:val="24"/>
          <w:szCs w:val="24"/>
        </w:rPr>
      </w:pPr>
      <w:r w:rsidDel="00000000" w:rsidR="00000000" w:rsidRPr="00000000">
        <w:rPr>
          <w:sz w:val="24"/>
          <w:szCs w:val="24"/>
          <w:rtl w:val="0"/>
        </w:rPr>
        <w:t xml:space="preserve">Bar Chart</w:t>
      </w:r>
    </w:p>
    <w:p w:rsidR="00000000" w:rsidDel="00000000" w:rsidP="00000000" w:rsidRDefault="00000000" w:rsidRPr="00000000" w14:paraId="00000023">
      <w:pPr>
        <w:rPr/>
      </w:pPr>
      <w:r w:rsidDel="00000000" w:rsidR="00000000" w:rsidRPr="00000000">
        <w:rPr/>
        <w:drawing>
          <wp:inline distB="114300" distT="114300" distL="114300" distR="114300">
            <wp:extent cx="5260658" cy="3139575"/>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260658" cy="31395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vs Market. APAC market has the highest sales followed by EU market, while Canada market has the lowest sales. Africa and EMEA market have almost similar sales.</w:t>
      </w:r>
    </w:p>
    <w:p w:rsidR="00000000" w:rsidDel="00000000" w:rsidP="00000000" w:rsidRDefault="00000000" w:rsidRPr="00000000" w14:paraId="00000025">
      <w:pPr>
        <w:rPr/>
      </w:pPr>
      <w:r w:rsidDel="00000000" w:rsidR="00000000" w:rsidRPr="00000000">
        <w:rPr/>
        <w:drawing>
          <wp:inline distB="114300" distT="114300" distL="114300" distR="114300">
            <wp:extent cx="5174933" cy="3085614"/>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74933" cy="308561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vs Market sorted in descending order of Sales. EMEA market has slightly more amount of sales than Africa market.</w:t>
      </w:r>
    </w:p>
    <w:p w:rsidR="00000000" w:rsidDel="00000000" w:rsidP="00000000" w:rsidRDefault="00000000" w:rsidRPr="00000000" w14:paraId="00000027">
      <w:pPr>
        <w:rPr/>
      </w:pPr>
      <w:r w:rsidDel="00000000" w:rsidR="00000000" w:rsidRPr="00000000">
        <w:rPr/>
        <w:drawing>
          <wp:inline distB="114300" distT="114300" distL="114300" distR="114300">
            <wp:extent cx="5365440" cy="3213100"/>
            <wp:effectExtent b="0" l="0" r="0" t="0"/>
            <wp:docPr id="5"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3654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vs Market sorted in descending order of Sales,  coloured according to Sales and labelled with the Market name and Sales figure.</w:t>
      </w:r>
    </w:p>
    <w:p w:rsidR="00000000" w:rsidDel="00000000" w:rsidP="00000000" w:rsidRDefault="00000000" w:rsidRPr="00000000" w14:paraId="00000029">
      <w:pPr>
        <w:pStyle w:val="Heading1"/>
        <w:spacing w:after="280" w:before="280" w:lineRule="auto"/>
        <w:ind w:right="120"/>
        <w:jc w:val="both"/>
        <w:rPr>
          <w:sz w:val="24"/>
          <w:szCs w:val="24"/>
        </w:rPr>
      </w:pPr>
      <w:r w:rsidDel="00000000" w:rsidR="00000000" w:rsidRPr="00000000">
        <w:rPr>
          <w:sz w:val="24"/>
          <w:szCs w:val="24"/>
        </w:rPr>
        <w:drawing>
          <wp:inline distB="114300" distT="114300" distL="114300" distR="114300">
            <wp:extent cx="5365440" cy="3213100"/>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3654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vs Sub-categories, sorted in descending order of total sales, showing stacks of sales by different markets. Phones have the highest number of sales, while Labels sold the least.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 Chart</w:t>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993958" cy="3545616"/>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993958" cy="354561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total sales in years 2011-2014. The sales have been increasing over the given time period.</w:t>
      </w:r>
    </w:p>
    <w:p w:rsidR="00000000" w:rsidDel="00000000" w:rsidP="00000000" w:rsidRDefault="00000000" w:rsidRPr="00000000" w14:paraId="00000030">
      <w:pPr>
        <w:rPr/>
      </w:pPr>
      <w:r w:rsidDel="00000000" w:rsidR="00000000" w:rsidRPr="00000000">
        <w:rPr/>
        <w:drawing>
          <wp:inline distB="114300" distT="114300" distL="114300" distR="114300">
            <wp:extent cx="4992287" cy="3546918"/>
            <wp:effectExtent b="0" l="0" r="0" t="0"/>
            <wp:docPr id="10"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4992287" cy="354691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sales in years 2011-2014 showing different categories in different colours. Labelled according to category and sales. Sales in Technology category have been the highest in all the years and are increasing over the years, while sales in office supplies have been the lowest in all the years but are increasing over the years.</w:t>
      </w:r>
    </w:p>
    <w:p w:rsidR="00000000" w:rsidDel="00000000" w:rsidP="00000000" w:rsidRDefault="00000000" w:rsidRPr="00000000" w14:paraId="00000032">
      <w:pPr>
        <w:rPr/>
      </w:pPr>
      <w:r w:rsidDel="00000000" w:rsidR="00000000" w:rsidRPr="00000000">
        <w:rPr/>
        <w:drawing>
          <wp:inline distB="114300" distT="114300" distL="114300" distR="114300">
            <wp:extent cx="4517708" cy="3210933"/>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517708" cy="321093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sales of different markets in years 2011-2014 with ship year as a discrete variable.</w:t>
      </w:r>
    </w:p>
    <w:p w:rsidR="00000000" w:rsidDel="00000000" w:rsidP="00000000" w:rsidRDefault="00000000" w:rsidRPr="00000000" w14:paraId="00000034">
      <w:pPr>
        <w:rPr/>
      </w:pPr>
      <w:r w:rsidDel="00000000" w:rsidR="00000000" w:rsidRPr="00000000">
        <w:rPr/>
        <w:drawing>
          <wp:inline distB="114300" distT="114300" distL="114300" distR="114300">
            <wp:extent cx="4536758" cy="3248780"/>
            <wp:effectExtent b="0" l="0" r="0" t="0"/>
            <wp:docPr id="1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536758" cy="32487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sales of different markets in quarter years 2011-2014 with ship year as a discrete variable.</w:t>
      </w:r>
    </w:p>
    <w:p w:rsidR="00000000" w:rsidDel="00000000" w:rsidP="00000000" w:rsidRDefault="00000000" w:rsidRPr="00000000" w14:paraId="00000036">
      <w:pPr>
        <w:rPr/>
      </w:pPr>
      <w:r w:rsidDel="00000000" w:rsidR="00000000" w:rsidRPr="00000000">
        <w:rPr/>
        <w:drawing>
          <wp:inline distB="114300" distT="114300" distL="114300" distR="114300">
            <wp:extent cx="5116017" cy="3634826"/>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116017" cy="363482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sales of different markets in years 2011-2014 with ship year as a continuous variable.</w:t>
      </w:r>
    </w:p>
    <w:p w:rsidR="00000000" w:rsidDel="00000000" w:rsidP="00000000" w:rsidRDefault="00000000" w:rsidRPr="00000000" w14:paraId="00000038">
      <w:pPr>
        <w:rPr/>
      </w:pPr>
      <w:r w:rsidDel="00000000" w:rsidR="00000000" w:rsidRPr="00000000">
        <w:rPr/>
        <w:drawing>
          <wp:inline distB="114300" distT="114300" distL="114300" distR="114300">
            <wp:extent cx="5089204" cy="3615776"/>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089204" cy="361577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sales of different markets in quarter years 2011-2014 with ship year as a continuous variable.</w:t>
      </w:r>
    </w:p>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Pie Chart</w:t>
      </w:r>
    </w:p>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3200400"/>
            <wp:effectExtent b="0" l="0" r="0" t="0"/>
            <wp:docPr id="1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365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shown by colour, sales shown by angle.</w:t>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3200400"/>
            <wp:effectExtent b="0" l="0" r="0" t="0"/>
            <wp:docPr id="1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65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to Entire View, labelled sales.  APAC market has the highest sales, while Canada market has the lowest sales.</w:t>
      </w:r>
    </w:p>
    <w:p w:rsidR="00000000" w:rsidDel="00000000" w:rsidP="00000000" w:rsidRDefault="00000000" w:rsidRPr="00000000" w14:paraId="0000003F">
      <w:pPr>
        <w:rPr/>
      </w:pPr>
      <w:r w:rsidDel="00000000" w:rsidR="00000000" w:rsidRPr="00000000">
        <w:rPr/>
        <w:drawing>
          <wp:inline distB="114300" distT="114300" distL="114300" distR="114300">
            <wp:extent cx="5365440" cy="3213100"/>
            <wp:effectExtent b="0" l="0" r="0" t="0"/>
            <wp:docPr id="1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3654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Coloured and sized according to sales.</w:t>
      </w:r>
    </w:p>
    <w:p w:rsidR="00000000" w:rsidDel="00000000" w:rsidP="00000000" w:rsidRDefault="00000000" w:rsidRPr="00000000" w14:paraId="00000041">
      <w:pPr>
        <w:spacing w:after="20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5365440" cy="3810000"/>
            <wp:effectExtent b="0" l="0" r="0" t="0"/>
            <wp:docPr id="1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36544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sale of different markets by different colours according to year of ship date.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Scatter Plot</w:t>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374833" cy="3109466"/>
            <wp:effectExtent b="0" l="0" r="0" t="0"/>
            <wp:docPr id="1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374833" cy="310946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 of sales vs Sum of quantity.</w:t>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386905" cy="3120582"/>
            <wp:effectExtent b="0" l="0" r="0" t="0"/>
            <wp:docPr id="1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386905" cy="312058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vs Quantity showing different markets in different colours and different categories in different shapes.</w:t>
      </w:r>
    </w:p>
    <w:p w:rsidR="00000000" w:rsidDel="00000000" w:rsidP="00000000" w:rsidRDefault="00000000" w:rsidRPr="00000000" w14:paraId="0000004A">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280" w:before="280" w:lineRule="auto"/>
        <w:ind w:right="120"/>
        <w:jc w:val="both"/>
        <w:rPr>
          <w:sz w:val="24"/>
          <w:szCs w:val="24"/>
        </w:rPr>
      </w:pPr>
      <w:r w:rsidDel="00000000" w:rsidR="00000000" w:rsidRPr="00000000">
        <w:rPr>
          <w:sz w:val="24"/>
          <w:szCs w:val="24"/>
          <w:rtl w:val="0"/>
        </w:rPr>
        <w:t xml:space="preserve">Packed Bubble Chart</w:t>
      </w:r>
    </w:p>
    <w:p w:rsidR="00000000" w:rsidDel="00000000" w:rsidP="00000000" w:rsidRDefault="00000000" w:rsidRPr="00000000" w14:paraId="0000004C">
      <w:pPr>
        <w:rPr/>
      </w:pPr>
      <w:r w:rsidDel="00000000" w:rsidR="00000000" w:rsidRPr="00000000">
        <w:rPr/>
        <w:drawing>
          <wp:inline distB="114300" distT="114300" distL="114300" distR="114300">
            <wp:extent cx="4679633" cy="3335976"/>
            <wp:effectExtent b="0" l="0" r="0" t="0"/>
            <wp:docPr id="20"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679633" cy="333597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Sales of different countries by the size of the bubble and quantity sold by the colour. United States has the highest number of sales along with the highest quantity sold. </w:t>
      </w:r>
    </w:p>
    <w:p w:rsidR="00000000" w:rsidDel="00000000" w:rsidP="00000000" w:rsidRDefault="00000000" w:rsidRPr="00000000" w14:paraId="0000004E">
      <w:pPr>
        <w:rPr/>
      </w:pPr>
      <w:r w:rsidDel="00000000" w:rsidR="00000000" w:rsidRPr="00000000">
        <w:rPr/>
        <w:drawing>
          <wp:inline distB="114300" distT="114300" distL="114300" distR="114300">
            <wp:extent cx="4679633" cy="3320135"/>
            <wp:effectExtent b="0" l="0" r="0" t="0"/>
            <wp:docPr id="2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679633" cy="332013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Quantity sold by different regions by size of bubble and sales by each region by the colour. The Central region has the highest number of sales along with the highest quantity sold.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Donut Chart</w:t>
      </w:r>
    </w:p>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32058" cy="3575174"/>
            <wp:effectExtent b="0" l="0" r="0" t="0"/>
            <wp:docPr id="2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032058" cy="357517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Sales in different categories.</w:t>
      </w:r>
    </w:p>
    <w:p w:rsidR="00000000" w:rsidDel="00000000" w:rsidP="00000000" w:rsidRDefault="00000000" w:rsidRPr="00000000" w14:paraId="00000054">
      <w:pPr>
        <w:rPr/>
      </w:pPr>
      <w:r w:rsidDel="00000000" w:rsidR="00000000" w:rsidRPr="00000000">
        <w:rPr/>
        <w:drawing>
          <wp:inline distB="114300" distT="114300" distL="114300" distR="114300">
            <wp:extent cx="5020992" cy="3576231"/>
            <wp:effectExtent b="0" l="0" r="0" t="0"/>
            <wp:docPr id="2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020992" cy="357623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Sales by different markets.</w:t>
      </w:r>
    </w:p>
    <w:p w:rsidR="00000000" w:rsidDel="00000000" w:rsidP="00000000" w:rsidRDefault="00000000" w:rsidRPr="00000000" w14:paraId="00000056">
      <w:pPr>
        <w:pStyle w:val="Heading1"/>
        <w:spacing w:after="280" w:before="280" w:lineRule="auto"/>
        <w:ind w:right="120"/>
        <w:jc w:val="both"/>
        <w:rPr>
          <w:sz w:val="24"/>
          <w:szCs w:val="24"/>
        </w:rPr>
      </w:pPr>
      <w:r w:rsidDel="00000000" w:rsidR="00000000" w:rsidRPr="00000000">
        <w:rPr>
          <w:sz w:val="24"/>
          <w:szCs w:val="24"/>
          <w:rtl w:val="0"/>
        </w:rPr>
        <w:t xml:space="preserve">Conclusion (Students should write in their own words):</w:t>
      </w:r>
    </w:p>
    <w:p w:rsidR="00000000" w:rsidDel="00000000" w:rsidP="00000000" w:rsidRDefault="00000000" w:rsidRPr="00000000" w14:paraId="00000057">
      <w:pPr>
        <w:pStyle w:val="Heading1"/>
        <w:spacing w:after="280" w:before="280" w:lineRule="auto"/>
        <w:ind w:right="120"/>
        <w:jc w:val="both"/>
        <w:rPr>
          <w:b w:val="0"/>
          <w:sz w:val="22"/>
          <w:szCs w:val="22"/>
        </w:rPr>
      </w:pPr>
      <w:r w:rsidDel="00000000" w:rsidR="00000000" w:rsidRPr="00000000">
        <w:rPr>
          <w:b w:val="0"/>
          <w:sz w:val="22"/>
          <w:szCs w:val="22"/>
          <w:rtl w:val="0"/>
        </w:rPr>
        <w:t xml:space="preserve">Tableau offers various charts for visualizing pre-processed data like Bar, Pie, Line, Scatter and Packed Bubble chart. These charts make it easier to interpret data as it removes the noise by highlighting trends and outliers.</w:t>
      </w:r>
    </w:p>
    <w:p w:rsidR="00000000" w:rsidDel="00000000" w:rsidP="00000000" w:rsidRDefault="00000000" w:rsidRPr="00000000" w14:paraId="00000058">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59">
      <w:pPr>
        <w:pStyle w:val="Heading1"/>
        <w:numPr>
          <w:ilvl w:val="0"/>
          <w:numId w:val="3"/>
        </w:numPr>
        <w:spacing w:after="200" w:before="280" w:lineRule="auto"/>
        <w:ind w:left="720" w:right="120" w:hanging="360"/>
        <w:jc w:val="both"/>
        <w:rPr>
          <w:sz w:val="24"/>
          <w:szCs w:val="24"/>
        </w:rPr>
      </w:pPr>
      <w:bookmarkStart w:colFirst="0" w:colLast="0" w:name="_heading=h.gjdgxs" w:id="1"/>
      <w:bookmarkEnd w:id="1"/>
      <w:r w:rsidDel="00000000" w:rsidR="00000000" w:rsidRPr="00000000">
        <w:rPr>
          <w:sz w:val="24"/>
          <w:szCs w:val="24"/>
          <w:rtl w:val="0"/>
        </w:rPr>
        <w:t xml:space="preserve">What are different data types supported in Tableau software?</w:t>
      </w:r>
    </w:p>
    <w:p w:rsidR="00000000" w:rsidDel="00000000" w:rsidP="00000000" w:rsidRDefault="00000000" w:rsidRPr="00000000" w14:paraId="0000005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types supported by Tableau are:</w:t>
      </w:r>
    </w:p>
    <w:p w:rsidR="00000000" w:rsidDel="00000000" w:rsidP="00000000" w:rsidRDefault="00000000" w:rsidRPr="00000000" w14:paraId="0000005B">
      <w:pPr>
        <w:numPr>
          <w:ilvl w:val="0"/>
          <w:numId w:val="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p w:rsidR="00000000" w:rsidDel="00000000" w:rsidP="00000000" w:rsidRDefault="00000000" w:rsidRPr="00000000" w14:paraId="0000005C">
      <w:pPr>
        <w:numPr>
          <w:ilvl w:val="0"/>
          <w:numId w:val="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p w:rsidR="00000000" w:rsidDel="00000000" w:rsidP="00000000" w:rsidRDefault="00000000" w:rsidRPr="00000000" w14:paraId="0000005D">
      <w:pPr>
        <w:numPr>
          <w:ilvl w:val="0"/>
          <w:numId w:val="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05E">
      <w:pPr>
        <w:numPr>
          <w:ilvl w:val="0"/>
          <w:numId w:val="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w:t>
      </w:r>
    </w:p>
    <w:p w:rsidR="00000000" w:rsidDel="00000000" w:rsidP="00000000" w:rsidRDefault="00000000" w:rsidRPr="00000000" w14:paraId="0000005F">
      <w:pPr>
        <w:numPr>
          <w:ilvl w:val="0"/>
          <w:numId w:val="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p w:rsidR="00000000" w:rsidDel="00000000" w:rsidP="00000000" w:rsidRDefault="00000000" w:rsidRPr="00000000" w14:paraId="00000060">
      <w:pPr>
        <w:numPr>
          <w:ilvl w:val="0"/>
          <w:numId w:val="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Geographic</w:t>
      </w:r>
    </w:p>
    <w:p w:rsidR="00000000" w:rsidDel="00000000" w:rsidP="00000000" w:rsidRDefault="00000000" w:rsidRPr="00000000" w14:paraId="00000061">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group or mixed</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pStyle w:val="Heading1"/>
        <w:numPr>
          <w:ilvl w:val="0"/>
          <w:numId w:val="3"/>
        </w:numPr>
        <w:spacing w:after="280" w:before="0" w:lineRule="auto"/>
        <w:ind w:left="720" w:right="120" w:hanging="360"/>
        <w:jc w:val="both"/>
        <w:rPr>
          <w:sz w:val="24"/>
          <w:szCs w:val="24"/>
        </w:rPr>
      </w:pPr>
      <w:r w:rsidDel="00000000" w:rsidR="00000000" w:rsidRPr="00000000">
        <w:rPr>
          <w:sz w:val="24"/>
          <w:szCs w:val="24"/>
          <w:rtl w:val="0"/>
        </w:rPr>
        <w:t xml:space="preserve">Which chart is most appropriate for visualizing your preprocessed dataset? Justify.</w:t>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charts can be useful to analyze the data in different ways.</w:t>
      </w:r>
    </w:p>
    <w:p w:rsidR="00000000" w:rsidDel="00000000" w:rsidP="00000000" w:rsidRDefault="00000000" w:rsidRPr="00000000" w14:paraId="0000006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following dataset, a bar chart would be most appropriate as it allows us to compare the sales by market, category, sub-category or region with each other while showing even the slightest difference between similar selling products.</w:t>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donut chart could also be helpful to compare the sales from each category or sub-category as compared to the whole.</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spacing w:after="0" w:lineRule="auto"/>
        <w:jc w:val="both"/>
        <w:rPr>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b w:val="1"/>
          <w:sz w:val="24"/>
          <w:szCs w:val="24"/>
          <w:u w:val="single"/>
          <w:rtl w:val="0"/>
        </w:rPr>
        <w:t xml:space="preserve">  20/09/2022  </w:t>
      </w:r>
      <w:r w:rsidDel="00000000" w:rsidR="00000000" w:rsidRPr="00000000">
        <w:rPr>
          <w:rFonts w:ascii="Times New Roman" w:cs="Times New Roman" w:eastAsia="Times New Roman" w:hAnsi="Times New Roman"/>
          <w:b w:val="1"/>
          <w:sz w:val="24"/>
          <w:szCs w:val="24"/>
          <w:rtl w:val="0"/>
        </w:rPr>
        <w:t xml:space="preserve">   </w:t>
        <w:tab/>
        <w:tab/>
        <w:tab/>
        <w:t xml:space="preserve">             Signature of faculty in-charge </w:t>
      </w: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_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5.png"/><Relationship Id="rId21" Type="http://schemas.openxmlformats.org/officeDocument/2006/relationships/image" Target="media/image15.png"/><Relationship Id="rId24" Type="http://schemas.openxmlformats.org/officeDocument/2006/relationships/image" Target="media/image2.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4.png"/><Relationship Id="rId25" Type="http://schemas.openxmlformats.org/officeDocument/2006/relationships/image" Target="media/image7.png"/><Relationship Id="rId28" Type="http://schemas.openxmlformats.org/officeDocument/2006/relationships/image" Target="media/image4.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20.png"/><Relationship Id="rId8" Type="http://schemas.openxmlformats.org/officeDocument/2006/relationships/image" Target="media/image19.png"/><Relationship Id="rId31" Type="http://schemas.openxmlformats.org/officeDocument/2006/relationships/header" Target="header2.xml"/><Relationship Id="rId30" Type="http://schemas.openxmlformats.org/officeDocument/2006/relationships/image" Target="media/image8.png"/><Relationship Id="rId11" Type="http://schemas.openxmlformats.org/officeDocument/2006/relationships/image" Target="media/image11.png"/><Relationship Id="rId33" Type="http://schemas.openxmlformats.org/officeDocument/2006/relationships/header" Target="header3.xml"/><Relationship Id="rId10" Type="http://schemas.openxmlformats.org/officeDocument/2006/relationships/hyperlink" Target="https://www.kaggle.com/datasets/shekpaul/global-superstore" TargetMode="External"/><Relationship Id="rId32" Type="http://schemas.openxmlformats.org/officeDocument/2006/relationships/header" Target="header1.xml"/><Relationship Id="rId13" Type="http://schemas.openxmlformats.org/officeDocument/2006/relationships/image" Target="media/image22.png"/><Relationship Id="rId35" Type="http://schemas.openxmlformats.org/officeDocument/2006/relationships/footer" Target="footer3.xml"/><Relationship Id="rId12" Type="http://schemas.openxmlformats.org/officeDocument/2006/relationships/image" Target="media/image1.png"/><Relationship Id="rId34"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13.png"/><Relationship Id="rId36" Type="http://schemas.openxmlformats.org/officeDocument/2006/relationships/footer" Target="footer2.xml"/><Relationship Id="rId17" Type="http://schemas.openxmlformats.org/officeDocument/2006/relationships/image" Target="media/image3.png"/><Relationship Id="rId16" Type="http://schemas.openxmlformats.org/officeDocument/2006/relationships/image" Target="media/image21.png"/><Relationship Id="rId19" Type="http://schemas.openxmlformats.org/officeDocument/2006/relationships/image" Target="media/image9.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ZDFNOxNWBEXR8Z6oeqSLmWjaw==">CgMxLjAyDWguOG0zaGRxNTlwY3kyCGguZ2pkZ3hzOAByITE1ZEdIWHlTUnY0eXJfS0dtRVpucDJNbXFUcGc1ckxBSQ==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