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00"/>
      </w:pPr>
      <w:r>
        <w:rPr>
          <w:b/>
          <w:color w:val="C11B17"/>
          <w:sz w:val="40"/>
        </w:rPr>
        <w:t>Architecture — Marketing Data Ingestion &amp; RAG Assistant</w:t>
      </w:r>
    </w:p>
    <w:p>
      <w:r>
        <w:rPr>
          <w:b/>
          <w:sz w:val="19"/>
        </w:rPr>
        <w:t>Deliverable:</w:t>
      </w:r>
      <w:r>
        <w:rPr>
          <w:sz w:val="19"/>
        </w:rPr>
        <w:t xml:space="preserve"> Architecture diagram — components, data flows, AI integration points </w:t>
      </w:r>
      <w:r>
        <w:rPr>
          <w:b/>
          <w:sz w:val="19"/>
        </w:rPr>
        <w:t>Companion documents:</w:t>
      </w:r>
      <w:r>
        <w:rPr>
          <w:sz w:val="19"/>
        </w:rPr>
        <w:t xml:space="preserve"> HIGH_LEVEL_DESIGN.md (design rationale and tradeoffs), README.md (how to run it)</w:t>
      </w:r>
    </w:p>
    <w:p>
      <w:pPr>
        <w:spacing w:before="40" w:after="40"/>
        <w:pBdr>
          <w:bottom w:val="single" w:sz="6" w:space="1" w:color="CCCCCC"/>
        </w:pBdr>
      </w:pPr>
    </w:p>
    <w:p>
      <w:pPr>
        <w:keepNext/>
        <w:spacing w:before="280" w:after="100"/>
      </w:pPr>
      <w:r>
        <w:rPr>
          <w:b/>
          <w:color w:val="C11B17"/>
          <w:sz w:val="28"/>
        </w:rPr>
        <w:t>0. How to read this document</w:t>
      </w:r>
    </w:p>
    <w:p>
      <w:r>
        <w:rPr>
          <w:sz w:val="19"/>
        </w:rPr>
        <w:t>This document answers three questions, in order, each with a diagram and a table:</w:t>
      </w:r>
    </w:p>
    <w:tbl>
      <w:tblPr>
        <w:tblStyle w:val="TableGrid"/>
        <w:tblW w:type="auto" w:w="0"/>
        <w:jc w:val="center"/>
        <w:tblLook w:firstColumn="1" w:firstRow="1" w:lastColumn="0" w:lastRow="0" w:noHBand="0" w:noVBand="1" w:val="04A0"/>
      </w:tblPr>
      <w:tblGrid>
        <w:gridCol w:w="7553"/>
        <w:gridCol w:w="7553"/>
      </w:tblGrid>
      <w:tr>
        <w:tc>
          <w:tcPr>
            <w:tcW w:type="dxa" w:w="7553"/>
            <w:shd w:val="clear" w:fill="F2F2F2"/>
          </w:tcPr>
          <w:p>
            <w:pPr>
              <w:spacing w:after="20"/>
            </w:pPr>
            <w:r>
              <w:rPr>
                <w:b/>
              </w:rPr>
            </w:r>
            <w:r>
              <w:rPr>
                <w:b/>
                <w:sz w:val="18"/>
              </w:rPr>
              <w:t>Section</w:t>
            </w:r>
          </w:p>
        </w:tc>
        <w:tc>
          <w:tcPr>
            <w:tcW w:type="dxa" w:w="7553"/>
            <w:shd w:val="clear" w:fill="F2F2F2"/>
          </w:tcPr>
          <w:p>
            <w:pPr>
              <w:spacing w:after="20"/>
            </w:pPr>
            <w:r>
              <w:rPr>
                <w:b/>
              </w:rPr>
            </w:r>
            <w:r>
              <w:rPr>
                <w:b/>
                <w:sz w:val="18"/>
              </w:rPr>
              <w:t>Question it answers</w:t>
            </w:r>
          </w:p>
        </w:tc>
      </w:tr>
      <w:tr>
        <w:tc>
          <w:tcPr>
            <w:tcW w:type="dxa" w:w="7553"/>
          </w:tcPr>
          <w:p>
            <w:pPr>
              <w:spacing w:after="20"/>
            </w:pPr>
            <w:r>
              <w:rPr>
                <w:sz w:val="17"/>
              </w:rPr>
              <w:t>§2 System context</w:t>
            </w:r>
          </w:p>
        </w:tc>
        <w:tc>
          <w:tcPr>
            <w:tcW w:type="dxa" w:w="7553"/>
          </w:tcPr>
          <w:p>
            <w:pPr>
              <w:spacing w:after="20"/>
            </w:pPr>
            <w:r>
              <w:rPr>
                <w:sz w:val="17"/>
              </w:rPr>
              <w:t>What is inside the system, what is outside it, and who talks to whom</w:t>
            </w:r>
          </w:p>
        </w:tc>
      </w:tr>
      <w:tr>
        <w:tc>
          <w:tcPr>
            <w:tcW w:type="dxa" w:w="7553"/>
          </w:tcPr>
          <w:p>
            <w:pPr>
              <w:spacing w:after="20"/>
            </w:pPr>
            <w:r>
              <w:rPr>
                <w:sz w:val="17"/>
              </w:rPr>
              <w:t>§3 Component architecture</w:t>
            </w:r>
          </w:p>
        </w:tc>
        <w:tc>
          <w:tcPr>
            <w:tcW w:type="dxa" w:w="7553"/>
          </w:tcPr>
          <w:p>
            <w:pPr>
              <w:spacing w:after="20"/>
            </w:pPr>
            <w:r>
              <w:rPr>
                <w:sz w:val="17"/>
              </w:rPr>
              <w:t>What the internal building blocks are, and how they are layered</w:t>
            </w:r>
          </w:p>
        </w:tc>
      </w:tr>
      <w:tr>
        <w:tc>
          <w:tcPr>
            <w:tcW w:type="dxa" w:w="7553"/>
          </w:tcPr>
          <w:p>
            <w:pPr>
              <w:spacing w:after="20"/>
            </w:pPr>
            <w:r>
              <w:rPr>
                <w:sz w:val="17"/>
              </w:rPr>
              <w:t>§4–§6 Data flows</w:t>
            </w:r>
          </w:p>
        </w:tc>
        <w:tc>
          <w:tcPr>
            <w:tcW w:type="dxa" w:w="7553"/>
          </w:tcPr>
          <w:p>
            <w:pPr>
              <w:spacing w:after="20"/>
            </w:pPr>
            <w:r>
              <w:rPr>
                <w:sz w:val="17"/>
              </w:rPr>
              <w:t>How data actually moves — the ingestion path, the query path, the scheduled path</w:t>
            </w:r>
          </w:p>
        </w:tc>
      </w:tr>
      <w:tr>
        <w:tc>
          <w:tcPr>
            <w:tcW w:type="dxa" w:w="7553"/>
          </w:tcPr>
          <w:p>
            <w:pPr>
              <w:spacing w:after="20"/>
            </w:pPr>
            <w:r>
              <w:rPr>
                <w:sz w:val="17"/>
              </w:rPr>
              <w:t>§7 AI integration points</w:t>
            </w:r>
          </w:p>
        </w:tc>
        <w:tc>
          <w:tcPr>
            <w:tcW w:type="dxa" w:w="7553"/>
          </w:tcPr>
          <w:p>
            <w:pPr>
              <w:spacing w:after="20"/>
            </w:pPr>
            <w:r>
              <w:rPr>
                <w:sz w:val="17"/>
              </w:rPr>
              <w:t>Exactly where a model is invoked, what it is allowed to decide, and what guards it</w:t>
            </w:r>
          </w:p>
        </w:tc>
      </w:tr>
      <w:tr>
        <w:tc>
          <w:tcPr>
            <w:tcW w:type="dxa" w:w="7553"/>
          </w:tcPr>
          <w:p>
            <w:pPr>
              <w:spacing w:after="20"/>
            </w:pPr>
            <w:r>
              <w:rPr>
                <w:sz w:val="17"/>
              </w:rPr>
              <w:t>§8 State &amp; lifecycle</w:t>
            </w:r>
          </w:p>
        </w:tc>
        <w:tc>
          <w:tcPr>
            <w:tcW w:type="dxa" w:w="7553"/>
          </w:tcPr>
          <w:p>
            <w:pPr>
              <w:spacing w:after="20"/>
            </w:pPr>
            <w:r>
              <w:rPr>
                <w:sz w:val="17"/>
              </w:rPr>
              <w:t>How one unit of work (a job) progresses and settles</w:t>
            </w:r>
          </w:p>
        </w:tc>
      </w:tr>
      <w:tr>
        <w:tc>
          <w:tcPr>
            <w:tcW w:type="dxa" w:w="7553"/>
          </w:tcPr>
          <w:p>
            <w:pPr>
              <w:spacing w:after="20"/>
            </w:pPr>
            <w:r>
              <w:rPr>
                <w:sz w:val="17"/>
              </w:rPr>
              <w:t>§9 Security architecture</w:t>
            </w:r>
          </w:p>
        </w:tc>
        <w:tc>
          <w:tcPr>
            <w:tcW w:type="dxa" w:w="7553"/>
          </w:tcPr>
          <w:p>
            <w:pPr>
              <w:spacing w:after="20"/>
            </w:pPr>
            <w:r>
              <w:rPr>
                <w:sz w:val="17"/>
              </w:rPr>
              <w:t>Where the trust boundary sits and how identity flows through it</w:t>
            </w:r>
          </w:p>
        </w:tc>
      </w:tr>
      <w:tr>
        <w:tc>
          <w:tcPr>
            <w:tcW w:type="dxa" w:w="7553"/>
          </w:tcPr>
          <w:p>
            <w:pPr>
              <w:spacing w:after="20"/>
            </w:pPr>
            <w:r>
              <w:rPr>
                <w:sz w:val="17"/>
              </w:rPr>
              <w:t>§10 Production evolution</w:t>
            </w:r>
          </w:p>
        </w:tc>
        <w:tc>
          <w:tcPr>
            <w:tcW w:type="dxa" w:w="7553"/>
          </w:tcPr>
          <w:p>
            <w:pPr>
              <w:spacing w:after="20"/>
            </w:pPr>
            <w:r>
              <w:rPr>
                <w:sz w:val="17"/>
              </w:rPr>
              <w:t>Which boxes change shape at scale, and which stay</w:t>
            </w:r>
          </w:p>
        </w:tc>
      </w:tr>
    </w:tbl>
    <w:p>
      <w:pPr>
        <w:spacing w:after="40"/>
      </w:pPr>
    </w:p>
    <w:p>
      <w:r>
        <w:rPr>
          <w:b/>
          <w:sz w:val="19"/>
        </w:rPr>
        <w:t>One architectural thesis runs through all of it.</w:t>
      </w:r>
      <w:r>
        <w:rPr>
          <w:sz w:val="19"/>
        </w:rPr>
        <w:t xml:space="preserve"> The system separates </w:t>
      </w:r>
      <w:r>
        <w:rPr>
          <w:i/>
          <w:sz w:val="19"/>
        </w:rPr>
        <w:t>computation</w:t>
      </w:r>
      <w:r>
        <w:rPr>
          <w:sz w:val="19"/>
        </w:rPr>
        <w:t xml:space="preserve"> from </w:t>
      </w:r>
      <w:r>
        <w:rPr>
          <w:i/>
          <w:sz w:val="19"/>
        </w:rPr>
        <w:t>phrasing</w:t>
      </w:r>
      <w:r>
        <w:rPr>
          <w:sz w:val="19"/>
        </w:rPr>
        <w:t xml:space="preserve">, and </w:t>
      </w:r>
      <w:r>
        <w:rPr>
          <w:i/>
          <w:sz w:val="19"/>
        </w:rPr>
        <w:t>suggestion</w:t>
      </w:r>
      <w:r>
        <w:rPr>
          <w:sz w:val="19"/>
        </w:rPr>
        <w:t xml:space="preserve"> from </w:t>
      </w:r>
      <w:r>
        <w:rPr>
          <w:i/>
          <w:sz w:val="19"/>
        </w:rPr>
        <w:t>application</w:t>
      </w:r>
      <w:r>
        <w:rPr>
          <w:sz w:val="19"/>
        </w:rPr>
        <w:t>:</w:t>
      </w:r>
    </w:p>
    <w:p>
      <w:pPr>
        <w:spacing w:before="80" w:after="120"/>
        <w:ind w:left="504"/>
      </w:pPr>
      <w:r>
        <w:rPr>
          <w:i/>
          <w:sz w:val="20"/>
        </w:rPr>
        <w:t>Deterministic code computes every fact. AI interprets fuzzy input and phrases facts into English. A human authorises every change to data. No single one of those three ever does another's job.</w:t>
      </w:r>
    </w:p>
    <w:p>
      <w:r>
        <w:rPr>
          <w:sz w:val="19"/>
        </w:rPr>
        <w:t>Every diagram below is annotated to show where that line falls, because the line — not the box diagram — is the actual architecture.</w:t>
      </w:r>
    </w:p>
    <w:p>
      <w:pPr>
        <w:spacing w:before="40" w:after="40"/>
        <w:pBdr>
          <w:bottom w:val="single" w:sz="6" w:space="1" w:color="CCCCCC"/>
        </w:pBdr>
      </w:pPr>
    </w:p>
    <w:p>
      <w:pPr>
        <w:keepNext/>
        <w:spacing w:before="280" w:after="100"/>
      </w:pPr>
      <w:r>
        <w:rPr>
          <w:b/>
          <w:color w:val="C11B17"/>
          <w:sz w:val="28"/>
        </w:rPr>
        <w:t>1. Architectural style at a glance</w:t>
      </w:r>
    </w:p>
    <w:tbl>
      <w:tblPr>
        <w:tblStyle w:val="TableGrid"/>
        <w:tblW w:type="auto" w:w="0"/>
        <w:jc w:val="center"/>
        <w:tblLook w:firstColumn="1" w:firstRow="1" w:lastColumn="0" w:lastRow="0" w:noHBand="0" w:noVBand="1" w:val="04A0"/>
      </w:tblPr>
      <w:tblGrid>
        <w:gridCol w:w="7553"/>
        <w:gridCol w:w="7553"/>
      </w:tblGrid>
      <w:tr>
        <w:tc>
          <w:tcPr>
            <w:tcW w:type="dxa" w:w="7553"/>
            <w:shd w:val="clear" w:fill="F2F2F2"/>
          </w:tcPr>
          <w:p>
            <w:pPr>
              <w:spacing w:after="20"/>
            </w:pPr>
            <w:r>
              <w:rPr>
                <w:b/>
              </w:rPr>
            </w:r>
            <w:r>
              <w:rPr>
                <w:b/>
                <w:sz w:val="18"/>
              </w:rPr>
              <w:t>Dimension</w:t>
            </w:r>
          </w:p>
        </w:tc>
        <w:tc>
          <w:tcPr>
            <w:tcW w:type="dxa" w:w="7553"/>
            <w:shd w:val="clear" w:fill="F2F2F2"/>
          </w:tcPr>
          <w:p>
            <w:pPr>
              <w:spacing w:after="20"/>
            </w:pPr>
            <w:r>
              <w:rPr>
                <w:b/>
              </w:rPr>
            </w:r>
            <w:r>
              <w:rPr>
                <w:b/>
                <w:sz w:val="18"/>
              </w:rPr>
              <w:t>Choice</w:t>
            </w:r>
          </w:p>
        </w:tc>
      </w:tr>
      <w:tr>
        <w:tc>
          <w:tcPr>
            <w:tcW w:type="dxa" w:w="7553"/>
          </w:tcPr>
          <w:p>
            <w:pPr>
              <w:spacing w:after="20"/>
            </w:pPr>
            <w:r>
              <w:rPr>
                <w:sz w:val="17"/>
              </w:rPr>
              <w:t>Style</w:t>
            </w:r>
          </w:p>
        </w:tc>
        <w:tc>
          <w:tcPr>
            <w:tcW w:type="dxa" w:w="7553"/>
          </w:tcPr>
          <w:p>
            <w:pPr>
              <w:spacing w:after="20"/>
            </w:pPr>
            <w:r>
              <w:rPr>
                <w:sz w:val="17"/>
              </w:rPr>
              <w:t>Modular monolith — single Node process, strictly layered internally (routes → services → stores)</w:t>
            </w:r>
          </w:p>
        </w:tc>
      </w:tr>
      <w:tr>
        <w:tc>
          <w:tcPr>
            <w:tcW w:type="dxa" w:w="7553"/>
          </w:tcPr>
          <w:p>
            <w:pPr>
              <w:spacing w:after="20"/>
            </w:pPr>
            <w:r>
              <w:rPr>
                <w:sz w:val="17"/>
              </w:rPr>
              <w:t>Frontend</w:t>
            </w:r>
          </w:p>
        </w:tc>
        <w:tc>
          <w:tcPr>
            <w:tcW w:type="dxa" w:w="7553"/>
          </w:tcPr>
          <w:p>
            <w:pPr>
              <w:spacing w:after="20"/>
            </w:pPr>
            <w:r>
              <w:rPr>
                <w:sz w:val="17"/>
              </w:rPr>
              <w:t>React SPA, thin: renders server-computed state, holds no business rules</w:t>
            </w:r>
          </w:p>
        </w:tc>
      </w:tr>
      <w:tr>
        <w:tc>
          <w:tcPr>
            <w:tcW w:type="dxa" w:w="7553"/>
          </w:tcPr>
          <w:p>
            <w:pPr>
              <w:spacing w:after="20"/>
            </w:pPr>
            <w:r>
              <w:rPr>
                <w:sz w:val="17"/>
              </w:rPr>
              <w:t>Communication</w:t>
            </w:r>
          </w:p>
        </w:tc>
        <w:tc>
          <w:tcPr>
            <w:tcW w:type="dxa" w:w="7553"/>
          </w:tcPr>
          <w:p>
            <w:pPr>
              <w:spacing w:after="20"/>
            </w:pPr>
            <w:r>
              <w:rPr>
                <w:sz w:val="17"/>
              </w:rPr>
              <w:t xml:space="preserve">REST over HTTP; client </w:t>
            </w:r>
            <w:r>
              <w:rPr>
                <w:b/>
                <w:sz w:val="17"/>
              </w:rPr>
              <w:t>polls</w:t>
            </w:r>
            <w:r>
              <w:rPr>
                <w:sz w:val="17"/>
              </w:rPr>
              <w:t xml:space="preserve"> for long-running work (no websockets)</w:t>
            </w:r>
          </w:p>
        </w:tc>
      </w:tr>
      <w:tr>
        <w:tc>
          <w:tcPr>
            <w:tcW w:type="dxa" w:w="7553"/>
          </w:tcPr>
          <w:p>
            <w:pPr>
              <w:spacing w:after="20"/>
            </w:pPr>
            <w:r>
              <w:rPr>
                <w:sz w:val="17"/>
              </w:rPr>
              <w:t>Concurrency model</w:t>
            </w:r>
          </w:p>
        </w:tc>
        <w:tc>
          <w:tcPr>
            <w:tcW w:type="dxa" w:w="7553"/>
          </w:tcPr>
          <w:p>
            <w:pPr>
              <w:spacing w:after="20"/>
            </w:pPr>
            <w:r>
              <w:rPr>
                <w:sz w:val="17"/>
              </w:rPr>
              <w:t xml:space="preserve">Accept-then-process: the upload endpoint returns </w:t>
            </w:r>
            <w:r>
              <w:rPr>
                <w:rFonts w:ascii="Menlo" w:hAnsi="Menlo"/>
                <w:sz w:val="17"/>
              </w:rPr>
              <w:t>202</w:t>
            </w:r>
            <w:r>
              <w:rPr>
                <w:sz w:val="17"/>
              </w:rPr>
              <w:t xml:space="preserve"> immediately, work continues on the event loop</w:t>
            </w:r>
          </w:p>
        </w:tc>
      </w:tr>
      <w:tr>
        <w:tc>
          <w:tcPr>
            <w:tcW w:type="dxa" w:w="7553"/>
          </w:tcPr>
          <w:p>
            <w:pPr>
              <w:spacing w:after="20"/>
            </w:pPr>
            <w:r>
              <w:rPr>
                <w:sz w:val="17"/>
              </w:rPr>
              <w:t>Coupling to externals</w:t>
            </w:r>
          </w:p>
        </w:tc>
        <w:tc>
          <w:tcPr>
            <w:tcW w:type="dxa" w:w="7553"/>
          </w:tcPr>
          <w:p>
            <w:pPr>
              <w:spacing w:after="20"/>
            </w:pPr>
            <w:r>
              <w:rPr>
                <w:sz w:val="17"/>
              </w:rPr>
              <w:t>Every external dependency (LLM, vector store, ad platform, warehouse) is reached only through a dedicated service module — never from a route, never from the browser</w:t>
            </w:r>
          </w:p>
        </w:tc>
      </w:tr>
      <w:tr>
        <w:tc>
          <w:tcPr>
            <w:tcW w:type="dxa" w:w="7553"/>
          </w:tcPr>
          <w:p>
            <w:pPr>
              <w:spacing w:after="20"/>
            </w:pPr>
            <w:r>
              <w:rPr>
                <w:sz w:val="17"/>
              </w:rPr>
              <w:t>State</w:t>
            </w:r>
          </w:p>
        </w:tc>
        <w:tc>
          <w:tcPr>
            <w:tcW w:type="dxa" w:w="7553"/>
          </w:tcPr>
          <w:p>
            <w:pPr>
              <w:spacing w:after="20"/>
            </w:pPr>
            <w:r>
              <w:rPr>
                <w:sz w:val="17"/>
              </w:rPr>
              <w:t>In-memory stores behind a module interface, deliberately swappable for a database (see §10)</w:t>
            </w:r>
          </w:p>
        </w:tc>
      </w:tr>
      <w:tr>
        <w:tc>
          <w:tcPr>
            <w:tcW w:type="dxa" w:w="7553"/>
          </w:tcPr>
          <w:p>
            <w:pPr>
              <w:spacing w:after="20"/>
            </w:pPr>
            <w:r>
              <w:rPr>
                <w:sz w:val="17"/>
              </w:rPr>
              <w:t>Failure posture</w:t>
            </w:r>
          </w:p>
        </w:tc>
        <w:tc>
          <w:tcPr>
            <w:tcW w:type="dxa" w:w="7553"/>
          </w:tcPr>
          <w:p>
            <w:pPr>
              <w:spacing w:after="20"/>
            </w:pPr>
            <w:r>
              <w:rPr>
                <w:sz w:val="17"/>
              </w:rPr>
              <w:t>Critical path fails loudly; non-critical side effects fail in isolation without failing the job</w:t>
            </w:r>
          </w:p>
        </w:tc>
      </w:tr>
    </w:tbl>
    <w:p>
      <w:pPr>
        <w:spacing w:after="40"/>
      </w:pPr>
    </w:p>
    <w:p>
      <w:pPr>
        <w:spacing w:before="40" w:after="40"/>
        <w:pBdr>
          <w:bottom w:val="single" w:sz="6" w:space="1" w:color="CCCCCC"/>
        </w:pBdr>
      </w:pPr>
    </w:p>
    <w:p>
      <w:pPr>
        <w:keepNext/>
        <w:spacing w:before="280" w:after="100"/>
      </w:pPr>
      <w:r>
        <w:rPr>
          <w:b/>
          <w:color w:val="C11B17"/>
          <w:sz w:val="28"/>
        </w:rPr>
        <w:t>2. System context</w:t>
      </w:r>
    </w:p>
    <w:p>
      <w:r>
        <w:rPr>
          <w:sz w:val="19"/>
        </w:rPr>
        <w:t>Who and what sits outside the system, and every line that crosses the boundary.</w:t>
      </w:r>
    </w:p>
    <w:p>
      <w:pPr>
        <w:jc w:val="center"/>
      </w:pPr>
      <w:r>
        <w:drawing>
          <wp:inline xmlns:a="http://schemas.openxmlformats.org/drawingml/2006/main" xmlns:pic="http://schemas.openxmlformats.org/drawingml/2006/picture">
            <wp:extent cx="9592056" cy="2843067"/>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9592056" cy="2843067"/>
                    </a:xfrm>
                    <a:prstGeom prst="rect"/>
                  </pic:spPr>
                </pic:pic>
              </a:graphicData>
            </a:graphic>
          </wp:inline>
        </w:drawing>
      </w:r>
    </w:p>
    <w:p>
      <w:pPr>
        <w:spacing w:after="240"/>
        <w:jc w:val="center"/>
      </w:pPr>
      <w:r>
        <w:rPr>
          <w:i/>
          <w:color w:val="5A5A5A"/>
          <w:sz w:val="17"/>
        </w:rPr>
        <w:t>Figure 1 — System context: actors, the trust boundary, and every external dependency</w:t>
      </w:r>
    </w:p>
    <w:p>
      <w:pPr>
        <w:keepNext/>
        <w:spacing w:before="160" w:after="100"/>
      </w:pPr>
      <w:r>
        <w:rPr>
          <w:b/>
          <w:color w:val="222222"/>
          <w:sz w:val="23"/>
        </w:rPr>
        <w:t>Boundary contract</w:t>
      </w:r>
    </w:p>
    <w:tbl>
      <w:tblPr>
        <w:tblStyle w:val="TableGrid"/>
        <w:tblW w:type="auto" w:w="0"/>
        <w:jc w:val="center"/>
        <w:tblLook w:firstColumn="1" w:firstRow="1" w:lastColumn="0" w:lastRow="0" w:noHBand="0" w:noVBand="1" w:val="04A0"/>
      </w:tblPr>
      <w:tblGrid>
        <w:gridCol w:w="5035"/>
        <w:gridCol w:w="5035"/>
        <w:gridCol w:w="5035"/>
      </w:tblGrid>
      <w:tr>
        <w:tc>
          <w:tcPr>
            <w:tcW w:type="dxa" w:w="5035"/>
            <w:shd w:val="clear" w:fill="F2F2F2"/>
          </w:tcPr>
          <w:p>
            <w:pPr>
              <w:spacing w:after="20"/>
            </w:pPr>
            <w:r>
              <w:rPr>
                <w:b/>
              </w:rPr>
            </w:r>
            <w:r>
              <w:rPr>
                <w:b/>
                <w:sz w:val="18"/>
              </w:rPr>
              <w:t>Crossing</w:t>
            </w:r>
          </w:p>
        </w:tc>
        <w:tc>
          <w:tcPr>
            <w:tcW w:type="dxa" w:w="5035"/>
            <w:shd w:val="clear" w:fill="F2F2F2"/>
          </w:tcPr>
          <w:p>
            <w:pPr>
              <w:spacing w:after="20"/>
            </w:pPr>
            <w:r>
              <w:rPr>
                <w:b/>
              </w:rPr>
            </w:r>
            <w:r>
              <w:rPr>
                <w:b/>
                <w:sz w:val="18"/>
              </w:rPr>
              <w:t>Direction</w:t>
            </w:r>
          </w:p>
        </w:tc>
        <w:tc>
          <w:tcPr>
            <w:tcW w:type="dxa" w:w="5035"/>
            <w:shd w:val="clear" w:fill="F2F2F2"/>
          </w:tcPr>
          <w:p>
            <w:pPr>
              <w:spacing w:after="20"/>
            </w:pPr>
            <w:r>
              <w:rPr>
                <w:b/>
              </w:rPr>
            </w:r>
            <w:r>
              <w:rPr>
                <w:b/>
                <w:sz w:val="18"/>
              </w:rPr>
              <w:t>Why it is shaped this way</w:t>
            </w:r>
          </w:p>
        </w:tc>
      </w:tr>
      <w:tr>
        <w:tc>
          <w:tcPr>
            <w:tcW w:type="dxa" w:w="5035"/>
          </w:tcPr>
          <w:p>
            <w:pPr>
              <w:spacing w:after="20"/>
            </w:pPr>
            <w:r>
              <w:rPr>
                <w:sz w:val="17"/>
              </w:rPr>
              <w:t>Browser → API</w:t>
            </w:r>
          </w:p>
        </w:tc>
        <w:tc>
          <w:tcPr>
            <w:tcW w:type="dxa" w:w="5035"/>
          </w:tcPr>
          <w:p>
            <w:pPr>
              <w:spacing w:after="20"/>
            </w:pPr>
            <w:r>
              <w:rPr>
                <w:sz w:val="17"/>
              </w:rPr>
              <w:t xml:space="preserve">REST + </w:t>
            </w:r>
            <w:r>
              <w:rPr>
                <w:rFonts w:ascii="Menlo" w:hAnsi="Menlo"/>
                <w:sz w:val="17"/>
              </w:rPr>
              <w:t>httpOnly</w:t>
            </w:r>
            <w:r>
              <w:rPr>
                <w:sz w:val="17"/>
              </w:rPr>
              <w:t xml:space="preserve"> session cookie</w:t>
            </w:r>
          </w:p>
        </w:tc>
        <w:tc>
          <w:tcPr>
            <w:tcW w:type="dxa" w:w="5035"/>
          </w:tcPr>
          <w:p>
            <w:pPr>
              <w:spacing w:after="20"/>
            </w:pPr>
            <w:r>
              <w:rPr>
                <w:sz w:val="17"/>
              </w:rPr>
              <w:t>The token is never readable by page JavaScript, so one XSS bug is not a session-theft bug</w:t>
            </w:r>
          </w:p>
        </w:tc>
      </w:tr>
      <w:tr>
        <w:tc>
          <w:tcPr>
            <w:tcW w:type="dxa" w:w="5035"/>
          </w:tcPr>
          <w:p>
            <w:pPr>
              <w:spacing w:after="20"/>
            </w:pPr>
            <w:r>
              <w:rPr>
                <w:sz w:val="17"/>
              </w:rPr>
              <w:t>Browser → any external</w:t>
            </w:r>
          </w:p>
        </w:tc>
        <w:tc>
          <w:tcPr>
            <w:tcW w:type="dxa" w:w="5035"/>
          </w:tcPr>
          <w:p>
            <w:pPr>
              <w:spacing w:after="20"/>
            </w:pPr>
            <w:r>
              <w:rPr>
                <w:b/>
                <w:sz w:val="17"/>
              </w:rPr>
              <w:t>Does not exist</w:t>
            </w:r>
          </w:p>
        </w:tc>
        <w:tc>
          <w:tcPr>
            <w:tcW w:type="dxa" w:w="5035"/>
          </w:tcPr>
          <w:p>
            <w:pPr>
              <w:spacing w:after="20"/>
            </w:pPr>
            <w:r>
              <w:rPr>
                <w:sz w:val="17"/>
              </w:rPr>
              <w:t>No API key ever reaches the client; every AI call is subject to the same server-side grounding discipline regardless of which screen triggered it</w:t>
            </w:r>
          </w:p>
        </w:tc>
      </w:tr>
      <w:tr>
        <w:tc>
          <w:tcPr>
            <w:tcW w:type="dxa" w:w="5035"/>
          </w:tcPr>
          <w:p>
            <w:pPr>
              <w:spacing w:after="20"/>
            </w:pPr>
            <w:r>
              <w:rPr>
                <w:sz w:val="17"/>
              </w:rPr>
              <w:t>API → Groq</w:t>
            </w:r>
          </w:p>
        </w:tc>
        <w:tc>
          <w:tcPr>
            <w:tcW w:type="dxa" w:w="5035"/>
          </w:tcPr>
          <w:p>
            <w:pPr>
              <w:spacing w:after="20"/>
            </w:pPr>
            <w:r>
              <w:rPr>
                <w:sz w:val="17"/>
              </w:rPr>
              <w:t>Outbound only, per job / per query</w:t>
            </w:r>
          </w:p>
        </w:tc>
        <w:tc>
          <w:tcPr>
            <w:tcW w:type="dxa" w:w="5035"/>
          </w:tcPr>
          <w:p>
            <w:pPr>
              <w:spacing w:after="20"/>
            </w:pPr>
            <w:r>
              <w:rPr>
                <w:sz w:val="17"/>
              </w:rPr>
              <w:t>Groq never initiates; a Groq outage degrades phrasing, not correctness</w:t>
            </w:r>
          </w:p>
        </w:tc>
      </w:tr>
      <w:tr>
        <w:tc>
          <w:tcPr>
            <w:tcW w:type="dxa" w:w="5035"/>
          </w:tcPr>
          <w:p>
            <w:pPr>
              <w:spacing w:after="20"/>
            </w:pPr>
            <w:r>
              <w:rPr>
                <w:sz w:val="17"/>
              </w:rPr>
              <w:t>API → Xenova</w:t>
            </w:r>
          </w:p>
        </w:tc>
        <w:tc>
          <w:tcPr>
            <w:tcW w:type="dxa" w:w="5035"/>
          </w:tcPr>
          <w:p>
            <w:pPr>
              <w:spacing w:after="20"/>
            </w:pPr>
            <w:r>
              <w:rPr>
                <w:b/>
                <w:sz w:val="17"/>
              </w:rPr>
              <w:t>In-process function call, not a network call</w:t>
            </w:r>
          </w:p>
        </w:tc>
        <w:tc>
          <w:tcPr>
            <w:tcW w:type="dxa" w:w="5035"/>
          </w:tcPr>
          <w:p>
            <w:pPr>
              <w:spacing w:after="20"/>
            </w:pPr>
            <w:r>
              <w:rPr>
                <w:sz w:val="17"/>
              </w:rPr>
              <w:t xml:space="preserve">Shapes a real design decision: embedding is CPU-bound and sequential, so </w:t>
            </w:r>
            <w:r>
              <w:rPr>
                <w:rFonts w:ascii="Menlo" w:hAnsi="Menlo"/>
                <w:sz w:val="17"/>
              </w:rPr>
              <w:t>matchAllCampaigns</w:t>
            </w:r>
            <w:r>
              <w:rPr>
                <w:sz w:val="17"/>
              </w:rPr>
              <w:t xml:space="preserve"> deliberately does </w:t>
            </w:r>
            <w:r>
              <w:rPr>
                <w:i/>
                <w:sz w:val="17"/>
              </w:rPr>
              <w:t>not</w:t>
            </w:r>
            <w:r>
              <w:rPr>
                <w:sz w:val="17"/>
              </w:rPr>
              <w:t xml:space="preserve"> </w:t>
            </w:r>
            <w:r>
              <w:rPr>
                <w:rFonts w:ascii="Menlo" w:hAnsi="Menlo"/>
                <w:sz w:val="17"/>
              </w:rPr>
              <w:t>Promise.all</w:t>
            </w:r>
            <w:r>
              <w:rPr>
                <w:sz w:val="17"/>
              </w:rPr>
              <w:t xml:space="preserve"> — there is no network latency to overlap</w:t>
            </w:r>
          </w:p>
        </w:tc>
      </w:tr>
      <w:tr>
        <w:tc>
          <w:tcPr>
            <w:tcW w:type="dxa" w:w="5035"/>
          </w:tcPr>
          <w:p>
            <w:pPr>
              <w:spacing w:after="20"/>
            </w:pPr>
            <w:r>
              <w:rPr>
                <w:sz w:val="17"/>
              </w:rPr>
              <w:t>API → Chroma</w:t>
            </w:r>
          </w:p>
        </w:tc>
        <w:tc>
          <w:tcPr>
            <w:tcW w:type="dxa" w:w="5035"/>
          </w:tcPr>
          <w:p>
            <w:pPr>
              <w:spacing w:after="20"/>
            </w:pPr>
            <w:r>
              <w:rPr>
                <w:sz w:val="17"/>
              </w:rPr>
              <w:t>Read/write, fire-and-forget on write</w:t>
            </w:r>
          </w:p>
        </w:tc>
        <w:tc>
          <w:tcPr>
            <w:tcW w:type="dxa" w:w="5035"/>
          </w:tcPr>
          <w:p>
            <w:pPr>
              <w:spacing w:after="20"/>
            </w:pPr>
            <w:r>
              <w:rPr>
                <w:sz w:val="17"/>
              </w:rPr>
              <w:t>A Chroma outage loses searchability of that run, never the run itself</w:t>
            </w:r>
          </w:p>
        </w:tc>
      </w:tr>
      <w:tr>
        <w:tc>
          <w:tcPr>
            <w:tcW w:type="dxa" w:w="5035"/>
          </w:tcPr>
          <w:p>
            <w:pPr>
              <w:spacing w:after="20"/>
            </w:pPr>
            <w:r>
              <w:rPr>
                <w:sz w:val="17"/>
              </w:rPr>
              <w:t>Cron → pipeline</w:t>
            </w:r>
          </w:p>
        </w:tc>
        <w:tc>
          <w:tcPr>
            <w:tcW w:type="dxa" w:w="5035"/>
          </w:tcPr>
          <w:p>
            <w:pPr>
              <w:spacing w:after="20"/>
            </w:pPr>
            <w:r>
              <w:rPr>
                <w:sz w:val="17"/>
              </w:rPr>
              <w:t>Internal</w:t>
            </w:r>
          </w:p>
        </w:tc>
        <w:tc>
          <w:tcPr>
            <w:tcW w:type="dxa" w:w="5035"/>
          </w:tcPr>
          <w:p>
            <w:pPr>
              <w:spacing w:after="20"/>
            </w:pPr>
            <w:r>
              <w:rPr>
                <w:sz w:val="17"/>
              </w:rPr>
              <w:t>A scheduled run and a manual upload converge on the identical code path, so there is exactly one ingestion implementation to reason about</w:t>
            </w:r>
          </w:p>
        </w:tc>
      </w:tr>
    </w:tbl>
    <w:p>
      <w:pPr>
        <w:spacing w:after="40"/>
      </w:pPr>
    </w:p>
    <w:p>
      <w:pPr>
        <w:spacing w:before="40" w:after="40"/>
        <w:pBdr>
          <w:bottom w:val="single" w:sz="6" w:space="1" w:color="CCCCCC"/>
        </w:pBdr>
      </w:pPr>
    </w:p>
    <w:p>
      <w:pPr>
        <w:keepNext/>
        <w:spacing w:before="280" w:after="100"/>
      </w:pPr>
      <w:r>
        <w:rPr>
          <w:b/>
          <w:color w:val="C11B17"/>
          <w:sz w:val="28"/>
        </w:rPr>
        <w:t>3. Component architecture</w:t>
      </w:r>
    </w:p>
    <w:p>
      <w:r>
        <w:rPr>
          <w:sz w:val="19"/>
        </w:rPr>
        <w:t>Five layers. A dependency arrow never points upward.</w:t>
      </w:r>
    </w:p>
    <w:p>
      <w:pPr>
        <w:jc w:val="center"/>
      </w:pPr>
      <w:r>
        <w:drawing>
          <wp:inline xmlns:a="http://schemas.openxmlformats.org/drawingml/2006/main" xmlns:pic="http://schemas.openxmlformats.org/drawingml/2006/picture">
            <wp:extent cx="3425358" cy="6556248"/>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3425358" cy="6556248"/>
                    </a:xfrm>
                    <a:prstGeom prst="rect"/>
                  </pic:spPr>
                </pic:pic>
              </a:graphicData>
            </a:graphic>
          </wp:inline>
        </w:drawing>
      </w:r>
    </w:p>
    <w:p>
      <w:pPr>
        <w:spacing w:after="240"/>
        <w:jc w:val="center"/>
      </w:pPr>
      <w:r>
        <w:rPr>
          <w:i/>
          <w:color w:val="5A5A5A"/>
          <w:sz w:val="17"/>
        </w:rPr>
        <w:t>Figure 2 — Component architecture: five layers, no upward dependencies</w:t>
      </w:r>
    </w:p>
    <w:p>
      <w:pPr>
        <w:keepNext/>
        <w:spacing w:before="160" w:after="100"/>
      </w:pPr>
      <w:r>
        <w:rPr>
          <w:b/>
          <w:color w:val="222222"/>
          <w:sz w:val="23"/>
        </w:rPr>
        <w:t>Component inventory</w:t>
      </w:r>
    </w:p>
    <w:tbl>
      <w:tblPr>
        <w:tblStyle w:val="TableGrid"/>
        <w:tblW w:type="auto" w:w="0"/>
        <w:jc w:val="center"/>
        <w:tblLook w:firstColumn="1" w:firstRow="1" w:lastColumn="0" w:lastRow="0" w:noHBand="0" w:noVBand="1" w:val="04A0"/>
      </w:tblPr>
      <w:tblGrid>
        <w:gridCol w:w="3021"/>
        <w:gridCol w:w="3021"/>
        <w:gridCol w:w="3021"/>
        <w:gridCol w:w="3021"/>
        <w:gridCol w:w="3021"/>
      </w:tblGrid>
      <w:tr>
        <w:tc>
          <w:tcPr>
            <w:tcW w:type="dxa" w:w="3021"/>
            <w:shd w:val="clear" w:fill="F2F2F2"/>
          </w:tcPr>
          <w:p>
            <w:pPr>
              <w:spacing w:after="20"/>
            </w:pPr>
            <w:r>
              <w:rPr>
                <w:b/>
              </w:rPr>
            </w:r>
            <w:r>
              <w:rPr>
                <w:b/>
                <w:sz w:val="18"/>
              </w:rPr>
              <w:t>#</w:t>
            </w:r>
          </w:p>
        </w:tc>
        <w:tc>
          <w:tcPr>
            <w:tcW w:type="dxa" w:w="3021"/>
            <w:shd w:val="clear" w:fill="F2F2F2"/>
          </w:tcPr>
          <w:p>
            <w:pPr>
              <w:spacing w:after="20"/>
            </w:pPr>
            <w:r>
              <w:rPr>
                <w:b/>
              </w:rPr>
            </w:r>
            <w:r>
              <w:rPr>
                <w:b/>
                <w:sz w:val="18"/>
              </w:rPr>
              <w:t>Component</w:t>
            </w:r>
          </w:p>
        </w:tc>
        <w:tc>
          <w:tcPr>
            <w:tcW w:type="dxa" w:w="3021"/>
            <w:shd w:val="clear" w:fill="F2F2F2"/>
          </w:tcPr>
          <w:p>
            <w:pPr>
              <w:spacing w:after="20"/>
            </w:pPr>
            <w:r>
              <w:rPr>
                <w:b/>
              </w:rPr>
            </w:r>
            <w:r>
              <w:rPr>
                <w:b/>
                <w:sz w:val="18"/>
              </w:rPr>
              <w:t>Responsibility</w:t>
            </w:r>
          </w:p>
        </w:tc>
        <w:tc>
          <w:tcPr>
            <w:tcW w:type="dxa" w:w="3021"/>
            <w:shd w:val="clear" w:fill="F2F2F2"/>
          </w:tcPr>
          <w:p>
            <w:pPr>
              <w:spacing w:after="20"/>
            </w:pPr>
            <w:r>
              <w:rPr>
                <w:b/>
              </w:rPr>
            </w:r>
            <w:r>
              <w:rPr>
                <w:b/>
                <w:sz w:val="18"/>
              </w:rPr>
              <w:t>Deterministic?</w:t>
            </w:r>
          </w:p>
        </w:tc>
        <w:tc>
          <w:tcPr>
            <w:tcW w:type="dxa" w:w="3021"/>
            <w:shd w:val="clear" w:fill="F2F2F2"/>
          </w:tcPr>
          <w:p>
            <w:pPr>
              <w:spacing w:after="20"/>
            </w:pPr>
            <w:r>
              <w:rPr>
                <w:b/>
              </w:rPr>
            </w:r>
            <w:r>
              <w:rPr>
                <w:b/>
                <w:sz w:val="18"/>
              </w:rPr>
              <w:t>Key files</w:t>
            </w:r>
          </w:p>
        </w:tc>
      </w:tr>
      <w:tr>
        <w:tc>
          <w:tcPr>
            <w:tcW w:type="dxa" w:w="3021"/>
          </w:tcPr>
          <w:p>
            <w:pPr>
              <w:spacing w:after="20"/>
            </w:pPr>
            <w:r>
              <w:rPr>
                <w:sz w:val="17"/>
              </w:rPr>
              <w:t>1</w:t>
            </w:r>
          </w:p>
        </w:tc>
        <w:tc>
          <w:tcPr>
            <w:tcW w:type="dxa" w:w="3021"/>
          </w:tcPr>
          <w:p>
            <w:pPr>
              <w:spacing w:after="20"/>
            </w:pPr>
            <w:r>
              <w:rPr>
                <w:b/>
                <w:sz w:val="17"/>
              </w:rPr>
              <w:t>Validation pipeline</w:t>
            </w:r>
          </w:p>
        </w:tc>
        <w:tc>
          <w:tcPr>
            <w:tcW w:type="dxa" w:w="3021"/>
          </w:tcPr>
          <w:p>
            <w:pPr>
              <w:spacing w:after="20"/>
            </w:pPr>
            <w:r>
              <w:rPr>
                <w:sz w:val="17"/>
              </w:rPr>
              <w:t>Streams CSV rows; validates headers, schema, enums; standardises dates; applies business-rule corrections; detects duplicates; computes a weighted quality score</w:t>
            </w:r>
          </w:p>
        </w:tc>
        <w:tc>
          <w:tcPr>
            <w:tcW w:type="dxa" w:w="3021"/>
          </w:tcPr>
          <w:p>
            <w:pPr>
              <w:spacing w:after="20"/>
            </w:pPr>
            <w:r>
              <w:rPr>
                <w:sz w:val="17"/>
              </w:rPr>
              <w:t>✅ Fully</w:t>
            </w:r>
          </w:p>
        </w:tc>
        <w:tc>
          <w:tcPr>
            <w:tcW w:type="dxa" w:w="3021"/>
          </w:tcPr>
          <w:p>
            <w:pPr>
              <w:spacing w:after="20"/>
            </w:pPr>
            <w:r>
              <w:rPr>
                <w:rFonts w:ascii="Menlo" w:hAnsi="Menlo"/>
                <w:sz w:val="17"/>
              </w:rPr>
              <w:t>services/validation/*</w:t>
            </w:r>
          </w:p>
        </w:tc>
      </w:tr>
      <w:tr>
        <w:tc>
          <w:tcPr>
            <w:tcW w:type="dxa" w:w="3021"/>
          </w:tcPr>
          <w:p>
            <w:pPr>
              <w:spacing w:after="20"/>
            </w:pPr>
            <w:r>
              <w:rPr>
                <w:sz w:val="17"/>
              </w:rPr>
              <w:t>2</w:t>
            </w:r>
          </w:p>
        </w:tc>
        <w:tc>
          <w:tcPr>
            <w:tcW w:type="dxa" w:w="3021"/>
          </w:tcPr>
          <w:p>
            <w:pPr>
              <w:spacing w:after="20"/>
            </w:pPr>
            <w:r>
              <w:rPr>
                <w:b/>
                <w:sz w:val="17"/>
              </w:rPr>
              <w:t>AI campaign matcher</w:t>
            </w:r>
          </w:p>
        </w:tc>
        <w:tc>
          <w:tcPr>
            <w:tcW w:type="dxa" w:w="3021"/>
          </w:tcPr>
          <w:p>
            <w:pPr>
              <w:spacing w:after="20"/>
            </w:pPr>
            <w:r>
              <w:rPr>
                <w:sz w:val="17"/>
              </w:rPr>
              <w:t xml:space="preserve">Embeds an uploaded campaign name, cosine-compares against a cached master list, returns </w:t>
            </w:r>
            <w:r>
              <w:rPr>
                <w:rFonts w:ascii="Menlo" w:hAnsi="Menlo"/>
                <w:sz w:val="17"/>
              </w:rPr>
              <w:t>suggest</w:t>
            </w:r>
            <w:r>
              <w:rPr>
                <w:sz w:val="17"/>
              </w:rPr>
              <w:t xml:space="preserve"> or </w:t>
            </w:r>
            <w:r>
              <w:rPr>
                <w:rFonts w:ascii="Menlo" w:hAnsi="Menlo"/>
                <w:sz w:val="17"/>
              </w:rPr>
              <w:t>flag_for_review</w:t>
            </w:r>
          </w:p>
        </w:tc>
        <w:tc>
          <w:tcPr>
            <w:tcW w:type="dxa" w:w="3021"/>
          </w:tcPr>
          <w:p>
            <w:pPr>
              <w:spacing w:after="20"/>
            </w:pPr>
            <w:r>
              <w:rPr>
                <w:sz w:val="17"/>
              </w:rPr>
              <w:t>⚠️ AI-scored, deterministically thresholded</w:t>
            </w:r>
          </w:p>
        </w:tc>
        <w:tc>
          <w:tcPr>
            <w:tcW w:type="dxa" w:w="3021"/>
          </w:tcPr>
          <w:p>
            <w:pPr>
              <w:spacing w:after="20"/>
            </w:pPr>
            <w:r>
              <w:rPr>
                <w:rFonts w:ascii="Menlo" w:hAnsi="Menlo"/>
                <w:sz w:val="17"/>
              </w:rPr>
              <w:t>services/ai/matching/*</w:t>
            </w:r>
          </w:p>
        </w:tc>
      </w:tr>
      <w:tr>
        <w:tc>
          <w:tcPr>
            <w:tcW w:type="dxa" w:w="3021"/>
          </w:tcPr>
          <w:p>
            <w:pPr>
              <w:spacing w:after="20"/>
            </w:pPr>
            <w:r>
              <w:rPr>
                <w:sz w:val="17"/>
              </w:rPr>
              <w:t>3</w:t>
            </w:r>
          </w:p>
        </w:tc>
        <w:tc>
          <w:tcPr>
            <w:tcW w:type="dxa" w:w="3021"/>
          </w:tcPr>
          <w:p>
            <w:pPr>
              <w:spacing w:after="20"/>
            </w:pPr>
            <w:r>
              <w:rPr>
                <w:b/>
                <w:sz w:val="17"/>
              </w:rPr>
              <w:t>AI quality summary</w:t>
            </w:r>
          </w:p>
        </w:tc>
        <w:tc>
          <w:tcPr>
            <w:tcW w:type="dxa" w:w="3021"/>
          </w:tcPr>
          <w:p>
            <w:pPr>
              <w:spacing w:after="20"/>
            </w:pPr>
            <w:r>
              <w:rPr>
                <w:sz w:val="17"/>
              </w:rPr>
              <w:t>Converts a fixed JSON fact object into one plain-English sentence</w:t>
            </w:r>
          </w:p>
        </w:tc>
        <w:tc>
          <w:tcPr>
            <w:tcW w:type="dxa" w:w="3021"/>
          </w:tcPr>
          <w:p>
            <w:pPr>
              <w:spacing w:after="20"/>
            </w:pPr>
            <w:r>
              <w:rPr>
                <w:sz w:val="17"/>
              </w:rPr>
              <w:t>❌ LLM phrasing</w:t>
            </w:r>
          </w:p>
        </w:tc>
        <w:tc>
          <w:tcPr>
            <w:tcW w:type="dxa" w:w="3021"/>
          </w:tcPr>
          <w:p>
            <w:pPr>
              <w:spacing w:after="20"/>
            </w:pPr>
            <w:r>
              <w:rPr>
                <w:rFonts w:ascii="Menlo" w:hAnsi="Menlo"/>
                <w:sz w:val="17"/>
              </w:rPr>
              <w:t>services/ai/summary/qualitySummary.js</w:t>
            </w:r>
          </w:p>
        </w:tc>
      </w:tr>
      <w:tr>
        <w:tc>
          <w:tcPr>
            <w:tcW w:type="dxa" w:w="3021"/>
          </w:tcPr>
          <w:p>
            <w:pPr>
              <w:spacing w:after="20"/>
            </w:pPr>
            <w:r>
              <w:rPr>
                <w:sz w:val="17"/>
              </w:rPr>
              <w:t>4</w:t>
            </w:r>
          </w:p>
        </w:tc>
        <w:tc>
          <w:tcPr>
            <w:tcW w:type="dxa" w:w="3021"/>
          </w:tcPr>
          <w:p>
            <w:pPr>
              <w:spacing w:after="20"/>
            </w:pPr>
            <w:r>
              <w:rPr>
                <w:b/>
                <w:sz w:val="17"/>
              </w:rPr>
              <w:t>RAG assistant</w:t>
            </w:r>
          </w:p>
        </w:tc>
        <w:tc>
          <w:tcPr>
            <w:tcW w:type="dxa" w:w="3021"/>
          </w:tcPr>
          <w:p>
            <w:pPr>
              <w:spacing w:after="20"/>
            </w:pPr>
            <w:r>
              <w:rPr>
                <w:sz w:val="17"/>
              </w:rPr>
              <w:t>Routes a question to an exact-computation path or a vector-retrieval path; both are LLM-phrased with citations</w:t>
            </w:r>
          </w:p>
        </w:tc>
        <w:tc>
          <w:tcPr>
            <w:tcW w:type="dxa" w:w="3021"/>
          </w:tcPr>
          <w:p>
            <w:pPr>
              <w:spacing w:after="20"/>
            </w:pPr>
            <w:r>
              <w:rPr>
                <w:sz w:val="17"/>
              </w:rPr>
              <w:t>⚠️ Routing + retrieval deterministic; phrasing is not</w:t>
            </w:r>
          </w:p>
        </w:tc>
        <w:tc>
          <w:tcPr>
            <w:tcW w:type="dxa" w:w="3021"/>
          </w:tcPr>
          <w:p>
            <w:pPr>
              <w:spacing w:after="20"/>
            </w:pPr>
            <w:r>
              <w:rPr>
                <w:rFonts w:ascii="Menlo" w:hAnsi="Menlo"/>
                <w:sz w:val="17"/>
              </w:rPr>
              <w:t>routes/assistant.js</w:t>
            </w:r>
            <w:r>
              <w:rPr>
                <w:sz w:val="17"/>
              </w:rPr>
              <w:t xml:space="preserve">, </w:t>
            </w:r>
            <w:r>
              <w:rPr>
                <w:rFonts w:ascii="Menlo" w:hAnsi="Menlo"/>
                <w:sz w:val="17"/>
              </w:rPr>
              <w:t>services/ai/rag/*</w:t>
            </w:r>
          </w:p>
        </w:tc>
      </w:tr>
      <w:tr>
        <w:tc>
          <w:tcPr>
            <w:tcW w:type="dxa" w:w="3021"/>
          </w:tcPr>
          <w:p>
            <w:pPr>
              <w:spacing w:after="20"/>
            </w:pPr>
            <w:r>
              <w:rPr>
                <w:sz w:val="17"/>
              </w:rPr>
              <w:t>5</w:t>
            </w:r>
          </w:p>
        </w:tc>
        <w:tc>
          <w:tcPr>
            <w:tcW w:type="dxa" w:w="3021"/>
          </w:tcPr>
          <w:p>
            <w:pPr>
              <w:spacing w:after="20"/>
            </w:pPr>
            <w:r>
              <w:rPr>
                <w:b/>
                <w:sz w:val="17"/>
              </w:rPr>
              <w:t>Review &amp; approval</w:t>
            </w:r>
          </w:p>
        </w:tc>
        <w:tc>
          <w:tcPr>
            <w:tcW w:type="dxa" w:w="3021"/>
          </w:tcPr>
          <w:p>
            <w:pPr>
              <w:spacing w:after="20"/>
            </w:pPr>
            <w:r>
              <w:rPr>
                <w:sz w:val="17"/>
              </w:rPr>
              <w:t>Records a per-suggestion human decision — the single event that unlocks all downstream writes</w:t>
            </w:r>
          </w:p>
        </w:tc>
        <w:tc>
          <w:tcPr>
            <w:tcW w:type="dxa" w:w="3021"/>
          </w:tcPr>
          <w:p>
            <w:pPr>
              <w:spacing w:after="20"/>
            </w:pPr>
            <w:r>
              <w:rPr>
                <w:sz w:val="17"/>
              </w:rPr>
              <w:t>✅ Fully</w:t>
            </w:r>
          </w:p>
        </w:tc>
        <w:tc>
          <w:tcPr>
            <w:tcW w:type="dxa" w:w="3021"/>
          </w:tcPr>
          <w:p>
            <w:pPr>
              <w:spacing w:after="20"/>
            </w:pPr>
            <w:r>
              <w:rPr>
                <w:rFonts w:ascii="Menlo" w:hAnsi="Menlo"/>
                <w:sz w:val="17"/>
              </w:rPr>
              <w:t>routes/approve.js</w:t>
            </w:r>
          </w:p>
        </w:tc>
      </w:tr>
      <w:tr>
        <w:tc>
          <w:tcPr>
            <w:tcW w:type="dxa" w:w="3021"/>
          </w:tcPr>
          <w:p>
            <w:pPr>
              <w:spacing w:after="20"/>
            </w:pPr>
            <w:r>
              <w:rPr>
                <w:sz w:val="17"/>
              </w:rPr>
              <w:t>6</w:t>
            </w:r>
          </w:p>
        </w:tc>
        <w:tc>
          <w:tcPr>
            <w:tcW w:type="dxa" w:w="3021"/>
          </w:tcPr>
          <w:p>
            <w:pPr>
              <w:spacing w:after="20"/>
            </w:pPr>
            <w:r>
              <w:rPr>
                <w:b/>
                <w:sz w:val="17"/>
              </w:rPr>
              <w:t>Ad platform push</w:t>
            </w:r>
          </w:p>
        </w:tc>
        <w:tc>
          <w:tcPr>
            <w:tcW w:type="dxa" w:w="3021"/>
          </w:tcPr>
          <w:p>
            <w:pPr>
              <w:spacing w:after="20"/>
            </w:pPr>
            <w:r>
              <w:rPr>
                <w:sz w:val="17"/>
              </w:rPr>
              <w:t>Pushes approved campaign performance data back to the ad platform (simulated transport)</w:t>
            </w:r>
          </w:p>
        </w:tc>
        <w:tc>
          <w:tcPr>
            <w:tcW w:type="dxa" w:w="3021"/>
          </w:tcPr>
          <w:p>
            <w:pPr>
              <w:spacing w:after="20"/>
            </w:pPr>
            <w:r>
              <w:rPr>
                <w:sz w:val="17"/>
              </w:rPr>
              <w:t>✅ Fully</w:t>
            </w:r>
          </w:p>
        </w:tc>
        <w:tc>
          <w:tcPr>
            <w:tcW w:type="dxa" w:w="3021"/>
          </w:tcPr>
          <w:p>
            <w:pPr>
              <w:spacing w:after="20"/>
            </w:pPr>
            <w:r>
              <w:rPr>
                <w:rFonts w:ascii="Menlo" w:hAnsi="Menlo"/>
                <w:sz w:val="17"/>
              </w:rPr>
              <w:t>services/adtech/adPlatformPush.js</w:t>
            </w:r>
          </w:p>
        </w:tc>
      </w:tr>
      <w:tr>
        <w:tc>
          <w:tcPr>
            <w:tcW w:type="dxa" w:w="3021"/>
          </w:tcPr>
          <w:p>
            <w:pPr>
              <w:spacing w:after="20"/>
            </w:pPr>
            <w:r>
              <w:rPr>
                <w:sz w:val="17"/>
              </w:rPr>
              <w:t>7</w:t>
            </w:r>
          </w:p>
        </w:tc>
        <w:tc>
          <w:tcPr>
            <w:tcW w:type="dxa" w:w="3021"/>
          </w:tcPr>
          <w:p>
            <w:pPr>
              <w:spacing w:after="20"/>
            </w:pPr>
            <w:r>
              <w:rPr>
                <w:b/>
                <w:sz w:val="17"/>
              </w:rPr>
              <w:t>Spend reconciliation</w:t>
            </w:r>
          </w:p>
        </w:tc>
        <w:tc>
          <w:tcPr>
            <w:tcW w:type="dxa" w:w="3021"/>
          </w:tcPr>
          <w:p>
            <w:pPr>
              <w:spacing w:after="20"/>
            </w:pPr>
            <w:r>
              <w:rPr>
                <w:sz w:val="17"/>
              </w:rPr>
              <w:t>Compares uploaded vs. platform-reported spend per campaign; flags variance &gt; 5%</w:t>
            </w:r>
          </w:p>
        </w:tc>
        <w:tc>
          <w:tcPr>
            <w:tcW w:type="dxa" w:w="3021"/>
          </w:tcPr>
          <w:p>
            <w:pPr>
              <w:spacing w:after="20"/>
            </w:pPr>
            <w:r>
              <w:rPr>
                <w:sz w:val="17"/>
              </w:rPr>
              <w:t>✅ Fully</w:t>
            </w:r>
          </w:p>
        </w:tc>
        <w:tc>
          <w:tcPr>
            <w:tcW w:type="dxa" w:w="3021"/>
          </w:tcPr>
          <w:p>
            <w:pPr>
              <w:spacing w:after="20"/>
            </w:pPr>
            <w:r>
              <w:rPr>
                <w:rFonts w:ascii="Menlo" w:hAnsi="Menlo"/>
                <w:sz w:val="17"/>
              </w:rPr>
              <w:t>services/adtech/reconciliation.js</w:t>
            </w:r>
            <w:r>
              <w:rPr>
                <w:sz w:val="17"/>
              </w:rPr>
              <w:t xml:space="preserve">, </w:t>
            </w:r>
            <w:r>
              <w:rPr>
                <w:rFonts w:ascii="Menlo" w:hAnsi="Menlo"/>
                <w:sz w:val="17"/>
              </w:rPr>
              <w:t>autoReconcile.js</w:t>
            </w:r>
          </w:p>
        </w:tc>
      </w:tr>
      <w:tr>
        <w:tc>
          <w:tcPr>
            <w:tcW w:type="dxa" w:w="3021"/>
          </w:tcPr>
          <w:p>
            <w:pPr>
              <w:spacing w:after="20"/>
            </w:pPr>
            <w:r>
              <w:rPr>
                <w:sz w:val="17"/>
              </w:rPr>
              <w:t>8</w:t>
            </w:r>
          </w:p>
        </w:tc>
        <w:tc>
          <w:tcPr>
            <w:tcW w:type="dxa" w:w="3021"/>
          </w:tcPr>
          <w:p>
            <w:pPr>
              <w:spacing w:after="20"/>
            </w:pPr>
            <w:r>
              <w:rPr>
                <w:b/>
                <w:sz w:val="17"/>
              </w:rPr>
              <w:t>Databricks ingestion</w:t>
            </w:r>
          </w:p>
        </w:tc>
        <w:tc>
          <w:tcPr>
            <w:tcW w:type="dxa" w:w="3021"/>
          </w:tcPr>
          <w:p>
            <w:pPr>
              <w:spacing w:after="20"/>
            </w:pPr>
            <w:r>
              <w:rPr>
                <w:sz w:val="17"/>
              </w:rPr>
              <w:t>Lands raw + cleaned rows into simulated bronze/silver tables with an idempotency key and retry-with-backoff</w:t>
            </w:r>
          </w:p>
        </w:tc>
        <w:tc>
          <w:tcPr>
            <w:tcW w:type="dxa" w:w="3021"/>
          </w:tcPr>
          <w:p>
            <w:pPr>
              <w:spacing w:after="20"/>
            </w:pPr>
            <w:r>
              <w:rPr>
                <w:sz w:val="17"/>
              </w:rPr>
              <w:t>✅ Fully</w:t>
            </w:r>
          </w:p>
        </w:tc>
        <w:tc>
          <w:tcPr>
            <w:tcW w:type="dxa" w:w="3021"/>
          </w:tcPr>
          <w:p>
            <w:pPr>
              <w:spacing w:after="20"/>
            </w:pPr>
            <w:r>
              <w:rPr>
                <w:rFonts w:ascii="Menlo" w:hAnsi="Menlo"/>
                <w:sz w:val="17"/>
              </w:rPr>
              <w:t>services/databricks/databricksIngestion.js</w:t>
            </w:r>
          </w:p>
        </w:tc>
      </w:tr>
      <w:tr>
        <w:tc>
          <w:tcPr>
            <w:tcW w:type="dxa" w:w="3021"/>
          </w:tcPr>
          <w:p>
            <w:pPr>
              <w:spacing w:after="20"/>
            </w:pPr>
            <w:r>
              <w:rPr>
                <w:sz w:val="17"/>
              </w:rPr>
              <w:t>9</w:t>
            </w:r>
          </w:p>
        </w:tc>
        <w:tc>
          <w:tcPr>
            <w:tcW w:type="dxa" w:w="3021"/>
          </w:tcPr>
          <w:p>
            <w:pPr>
              <w:spacing w:after="20"/>
            </w:pPr>
            <w:r>
              <w:rPr>
                <w:b/>
                <w:sz w:val="17"/>
              </w:rPr>
              <w:t>Scheduler</w:t>
            </w:r>
          </w:p>
        </w:tc>
        <w:tc>
          <w:tcPr>
            <w:tcW w:type="dxa" w:w="3021"/>
          </w:tcPr>
          <w:p>
            <w:pPr>
              <w:spacing w:after="20"/>
            </w:pPr>
            <w:r>
              <w:rPr>
                <w:sz w:val="17"/>
              </w:rPr>
              <w:t>Per-source cron config; triggers the same pipeline programmatically; records run history; notifies on terminal failure</w:t>
            </w:r>
          </w:p>
        </w:tc>
        <w:tc>
          <w:tcPr>
            <w:tcW w:type="dxa" w:w="3021"/>
          </w:tcPr>
          <w:p>
            <w:pPr>
              <w:spacing w:after="20"/>
            </w:pPr>
            <w:r>
              <w:rPr>
                <w:sz w:val="17"/>
              </w:rPr>
              <w:t>✅ Fully</w:t>
            </w:r>
          </w:p>
        </w:tc>
        <w:tc>
          <w:tcPr>
            <w:tcW w:type="dxa" w:w="3021"/>
          </w:tcPr>
          <w:p>
            <w:pPr>
              <w:spacing w:after="20"/>
            </w:pPr>
            <w:r>
              <w:rPr>
                <w:rFonts w:ascii="Menlo" w:hAnsi="Menlo"/>
                <w:sz w:val="17"/>
              </w:rPr>
              <w:t>services/scheduler/*</w:t>
            </w:r>
          </w:p>
        </w:tc>
      </w:tr>
      <w:tr>
        <w:tc>
          <w:tcPr>
            <w:tcW w:type="dxa" w:w="3021"/>
          </w:tcPr>
          <w:p>
            <w:pPr>
              <w:spacing w:after="20"/>
            </w:pPr>
            <w:r>
              <w:rPr>
                <w:sz w:val="17"/>
              </w:rPr>
              <w:t>10</w:t>
            </w:r>
          </w:p>
        </w:tc>
        <w:tc>
          <w:tcPr>
            <w:tcW w:type="dxa" w:w="3021"/>
          </w:tcPr>
          <w:p>
            <w:pPr>
              <w:spacing w:after="20"/>
            </w:pPr>
            <w:r>
              <w:rPr>
                <w:b/>
                <w:sz w:val="17"/>
              </w:rPr>
              <w:t>Dashboard aggregation</w:t>
            </w:r>
          </w:p>
        </w:tc>
        <w:tc>
          <w:tcPr>
            <w:tcW w:type="dxa" w:w="3021"/>
          </w:tcPr>
          <w:p>
            <w:pPr>
              <w:spacing w:after="20"/>
            </w:pPr>
            <w:r>
              <w:rPr>
                <w:sz w:val="17"/>
              </w:rPr>
              <w:t>Totals, quality trend, reconciliation pass rate, AI suggestion acceptance rate, RAG query stats, pipeline latency</w:t>
            </w:r>
          </w:p>
        </w:tc>
        <w:tc>
          <w:tcPr>
            <w:tcW w:type="dxa" w:w="3021"/>
          </w:tcPr>
          <w:p>
            <w:pPr>
              <w:spacing w:after="20"/>
            </w:pPr>
            <w:r>
              <w:rPr>
                <w:sz w:val="17"/>
              </w:rPr>
              <w:t>✅ Fully</w:t>
            </w:r>
          </w:p>
        </w:tc>
        <w:tc>
          <w:tcPr>
            <w:tcW w:type="dxa" w:w="3021"/>
          </w:tcPr>
          <w:p>
            <w:pPr>
              <w:spacing w:after="20"/>
            </w:pPr>
            <w:r>
              <w:rPr>
                <w:rFonts w:ascii="Menlo" w:hAnsi="Menlo"/>
                <w:sz w:val="17"/>
              </w:rPr>
              <w:t>routes/dashboard.js</w:t>
            </w:r>
          </w:p>
        </w:tc>
      </w:tr>
      <w:tr>
        <w:tc>
          <w:tcPr>
            <w:tcW w:type="dxa" w:w="3021"/>
          </w:tcPr>
          <w:p>
            <w:pPr>
              <w:spacing w:after="20"/>
            </w:pPr>
            <w:r>
              <w:rPr>
                <w:sz w:val="17"/>
              </w:rPr>
              <w:t>11</w:t>
            </w:r>
          </w:p>
        </w:tc>
        <w:tc>
          <w:tcPr>
            <w:tcW w:type="dxa" w:w="3021"/>
          </w:tcPr>
          <w:p>
            <w:pPr>
              <w:spacing w:after="20"/>
            </w:pPr>
            <w:r>
              <w:rPr>
                <w:b/>
                <w:sz w:val="17"/>
              </w:rPr>
              <w:t>Job store</w:t>
            </w:r>
          </w:p>
        </w:tc>
        <w:tc>
          <w:tcPr>
            <w:tcW w:type="dxa" w:w="3021"/>
          </w:tcPr>
          <w:p>
            <w:pPr>
              <w:spacing w:after="20"/>
            </w:pPr>
            <w:r>
              <w:rPr>
                <w:sz w:val="17"/>
              </w:rPr>
              <w:t>The system of record for a run: status, validation results, matches, decisions, push/ingestion/reconciliation outcomes</w:t>
            </w:r>
          </w:p>
        </w:tc>
        <w:tc>
          <w:tcPr>
            <w:tcW w:type="dxa" w:w="3021"/>
          </w:tcPr>
          <w:p>
            <w:pPr>
              <w:spacing w:after="20"/>
            </w:pPr>
            <w:r>
              <w:rPr>
                <w:sz w:val="17"/>
              </w:rPr>
              <w:t>✅ Fully</w:t>
            </w:r>
          </w:p>
        </w:tc>
        <w:tc>
          <w:tcPr>
            <w:tcW w:type="dxa" w:w="3021"/>
          </w:tcPr>
          <w:p>
            <w:pPr>
              <w:spacing w:after="20"/>
            </w:pPr>
            <w:r>
              <w:rPr>
                <w:rFonts w:ascii="Menlo" w:hAnsi="Menlo"/>
                <w:sz w:val="17"/>
              </w:rPr>
              <w:t>data/jobStore.js</w:t>
            </w:r>
          </w:p>
        </w:tc>
      </w:tr>
      <w:tr>
        <w:tc>
          <w:tcPr>
            <w:tcW w:type="dxa" w:w="3021"/>
          </w:tcPr>
          <w:p>
            <w:pPr>
              <w:spacing w:after="20"/>
            </w:pPr>
            <w:r>
              <w:rPr>
                <w:sz w:val="17"/>
              </w:rPr>
              <w:t>12</w:t>
            </w:r>
          </w:p>
        </w:tc>
        <w:tc>
          <w:tcPr>
            <w:tcW w:type="dxa" w:w="3021"/>
          </w:tcPr>
          <w:p>
            <w:pPr>
              <w:spacing w:after="20"/>
            </w:pPr>
            <w:r>
              <w:rPr>
                <w:b/>
                <w:sz w:val="17"/>
              </w:rPr>
              <w:t>Auth &amp; RBAC</w:t>
            </w:r>
          </w:p>
        </w:tc>
        <w:tc>
          <w:tcPr>
            <w:tcW w:type="dxa" w:w="3021"/>
          </w:tcPr>
          <w:p>
            <w:pPr>
              <w:spacing w:after="20"/>
            </w:pPr>
            <w:r>
              <w:rPr>
                <w:sz w:val="17"/>
              </w:rPr>
              <w:t>Login, bcrypt verification, JWT signing, session verification, three-role enforcement</w:t>
            </w:r>
          </w:p>
        </w:tc>
        <w:tc>
          <w:tcPr>
            <w:tcW w:type="dxa" w:w="3021"/>
          </w:tcPr>
          <w:p>
            <w:pPr>
              <w:spacing w:after="20"/>
            </w:pPr>
            <w:r>
              <w:rPr>
                <w:sz w:val="17"/>
              </w:rPr>
              <w:t>✅ Fully</w:t>
            </w:r>
          </w:p>
        </w:tc>
        <w:tc>
          <w:tcPr>
            <w:tcW w:type="dxa" w:w="3021"/>
          </w:tcPr>
          <w:p>
            <w:pPr>
              <w:spacing w:after="20"/>
            </w:pPr>
            <w:r>
              <w:rPr>
                <w:rFonts w:ascii="Menlo" w:hAnsi="Menlo"/>
                <w:sz w:val="17"/>
              </w:rPr>
              <w:t>routes/auth.js</w:t>
            </w:r>
            <w:r>
              <w:rPr>
                <w:sz w:val="17"/>
              </w:rPr>
              <w:t xml:space="preserve">, </w:t>
            </w:r>
            <w:r>
              <w:rPr>
                <w:rFonts w:ascii="Menlo" w:hAnsi="Menlo"/>
                <w:sz w:val="17"/>
              </w:rPr>
              <w:t>middleware/auth.js</w:t>
            </w:r>
            <w:r>
              <w:rPr>
                <w:sz w:val="17"/>
              </w:rPr>
              <w:t xml:space="preserve">, </w:t>
            </w:r>
            <w:r>
              <w:rPr>
                <w:rFonts w:ascii="Menlo" w:hAnsi="Menlo"/>
                <w:sz w:val="17"/>
              </w:rPr>
              <w:t>services/auth/jwt.js</w:t>
            </w:r>
          </w:p>
        </w:tc>
      </w:tr>
      <w:tr>
        <w:tc>
          <w:tcPr>
            <w:tcW w:type="dxa" w:w="3021"/>
          </w:tcPr>
          <w:p>
            <w:pPr>
              <w:spacing w:after="20"/>
            </w:pPr>
            <w:r>
              <w:rPr>
                <w:sz w:val="17"/>
              </w:rPr>
              <w:t>13</w:t>
            </w:r>
          </w:p>
        </w:tc>
        <w:tc>
          <w:tcPr>
            <w:tcW w:type="dxa" w:w="3021"/>
          </w:tcPr>
          <w:p>
            <w:pPr>
              <w:spacing w:after="20"/>
            </w:pPr>
            <w:r>
              <w:rPr>
                <w:b/>
                <w:sz w:val="17"/>
              </w:rPr>
              <w:t>Audit log</w:t>
            </w:r>
          </w:p>
        </w:tc>
        <w:tc>
          <w:tcPr>
            <w:tcW w:type="dxa" w:w="3021"/>
          </w:tcPr>
          <w:p>
            <w:pPr>
              <w:spacing w:after="20"/>
            </w:pPr>
            <w:r>
              <w:rPr>
                <w:sz w:val="17"/>
              </w:rPr>
              <w:t>Append-only record of every mutation, actor always derived from the verified session</w:t>
            </w:r>
          </w:p>
        </w:tc>
        <w:tc>
          <w:tcPr>
            <w:tcW w:type="dxa" w:w="3021"/>
          </w:tcPr>
          <w:p>
            <w:pPr>
              <w:spacing w:after="20"/>
            </w:pPr>
            <w:r>
              <w:rPr>
                <w:sz w:val="17"/>
              </w:rPr>
              <w:t>✅ Fully</w:t>
            </w:r>
          </w:p>
        </w:tc>
        <w:tc>
          <w:tcPr>
            <w:tcW w:type="dxa" w:w="3021"/>
          </w:tcPr>
          <w:p>
            <w:pPr>
              <w:spacing w:after="20"/>
            </w:pPr>
            <w:r>
              <w:rPr>
                <w:rFonts w:ascii="Menlo" w:hAnsi="Menlo"/>
                <w:sz w:val="17"/>
              </w:rPr>
              <w:t>data/auditStore.js</w:t>
            </w:r>
            <w:r>
              <w:rPr>
                <w:sz w:val="17"/>
              </w:rPr>
              <w:t xml:space="preserve">, </w:t>
            </w:r>
            <w:r>
              <w:rPr>
                <w:rFonts w:ascii="Menlo" w:hAnsi="Menlo"/>
                <w:sz w:val="17"/>
              </w:rPr>
              <w:t>routes/audit.js</w:t>
            </w:r>
          </w:p>
        </w:tc>
      </w:tr>
    </w:tbl>
    <w:p>
      <w:pPr>
        <w:spacing w:after="40"/>
      </w:pPr>
    </w:p>
    <w:p>
      <w:r>
        <w:rPr>
          <w:b/>
          <w:sz w:val="19"/>
        </w:rPr>
        <w:t>Two structural notes worth stating explicitly:</w:t>
      </w:r>
    </w:p>
    <w:p>
      <w:pPr>
        <w:pStyle w:val="ListNumber"/>
        <w:spacing w:after="60"/>
      </w:pPr>
      <w:r>
        <w:rPr>
          <w:b/>
          <w:sz w:val="19"/>
        </w:rPr>
        <w:t>`jobStore` is the integration hub, and that is intentional.</w:t>
      </w:r>
      <w:r>
        <w:rPr>
          <w:sz w:val="19"/>
        </w:rPr>
        <w:t xml:space="preserve"> Validation, matching, approval, push, ingestion, reconciliation, RAG indexing, and the dashboard all converge on one record rather than passing payloads between each other. This is why independently-timed processes can write to the same run without coordinating: they occupy different </w:t>
      </w:r>
      <w:r>
        <w:rPr>
          <w:i/>
          <w:sz w:val="19"/>
        </w:rPr>
        <w:t>fields</w:t>
      </w:r>
      <w:r>
        <w:rPr>
          <w:sz w:val="19"/>
        </w:rPr>
        <w:t xml:space="preserve"> (</w:t>
      </w:r>
      <w:r>
        <w:rPr>
          <w:rFonts w:ascii="Menlo" w:hAnsi="Menlo"/>
          <w:sz w:val="19"/>
        </w:rPr>
        <w:t>status</w:t>
      </w:r>
      <w:r>
        <w:rPr>
          <w:sz w:val="19"/>
        </w:rPr>
        <w:t xml:space="preserve">, </w:t>
      </w:r>
      <w:r>
        <w:rPr>
          <w:rFonts w:ascii="Menlo" w:hAnsi="Menlo"/>
          <w:sz w:val="19"/>
        </w:rPr>
        <w:t>pushStatus</w:t>
      </w:r>
      <w:r>
        <w:rPr>
          <w:sz w:val="19"/>
        </w:rPr>
        <w:t xml:space="preserve">, </w:t>
      </w:r>
      <w:r>
        <w:rPr>
          <w:rFonts w:ascii="Menlo" w:hAnsi="Menlo"/>
          <w:sz w:val="19"/>
        </w:rPr>
        <w:t>ingestionStatus</w:t>
      </w:r>
      <w:r>
        <w:rPr>
          <w:sz w:val="19"/>
        </w:rPr>
        <w:t xml:space="preserve">, </w:t>
      </w:r>
      <w:r>
        <w:rPr>
          <w:rFonts w:ascii="Menlo" w:hAnsi="Menlo"/>
          <w:sz w:val="19"/>
        </w:rPr>
        <w:t>reconciliation</w:t>
      </w:r>
      <w:r>
        <w:rPr>
          <w:sz w:val="19"/>
        </w:rPr>
        <w:t xml:space="preserve">) of the same object. A job </w:t>
      </w:r>
      <w:r>
        <w:rPr>
          <w:b/>
          <w:sz w:val="19"/>
        </w:rPr>
        <w:t>accumulates</w:t>
      </w:r>
      <w:r>
        <w:rPr>
          <w:sz w:val="19"/>
        </w:rPr>
        <w:t xml:space="preserve"> state; it never replaces it.</w:t>
      </w:r>
    </w:p>
    <w:p>
      <w:pPr>
        <w:pStyle w:val="ListNumber"/>
        <w:spacing w:after="60"/>
      </w:pPr>
      <w:r>
        <w:rPr>
          <w:b/>
          <w:sz w:val="19"/>
        </w:rPr>
        <w:t>RBAC is applied inside each router, not at the mount call.</w:t>
      </w:r>
      <w:r>
        <w:rPr>
          <w:sz w:val="19"/>
        </w:rPr>
        <w:t xml:space="preserve"> </w:t>
      </w:r>
      <w:r>
        <w:rPr>
          <w:rFonts w:ascii="Menlo" w:hAnsi="Menlo"/>
          <w:sz w:val="19"/>
        </w:rPr>
        <w:t>app.use('/', middleware, router)</w:t>
      </w:r>
      <w:r>
        <w:rPr>
          <w:sz w:val="19"/>
        </w:rPr>
        <w:t xml:space="preserve"> would run </w:t>
      </w:r>
      <w:r>
        <w:rPr>
          <w:rFonts w:ascii="Menlo" w:hAnsi="Menlo"/>
          <w:sz w:val="19"/>
        </w:rPr>
        <w:t>middleware</w:t>
      </w:r>
      <w:r>
        <w:rPr>
          <w:sz w:val="19"/>
        </w:rPr>
        <w:t xml:space="preserve"> for every request reaching that line — the mount path </w:t>
      </w:r>
      <w:r>
        <w:rPr>
          <w:rFonts w:ascii="Menlo" w:hAnsi="Menlo"/>
          <w:sz w:val="19"/>
        </w:rPr>
        <w:t>'/'</w:t>
      </w:r>
      <w:r>
        <w:rPr>
          <w:sz w:val="19"/>
        </w:rPr>
        <w:t xml:space="preserve"> matches everything as a prefix, not just routes that exist inside the router. Gating with </w:t>
      </w:r>
      <w:r>
        <w:rPr>
          <w:rFonts w:ascii="Menlo" w:hAnsi="Menlo"/>
          <w:sz w:val="19"/>
        </w:rPr>
        <w:t>router.use(requireRole(...))</w:t>
      </w:r>
      <w:r>
        <w:rPr>
          <w:sz w:val="19"/>
        </w:rPr>
        <w:t xml:space="preserve"> avoids accidentally 403-ing unrelated routes.</w:t>
      </w:r>
    </w:p>
    <w:p>
      <w:pPr>
        <w:spacing w:before="40" w:after="40"/>
        <w:pBdr>
          <w:bottom w:val="single" w:sz="6" w:space="1" w:color="CCCCCC"/>
        </w:pBdr>
      </w:pPr>
    </w:p>
    <w:p>
      <w:pPr>
        <w:keepNext/>
        <w:spacing w:before="280" w:after="100"/>
      </w:pPr>
      <w:r>
        <w:rPr>
          <w:b/>
          <w:color w:val="C11B17"/>
          <w:sz w:val="28"/>
        </w:rPr>
        <w:t>4. Data flow — the ingestion path (primary flow)</w:t>
      </w:r>
    </w:p>
    <w:p>
      <w:pPr>
        <w:keepNext/>
        <w:spacing w:before="160" w:after="100"/>
      </w:pPr>
      <w:r>
        <w:rPr>
          <w:b/>
          <w:color w:val="222222"/>
          <w:sz w:val="23"/>
        </w:rPr>
        <w:t>4.1 Control flow</w:t>
      </w:r>
    </w:p>
    <w:p>
      <w:pPr>
        <w:jc w:val="center"/>
      </w:pPr>
      <w:r>
        <w:drawing>
          <wp:inline xmlns:a="http://schemas.openxmlformats.org/drawingml/2006/main" xmlns:pic="http://schemas.openxmlformats.org/drawingml/2006/picture">
            <wp:extent cx="6901313" cy="6556247"/>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6901313" cy="6556247"/>
                    </a:xfrm>
                    <a:prstGeom prst="rect"/>
                  </pic:spPr>
                </pic:pic>
              </a:graphicData>
            </a:graphic>
          </wp:inline>
        </w:drawing>
      </w:r>
    </w:p>
    <w:p>
      <w:pPr>
        <w:spacing w:after="240"/>
        <w:jc w:val="center"/>
      </w:pPr>
      <w:r>
        <w:rPr>
          <w:i/>
          <w:color w:val="5A5A5A"/>
          <w:sz w:val="17"/>
        </w:rPr>
        <w:t>Figure 3 — Ingestion control flow: one run from upload to warehouse write</w:t>
      </w:r>
    </w:p>
    <w:p>
      <w:pPr>
        <w:keepNext/>
        <w:spacing w:before="160" w:after="100"/>
      </w:pPr>
      <w:r>
        <w:rPr>
          <w:b/>
          <w:color w:val="222222"/>
          <w:sz w:val="23"/>
        </w:rPr>
        <w:t xml:space="preserve">4.2 Data transformation flow — what the payload </w:t>
      </w:r>
      <w:r>
        <w:rPr>
          <w:b/>
          <w:i/>
          <w:color w:val="222222"/>
          <w:sz w:val="23"/>
        </w:rPr>
        <w:t>is</w:t>
      </w:r>
      <w:r>
        <w:rPr>
          <w:b/>
          <w:color w:val="222222"/>
          <w:sz w:val="23"/>
        </w:rPr>
        <w:t xml:space="preserve"> at each hop</w:t>
      </w:r>
    </w:p>
    <w:p>
      <w:pPr>
        <w:jc w:val="center"/>
      </w:pPr>
      <w:r>
        <w:drawing>
          <wp:inline xmlns:a="http://schemas.openxmlformats.org/drawingml/2006/main" xmlns:pic="http://schemas.openxmlformats.org/drawingml/2006/picture">
            <wp:extent cx="3545647" cy="6556247"/>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3545647" cy="6556247"/>
                    </a:xfrm>
                    <a:prstGeom prst="rect"/>
                  </pic:spPr>
                </pic:pic>
              </a:graphicData>
            </a:graphic>
          </wp:inline>
        </w:drawing>
      </w:r>
    </w:p>
    <w:p>
      <w:pPr>
        <w:spacing w:after="240"/>
        <w:jc w:val="center"/>
      </w:pPr>
      <w:r>
        <w:rPr>
          <w:i/>
          <w:color w:val="5A5A5A"/>
          <w:sz w:val="17"/>
        </w:rPr>
        <w:t>Figure 4 — Data transformation flow: what the payload is at each hop</w:t>
      </w:r>
    </w:p>
    <w:p>
      <w:pPr>
        <w:keepNext/>
        <w:spacing w:before="160" w:after="100"/>
      </w:pPr>
      <w:r>
        <w:rPr>
          <w:b/>
          <w:color w:val="222222"/>
          <w:sz w:val="23"/>
        </w:rPr>
        <w:t>4.3 Flow inventory</w:t>
      </w:r>
    </w:p>
    <w:p>
      <w:r>
        <w:rPr>
          <w:sz w:val="19"/>
        </w:rPr>
        <w:t>Every data flow in the system, with its transport, timing, and failure behaviour.</w:t>
      </w:r>
    </w:p>
    <w:tbl>
      <w:tblPr>
        <w:tblStyle w:val="TableGrid"/>
        <w:tblW w:type="auto" w:w="0"/>
        <w:jc w:val="center"/>
        <w:tblLook w:firstColumn="1" w:firstRow="1" w:lastColumn="0" w:lastRow="0" w:noHBand="0" w:noVBand="1" w:val="04A0"/>
      </w:tblPr>
      <w:tblGrid>
        <w:gridCol w:w="3021"/>
        <w:gridCol w:w="3021"/>
        <w:gridCol w:w="3021"/>
        <w:gridCol w:w="3021"/>
        <w:gridCol w:w="3021"/>
      </w:tblGrid>
      <w:tr>
        <w:tc>
          <w:tcPr>
            <w:tcW w:type="dxa" w:w="3021"/>
            <w:shd w:val="clear" w:fill="F2F2F2"/>
          </w:tcPr>
          <w:p>
            <w:pPr>
              <w:spacing w:after="20"/>
            </w:pPr>
            <w:r>
              <w:rPr>
                <w:b/>
              </w:rPr>
            </w:r>
            <w:r>
              <w:rPr>
                <w:b/>
                <w:sz w:val="18"/>
              </w:rPr>
              <w:t>Flow</w:t>
            </w:r>
          </w:p>
        </w:tc>
        <w:tc>
          <w:tcPr>
            <w:tcW w:type="dxa" w:w="3021"/>
            <w:shd w:val="clear" w:fill="F2F2F2"/>
          </w:tcPr>
          <w:p>
            <w:pPr>
              <w:spacing w:after="20"/>
            </w:pPr>
            <w:r>
              <w:rPr>
                <w:b/>
              </w:rPr>
            </w:r>
            <w:r>
              <w:rPr>
                <w:b/>
                <w:sz w:val="18"/>
              </w:rPr>
              <w:t>Trigger</w:t>
            </w:r>
          </w:p>
        </w:tc>
        <w:tc>
          <w:tcPr>
            <w:tcW w:type="dxa" w:w="3021"/>
            <w:shd w:val="clear" w:fill="F2F2F2"/>
          </w:tcPr>
          <w:p>
            <w:pPr>
              <w:spacing w:after="20"/>
            </w:pPr>
            <w:r>
              <w:rPr>
                <w:b/>
              </w:rPr>
            </w:r>
            <w:r>
              <w:rPr>
                <w:b/>
                <w:sz w:val="18"/>
              </w:rPr>
              <w:t>Payload</w:t>
            </w:r>
          </w:p>
        </w:tc>
        <w:tc>
          <w:tcPr>
            <w:tcW w:type="dxa" w:w="3021"/>
            <w:shd w:val="clear" w:fill="F2F2F2"/>
          </w:tcPr>
          <w:p>
            <w:pPr>
              <w:spacing w:after="20"/>
            </w:pPr>
            <w:r>
              <w:rPr>
                <w:b/>
              </w:rPr>
            </w:r>
            <w:r>
              <w:rPr>
                <w:b/>
                <w:sz w:val="18"/>
              </w:rPr>
              <w:t>Sync?</w:t>
            </w:r>
          </w:p>
        </w:tc>
        <w:tc>
          <w:tcPr>
            <w:tcW w:type="dxa" w:w="3021"/>
            <w:shd w:val="clear" w:fill="F2F2F2"/>
          </w:tcPr>
          <w:p>
            <w:pPr>
              <w:spacing w:after="20"/>
            </w:pPr>
            <w:r>
              <w:rPr>
                <w:b/>
              </w:rPr>
            </w:r>
            <w:r>
              <w:rPr>
                <w:b/>
                <w:sz w:val="18"/>
              </w:rPr>
              <w:t>On failure</w:t>
            </w:r>
          </w:p>
        </w:tc>
      </w:tr>
      <w:tr>
        <w:tc>
          <w:tcPr>
            <w:tcW w:type="dxa" w:w="3021"/>
          </w:tcPr>
          <w:p>
            <w:pPr>
              <w:spacing w:after="20"/>
            </w:pPr>
            <w:r>
              <w:rPr>
                <w:sz w:val="17"/>
              </w:rPr>
              <w:t>Upload → job created</w:t>
            </w:r>
          </w:p>
        </w:tc>
        <w:tc>
          <w:tcPr>
            <w:tcW w:type="dxa" w:w="3021"/>
          </w:tcPr>
          <w:p>
            <w:pPr>
              <w:spacing w:after="20"/>
            </w:pPr>
            <w:r>
              <w:rPr>
                <w:rFonts w:ascii="Menlo" w:hAnsi="Menlo"/>
                <w:sz w:val="17"/>
              </w:rPr>
              <w:t>POST /upload</w:t>
            </w:r>
          </w:p>
        </w:tc>
        <w:tc>
          <w:tcPr>
            <w:tcW w:type="dxa" w:w="3021"/>
          </w:tcPr>
          <w:p>
            <w:pPr>
              <w:spacing w:after="20"/>
            </w:pPr>
            <w:r>
              <w:rPr>
                <w:sz w:val="17"/>
              </w:rPr>
              <w:t xml:space="preserve">multipart CSV → </w:t>
            </w:r>
            <w:r>
              <w:rPr>
                <w:rFonts w:ascii="Menlo" w:hAnsi="Menlo"/>
                <w:sz w:val="17"/>
              </w:rPr>
              <w:t>{jobId}</w:t>
            </w:r>
          </w:p>
        </w:tc>
        <w:tc>
          <w:tcPr>
            <w:tcW w:type="dxa" w:w="3021"/>
          </w:tcPr>
          <w:p>
            <w:pPr>
              <w:spacing w:after="20"/>
            </w:pPr>
            <w:r>
              <w:rPr>
                <w:sz w:val="17"/>
              </w:rPr>
              <w:t>Sync (</w:t>
            </w:r>
            <w:r>
              <w:rPr>
                <w:rFonts w:ascii="Menlo" w:hAnsi="Menlo"/>
                <w:sz w:val="17"/>
              </w:rPr>
              <w:t>202</w:t>
            </w:r>
            <w:r>
              <w:rPr>
                <w:sz w:val="17"/>
              </w:rPr>
              <w:t xml:space="preserve"> in ms)</w:t>
            </w:r>
          </w:p>
        </w:tc>
        <w:tc>
          <w:tcPr>
            <w:tcW w:type="dxa" w:w="3021"/>
          </w:tcPr>
          <w:p>
            <w:pPr>
              <w:spacing w:after="20"/>
            </w:pPr>
            <w:r>
              <w:rPr>
                <w:sz w:val="17"/>
              </w:rPr>
              <w:t>400 on missing file; duplicate returns the existing job</w:t>
            </w:r>
          </w:p>
        </w:tc>
      </w:tr>
      <w:tr>
        <w:tc>
          <w:tcPr>
            <w:tcW w:type="dxa" w:w="3021"/>
          </w:tcPr>
          <w:p>
            <w:pPr>
              <w:spacing w:after="20"/>
            </w:pPr>
            <w:r>
              <w:rPr>
                <w:sz w:val="17"/>
              </w:rPr>
              <w:t>Validation</w:t>
            </w:r>
          </w:p>
        </w:tc>
        <w:tc>
          <w:tcPr>
            <w:tcW w:type="dxa" w:w="3021"/>
          </w:tcPr>
          <w:p>
            <w:pPr>
              <w:spacing w:after="20"/>
            </w:pPr>
            <w:r>
              <w:rPr>
                <w:sz w:val="17"/>
              </w:rPr>
              <w:t>Job kickoff</w:t>
            </w:r>
          </w:p>
        </w:tc>
        <w:tc>
          <w:tcPr>
            <w:tcW w:type="dxa" w:w="3021"/>
          </w:tcPr>
          <w:p>
            <w:pPr>
              <w:spacing w:after="20"/>
            </w:pPr>
            <w:r>
              <w:rPr>
                <w:sz w:val="17"/>
              </w:rPr>
              <w:t xml:space="preserve">file stream → </w:t>
            </w:r>
            <w:r>
              <w:rPr>
                <w:rFonts w:ascii="Menlo" w:hAnsi="Menlo"/>
                <w:sz w:val="17"/>
              </w:rPr>
              <w:t>validationSummary</w:t>
            </w:r>
          </w:p>
        </w:tc>
        <w:tc>
          <w:tcPr>
            <w:tcW w:type="dxa" w:w="3021"/>
          </w:tcPr>
          <w:p>
            <w:pPr>
              <w:spacing w:after="20"/>
            </w:pPr>
            <w:r>
              <w:rPr>
                <w:sz w:val="17"/>
              </w:rPr>
              <w:t xml:space="preserve">Async, awaited in </w:t>
            </w:r>
            <w:r>
              <w:rPr>
                <w:rFonts w:ascii="Menlo" w:hAnsi="Menlo"/>
                <w:sz w:val="17"/>
              </w:rPr>
              <w:t>runJob</w:t>
            </w:r>
          </w:p>
        </w:tc>
        <w:tc>
          <w:tcPr>
            <w:tcW w:type="dxa" w:w="3021"/>
          </w:tcPr>
          <w:p>
            <w:pPr>
              <w:spacing w:after="20"/>
            </w:pPr>
            <w:r>
              <w:rPr>
                <w:rFonts w:ascii="Menlo" w:hAnsi="Menlo"/>
                <w:sz w:val="17"/>
              </w:rPr>
              <w:t>status=failed</w:t>
            </w:r>
            <w:r>
              <w:rPr>
                <w:sz w:val="17"/>
              </w:rPr>
              <w:t xml:space="preserve">, error stored on the job — </w:t>
            </w:r>
            <w:r>
              <w:rPr>
                <w:b/>
                <w:sz w:val="17"/>
              </w:rPr>
              <w:t>critical path</w:t>
            </w:r>
          </w:p>
        </w:tc>
      </w:tr>
      <w:tr>
        <w:tc>
          <w:tcPr>
            <w:tcW w:type="dxa" w:w="3021"/>
          </w:tcPr>
          <w:p>
            <w:pPr>
              <w:spacing w:after="20"/>
            </w:pPr>
            <w:r>
              <w:rPr>
                <w:sz w:val="17"/>
              </w:rPr>
              <w:t>Campaign matching</w:t>
            </w:r>
          </w:p>
        </w:tc>
        <w:tc>
          <w:tcPr>
            <w:tcW w:type="dxa" w:w="3021"/>
          </w:tcPr>
          <w:p>
            <w:pPr>
              <w:spacing w:after="20"/>
            </w:pPr>
            <w:r>
              <w:rPr>
                <w:sz w:val="17"/>
              </w:rPr>
              <w:t>After validation</w:t>
            </w:r>
          </w:p>
        </w:tc>
        <w:tc>
          <w:tcPr>
            <w:tcW w:type="dxa" w:w="3021"/>
          </w:tcPr>
          <w:p>
            <w:pPr>
              <w:spacing w:after="20"/>
            </w:pPr>
            <w:r>
              <w:rPr>
                <w:sz w:val="17"/>
              </w:rPr>
              <w:t xml:space="preserve">campaign names → </w:t>
            </w:r>
            <w:r>
              <w:rPr>
                <w:rFonts w:ascii="Menlo" w:hAnsi="Menlo"/>
                <w:sz w:val="17"/>
              </w:rPr>
              <w:t>matches[]</w:t>
            </w:r>
          </w:p>
        </w:tc>
        <w:tc>
          <w:tcPr>
            <w:tcW w:type="dxa" w:w="3021"/>
          </w:tcPr>
          <w:p>
            <w:pPr>
              <w:spacing w:after="20"/>
            </w:pPr>
            <w:r>
              <w:rPr>
                <w:sz w:val="17"/>
              </w:rPr>
              <w:t>Async, awaited, sequential per name</w:t>
            </w:r>
          </w:p>
        </w:tc>
        <w:tc>
          <w:tcPr>
            <w:tcW w:type="dxa" w:w="3021"/>
          </w:tcPr>
          <w:p>
            <w:pPr>
              <w:spacing w:after="20"/>
            </w:pPr>
            <w:r>
              <w:rPr>
                <w:rFonts w:ascii="Menlo" w:hAnsi="Menlo"/>
                <w:sz w:val="17"/>
              </w:rPr>
              <w:t>status=failed</w:t>
            </w:r>
            <w:r>
              <w:rPr>
                <w:sz w:val="17"/>
              </w:rPr>
              <w:t xml:space="preserve"> — </w:t>
            </w:r>
            <w:r>
              <w:rPr>
                <w:b/>
                <w:sz w:val="17"/>
              </w:rPr>
              <w:t>critical path</w:t>
            </w:r>
          </w:p>
        </w:tc>
      </w:tr>
      <w:tr>
        <w:tc>
          <w:tcPr>
            <w:tcW w:type="dxa" w:w="3021"/>
          </w:tcPr>
          <w:p>
            <w:pPr>
              <w:spacing w:after="20"/>
            </w:pPr>
            <w:r>
              <w:rPr>
                <w:sz w:val="17"/>
              </w:rPr>
              <w:t>Quality summary</w:t>
            </w:r>
          </w:p>
        </w:tc>
        <w:tc>
          <w:tcPr>
            <w:tcW w:type="dxa" w:w="3021"/>
          </w:tcPr>
          <w:p>
            <w:pPr>
              <w:spacing w:after="20"/>
            </w:pPr>
            <w:r>
              <w:rPr>
                <w:sz w:val="17"/>
              </w:rPr>
              <w:t>After matching</w:t>
            </w:r>
          </w:p>
        </w:tc>
        <w:tc>
          <w:tcPr>
            <w:tcW w:type="dxa" w:w="3021"/>
          </w:tcPr>
          <w:p>
            <w:pPr>
              <w:spacing w:after="20"/>
            </w:pPr>
            <w:r>
              <w:rPr>
                <w:sz w:val="17"/>
              </w:rPr>
              <w:t>fact JSON → one sentence</w:t>
            </w:r>
          </w:p>
        </w:tc>
        <w:tc>
          <w:tcPr>
            <w:tcW w:type="dxa" w:w="3021"/>
          </w:tcPr>
          <w:p>
            <w:pPr>
              <w:spacing w:after="20"/>
            </w:pPr>
            <w:r>
              <w:rPr>
                <w:sz w:val="17"/>
              </w:rPr>
              <w:t xml:space="preserve">Async, awaited, </w:t>
            </w:r>
            <w:r>
              <w:rPr>
                <w:b/>
                <w:sz w:val="17"/>
              </w:rPr>
              <w:t>try/catch'd</w:t>
            </w:r>
          </w:p>
        </w:tc>
        <w:tc>
          <w:tcPr>
            <w:tcW w:type="dxa" w:w="3021"/>
          </w:tcPr>
          <w:p>
            <w:pPr>
              <w:spacing w:after="20"/>
            </w:pPr>
            <w:r>
              <w:rPr>
                <w:sz w:val="17"/>
              </w:rPr>
              <w:t xml:space="preserve">Job still reaches </w:t>
            </w:r>
            <w:r>
              <w:rPr>
                <w:rFonts w:ascii="Menlo" w:hAnsi="Menlo"/>
                <w:sz w:val="17"/>
              </w:rPr>
              <w:t>complete</w:t>
            </w:r>
            <w:r>
              <w:rPr>
                <w:sz w:val="17"/>
              </w:rPr>
              <w:t xml:space="preserve"> without the sentence — </w:t>
            </w:r>
            <w:r>
              <w:rPr>
                <w:i/>
                <w:sz w:val="17"/>
              </w:rPr>
              <w:t>not</w:t>
            </w:r>
            <w:r>
              <w:rPr>
                <w:sz w:val="17"/>
              </w:rPr>
              <w:t xml:space="preserve"> critical path</w:t>
            </w:r>
          </w:p>
        </w:tc>
      </w:tr>
      <w:tr>
        <w:tc>
          <w:tcPr>
            <w:tcW w:type="dxa" w:w="3021"/>
          </w:tcPr>
          <w:p>
            <w:pPr>
              <w:spacing w:after="20"/>
            </w:pPr>
            <w:r>
              <w:rPr>
                <w:sz w:val="17"/>
              </w:rPr>
              <w:t>Status polling</w:t>
            </w:r>
          </w:p>
        </w:tc>
        <w:tc>
          <w:tcPr>
            <w:tcW w:type="dxa" w:w="3021"/>
          </w:tcPr>
          <w:p>
            <w:pPr>
              <w:spacing w:after="20"/>
            </w:pPr>
            <w:r>
              <w:rPr>
                <w:sz w:val="17"/>
              </w:rPr>
              <w:t>Client, ~1s</w:t>
            </w:r>
          </w:p>
        </w:tc>
        <w:tc>
          <w:tcPr>
            <w:tcW w:type="dxa" w:w="3021"/>
          </w:tcPr>
          <w:p>
            <w:pPr>
              <w:spacing w:after="20"/>
            </w:pPr>
            <w:r>
              <w:rPr>
                <w:sz w:val="17"/>
              </w:rPr>
              <w:t>— → job snapshot</w:t>
            </w:r>
          </w:p>
        </w:tc>
        <w:tc>
          <w:tcPr>
            <w:tcW w:type="dxa" w:w="3021"/>
          </w:tcPr>
          <w:p>
            <w:pPr>
              <w:spacing w:after="20"/>
            </w:pPr>
            <w:r>
              <w:rPr>
                <w:sz w:val="17"/>
              </w:rPr>
              <w:t>Sync read</w:t>
            </w:r>
          </w:p>
        </w:tc>
        <w:tc>
          <w:tcPr>
            <w:tcW w:type="dxa" w:w="3021"/>
          </w:tcPr>
          <w:p>
            <w:pPr>
              <w:spacing w:after="20"/>
            </w:pPr>
            <w:r>
              <w:rPr>
                <w:sz w:val="17"/>
              </w:rPr>
              <w:t>Client retries on next tick</w:t>
            </w:r>
          </w:p>
        </w:tc>
      </w:tr>
      <w:tr>
        <w:tc>
          <w:tcPr>
            <w:tcW w:type="dxa" w:w="3021"/>
          </w:tcPr>
          <w:p>
            <w:pPr>
              <w:spacing w:after="20"/>
            </w:pPr>
            <w:r>
              <w:rPr>
                <w:sz w:val="17"/>
              </w:rPr>
              <w:t>RAG indexing</w:t>
            </w:r>
          </w:p>
        </w:tc>
        <w:tc>
          <w:tcPr>
            <w:tcW w:type="dxa" w:w="3021"/>
          </w:tcPr>
          <w:p>
            <w:pPr>
              <w:spacing w:after="20"/>
            </w:pPr>
            <w:r>
              <w:rPr>
                <w:sz w:val="17"/>
              </w:rPr>
              <w:t xml:space="preserve">Job </w:t>
            </w:r>
            <w:r>
              <w:rPr>
                <w:rFonts w:ascii="Menlo" w:hAnsi="Menlo"/>
                <w:sz w:val="17"/>
              </w:rPr>
              <w:t>complete</w:t>
            </w:r>
          </w:p>
        </w:tc>
        <w:tc>
          <w:tcPr>
            <w:tcW w:type="dxa" w:w="3021"/>
          </w:tcPr>
          <w:p>
            <w:pPr>
              <w:spacing w:after="20"/>
            </w:pPr>
            <w:r>
              <w:rPr>
                <w:sz w:val="17"/>
              </w:rPr>
              <w:t>run summary → vector upsert</w:t>
            </w:r>
          </w:p>
        </w:tc>
        <w:tc>
          <w:tcPr>
            <w:tcW w:type="dxa" w:w="3021"/>
          </w:tcPr>
          <w:p>
            <w:pPr>
              <w:spacing w:after="20"/>
            </w:pPr>
            <w:r>
              <w:rPr>
                <w:b/>
                <w:sz w:val="17"/>
              </w:rPr>
              <w:t>Fire-and-forget</w:t>
            </w:r>
          </w:p>
        </w:tc>
        <w:tc>
          <w:tcPr>
            <w:tcW w:type="dxa" w:w="3021"/>
          </w:tcPr>
          <w:p>
            <w:pPr>
              <w:spacing w:after="20"/>
            </w:pPr>
            <w:r>
              <w:rPr>
                <w:sz w:val="17"/>
              </w:rPr>
              <w:t>Logged; run is un-searchable but intact</w:t>
            </w:r>
          </w:p>
        </w:tc>
      </w:tr>
      <w:tr>
        <w:tc>
          <w:tcPr>
            <w:tcW w:type="dxa" w:w="3021"/>
          </w:tcPr>
          <w:p>
            <w:pPr>
              <w:spacing w:after="20"/>
            </w:pPr>
            <w:r>
              <w:rPr>
                <w:sz w:val="17"/>
              </w:rPr>
              <w:t>Auto-reconciliation</w:t>
            </w:r>
          </w:p>
        </w:tc>
        <w:tc>
          <w:tcPr>
            <w:tcW w:type="dxa" w:w="3021"/>
          </w:tcPr>
          <w:p>
            <w:pPr>
              <w:spacing w:after="20"/>
            </w:pPr>
            <w:r>
              <w:rPr>
                <w:sz w:val="17"/>
              </w:rPr>
              <w:t xml:space="preserve">Job </w:t>
            </w:r>
            <w:r>
              <w:rPr>
                <w:rFonts w:ascii="Menlo" w:hAnsi="Menlo"/>
                <w:sz w:val="17"/>
              </w:rPr>
              <w:t>complete</w:t>
            </w:r>
          </w:p>
        </w:tc>
        <w:tc>
          <w:tcPr>
            <w:tcW w:type="dxa" w:w="3021"/>
          </w:tcPr>
          <w:p>
            <w:pPr>
              <w:spacing w:after="20"/>
            </w:pPr>
            <w:r>
              <w:rPr>
                <w:sz w:val="17"/>
              </w:rPr>
              <w:t>job + platform spend → variance rows</w:t>
            </w:r>
          </w:p>
        </w:tc>
        <w:tc>
          <w:tcPr>
            <w:tcW w:type="dxa" w:w="3021"/>
          </w:tcPr>
          <w:p>
            <w:pPr>
              <w:spacing w:after="20"/>
            </w:pPr>
            <w:r>
              <w:rPr>
                <w:b/>
                <w:sz w:val="17"/>
              </w:rPr>
              <w:t>Fire-and-forget</w:t>
            </w:r>
          </w:p>
        </w:tc>
        <w:tc>
          <w:tcPr>
            <w:tcW w:type="dxa" w:w="3021"/>
          </w:tcPr>
          <w:p>
            <w:pPr>
              <w:spacing w:after="20"/>
            </w:pPr>
            <w:r>
              <w:rPr>
                <w:sz w:val="17"/>
              </w:rPr>
              <w:t>Logged; reconciliation page shows nothing for that run</w:t>
            </w:r>
          </w:p>
        </w:tc>
      </w:tr>
      <w:tr>
        <w:tc>
          <w:tcPr>
            <w:tcW w:type="dxa" w:w="3021"/>
          </w:tcPr>
          <w:p>
            <w:pPr>
              <w:spacing w:after="20"/>
            </w:pPr>
            <w:r>
              <w:rPr>
                <w:sz w:val="17"/>
              </w:rPr>
              <w:t>Approval</w:t>
            </w:r>
          </w:p>
        </w:tc>
        <w:tc>
          <w:tcPr>
            <w:tcW w:type="dxa" w:w="3021"/>
          </w:tcPr>
          <w:p>
            <w:pPr>
              <w:spacing w:after="20"/>
            </w:pPr>
            <w:r>
              <w:rPr>
                <w:rFonts w:ascii="Menlo" w:hAnsi="Menlo"/>
                <w:sz w:val="17"/>
              </w:rPr>
              <w:t>POST /approve</w:t>
            </w:r>
          </w:p>
        </w:tc>
        <w:tc>
          <w:tcPr>
            <w:tcW w:type="dxa" w:w="3021"/>
          </w:tcPr>
          <w:p>
            <w:pPr>
              <w:spacing w:after="20"/>
            </w:pPr>
            <w:r>
              <w:rPr>
                <w:rFonts w:ascii="Menlo" w:hAnsi="Menlo"/>
                <w:sz w:val="17"/>
              </w:rPr>
              <w:t>{decisions}</w:t>
            </w:r>
            <w:r>
              <w:rPr>
                <w:sz w:val="17"/>
              </w:rPr>
              <w:t xml:space="preserve"> + session cookie</w:t>
            </w:r>
          </w:p>
        </w:tc>
        <w:tc>
          <w:tcPr>
            <w:tcW w:type="dxa" w:w="3021"/>
          </w:tcPr>
          <w:p>
            <w:pPr>
              <w:spacing w:after="20"/>
            </w:pPr>
            <w:r>
              <w:rPr>
                <w:sz w:val="17"/>
              </w:rPr>
              <w:t>Sync ack</w:t>
            </w:r>
          </w:p>
        </w:tc>
        <w:tc>
          <w:tcPr>
            <w:tcW w:type="dxa" w:w="3021"/>
          </w:tcPr>
          <w:p>
            <w:pPr>
              <w:spacing w:after="20"/>
            </w:pPr>
            <w:r>
              <w:rPr>
                <w:sz w:val="17"/>
              </w:rPr>
              <w:t>403 on wrong role; audit entry written either way</w:t>
            </w:r>
          </w:p>
        </w:tc>
      </w:tr>
      <w:tr>
        <w:tc>
          <w:tcPr>
            <w:tcW w:type="dxa" w:w="3021"/>
          </w:tcPr>
          <w:p>
            <w:pPr>
              <w:spacing w:after="20"/>
            </w:pPr>
            <w:r>
              <w:rPr>
                <w:sz w:val="17"/>
              </w:rPr>
              <w:t>Ad platform push</w:t>
            </w:r>
          </w:p>
        </w:tc>
        <w:tc>
          <w:tcPr>
            <w:tcW w:type="dxa" w:w="3021"/>
          </w:tcPr>
          <w:p>
            <w:pPr>
              <w:spacing w:after="20"/>
            </w:pPr>
            <w:r>
              <w:rPr>
                <w:sz w:val="17"/>
              </w:rPr>
              <w:t>Approval</w:t>
            </w:r>
          </w:p>
        </w:tc>
        <w:tc>
          <w:tcPr>
            <w:tcW w:type="dxa" w:w="3021"/>
          </w:tcPr>
          <w:p>
            <w:pPr>
              <w:spacing w:after="20"/>
            </w:pPr>
            <w:r>
              <w:rPr>
                <w:sz w:val="17"/>
              </w:rPr>
              <w:t>accepted rows → platform</w:t>
            </w:r>
          </w:p>
        </w:tc>
        <w:tc>
          <w:tcPr>
            <w:tcW w:type="dxa" w:w="3021"/>
          </w:tcPr>
          <w:p>
            <w:pPr>
              <w:spacing w:after="20"/>
            </w:pPr>
            <w:r>
              <w:rPr>
                <w:b/>
                <w:sz w:val="17"/>
              </w:rPr>
              <w:t>Fire-and-forget</w:t>
            </w:r>
          </w:p>
        </w:tc>
        <w:tc>
          <w:tcPr>
            <w:tcW w:type="dxa" w:w="3021"/>
          </w:tcPr>
          <w:p>
            <w:pPr>
              <w:spacing w:after="20"/>
            </w:pPr>
            <w:r>
              <w:rPr>
                <w:rFonts w:ascii="Menlo" w:hAnsi="Menlo"/>
                <w:sz w:val="17"/>
              </w:rPr>
              <w:t>pushStatus=push_failed</w:t>
            </w:r>
            <w:r>
              <w:rPr>
                <w:sz w:val="17"/>
              </w:rPr>
              <w:t>; job stays approved</w:t>
            </w:r>
          </w:p>
        </w:tc>
      </w:tr>
      <w:tr>
        <w:tc>
          <w:tcPr>
            <w:tcW w:type="dxa" w:w="3021"/>
          </w:tcPr>
          <w:p>
            <w:pPr>
              <w:spacing w:after="20"/>
            </w:pPr>
            <w:r>
              <w:rPr>
                <w:sz w:val="17"/>
              </w:rPr>
              <w:t>Databricks ingestion</w:t>
            </w:r>
          </w:p>
        </w:tc>
        <w:tc>
          <w:tcPr>
            <w:tcW w:type="dxa" w:w="3021"/>
          </w:tcPr>
          <w:p>
            <w:pPr>
              <w:spacing w:after="20"/>
            </w:pPr>
            <w:r>
              <w:rPr>
                <w:sz w:val="17"/>
              </w:rPr>
              <w:t>Approval</w:t>
            </w:r>
          </w:p>
        </w:tc>
        <w:tc>
          <w:tcPr>
            <w:tcW w:type="dxa" w:w="3021"/>
          </w:tcPr>
          <w:p>
            <w:pPr>
              <w:spacing w:after="20"/>
            </w:pPr>
            <w:r>
              <w:rPr>
                <w:sz w:val="17"/>
              </w:rPr>
              <w:t>raw + cleaned rows</w:t>
            </w:r>
          </w:p>
        </w:tc>
        <w:tc>
          <w:tcPr>
            <w:tcW w:type="dxa" w:w="3021"/>
          </w:tcPr>
          <w:p>
            <w:pPr>
              <w:spacing w:after="20"/>
            </w:pPr>
            <w:r>
              <w:rPr>
                <w:b/>
                <w:sz w:val="17"/>
              </w:rPr>
              <w:t>Fire-and-forget</w:t>
            </w:r>
            <w:r>
              <w:rPr>
                <w:sz w:val="17"/>
              </w:rPr>
              <w:t>, 3 auto attempts w/ linear backoff</w:t>
            </w:r>
          </w:p>
        </w:tc>
        <w:tc>
          <w:tcPr>
            <w:tcW w:type="dxa" w:w="3021"/>
          </w:tcPr>
          <w:p>
            <w:pPr>
              <w:spacing w:after="20"/>
            </w:pPr>
            <w:r>
              <w:rPr>
                <w:rFonts w:ascii="Menlo" w:hAnsi="Menlo"/>
                <w:sz w:val="17"/>
              </w:rPr>
              <w:t>ingestion_failed</w:t>
            </w:r>
            <w:r>
              <w:rPr>
                <w:sz w:val="17"/>
              </w:rPr>
              <w:t>; one manual retry available; every attempt audited</w:t>
            </w:r>
          </w:p>
        </w:tc>
      </w:tr>
      <w:tr>
        <w:tc>
          <w:tcPr>
            <w:tcW w:type="dxa" w:w="3021"/>
          </w:tcPr>
          <w:p>
            <w:pPr>
              <w:spacing w:after="20"/>
            </w:pPr>
            <w:r>
              <w:rPr>
                <w:sz w:val="17"/>
              </w:rPr>
              <w:t>Assistant query</w:t>
            </w:r>
          </w:p>
        </w:tc>
        <w:tc>
          <w:tcPr>
            <w:tcW w:type="dxa" w:w="3021"/>
          </w:tcPr>
          <w:p>
            <w:pPr>
              <w:spacing w:after="20"/>
            </w:pPr>
            <w:r>
              <w:rPr>
                <w:rFonts w:ascii="Menlo" w:hAnsi="Menlo"/>
                <w:sz w:val="17"/>
              </w:rPr>
              <w:t>POST /assistant/query</w:t>
            </w:r>
          </w:p>
        </w:tc>
        <w:tc>
          <w:tcPr>
            <w:tcW w:type="dxa" w:w="3021"/>
          </w:tcPr>
          <w:p>
            <w:pPr>
              <w:spacing w:after="20"/>
            </w:pPr>
            <w:r>
              <w:rPr>
                <w:sz w:val="17"/>
              </w:rPr>
              <w:t>question → answer + citations</w:t>
            </w:r>
          </w:p>
        </w:tc>
        <w:tc>
          <w:tcPr>
            <w:tcW w:type="dxa" w:w="3021"/>
          </w:tcPr>
          <w:p>
            <w:pPr>
              <w:spacing w:after="20"/>
            </w:pPr>
            <w:r>
              <w:rPr>
                <w:sz w:val="17"/>
              </w:rPr>
              <w:t>Sync</w:t>
            </w:r>
          </w:p>
        </w:tc>
        <w:tc>
          <w:tcPr>
            <w:tcW w:type="dxa" w:w="3021"/>
          </w:tcPr>
          <w:p>
            <w:pPr>
              <w:spacing w:after="20"/>
            </w:pPr>
            <w:r>
              <w:rPr>
                <w:sz w:val="17"/>
              </w:rPr>
              <w:t>Error surfaced in chat; query logged</w:t>
            </w:r>
          </w:p>
        </w:tc>
      </w:tr>
      <w:tr>
        <w:tc>
          <w:tcPr>
            <w:tcW w:type="dxa" w:w="3021"/>
          </w:tcPr>
          <w:p>
            <w:pPr>
              <w:spacing w:after="20"/>
            </w:pPr>
            <w:r>
              <w:rPr>
                <w:sz w:val="17"/>
              </w:rPr>
              <w:t>Scheduled pull</w:t>
            </w:r>
          </w:p>
        </w:tc>
        <w:tc>
          <w:tcPr>
            <w:tcW w:type="dxa" w:w="3021"/>
          </w:tcPr>
          <w:p>
            <w:pPr>
              <w:spacing w:after="20"/>
            </w:pPr>
            <w:r>
              <w:rPr>
                <w:sz w:val="17"/>
              </w:rPr>
              <w:t>cron tick</w:t>
            </w:r>
          </w:p>
        </w:tc>
        <w:tc>
          <w:tcPr>
            <w:tcW w:type="dxa" w:w="3021"/>
          </w:tcPr>
          <w:p>
            <w:pPr>
              <w:spacing w:after="20"/>
            </w:pPr>
            <w:r>
              <w:rPr>
                <w:sz w:val="17"/>
              </w:rPr>
              <w:t>source fetch → same pipeline</w:t>
            </w:r>
          </w:p>
        </w:tc>
        <w:tc>
          <w:tcPr>
            <w:tcW w:type="dxa" w:w="3021"/>
          </w:tcPr>
          <w:p>
            <w:pPr>
              <w:spacing w:after="20"/>
            </w:pPr>
            <w:r>
              <w:rPr>
                <w:sz w:val="17"/>
              </w:rPr>
              <w:t>Async</w:t>
            </w:r>
          </w:p>
        </w:tc>
        <w:tc>
          <w:tcPr>
            <w:tcW w:type="dxa" w:w="3021"/>
          </w:tcPr>
          <w:p>
            <w:pPr>
              <w:spacing w:after="20"/>
            </w:pPr>
            <w:r>
              <w:rPr>
                <w:sz w:val="17"/>
              </w:rPr>
              <w:t xml:space="preserve">Run history records failure; </w:t>
            </w:r>
            <w:r>
              <w:rPr>
                <w:rFonts w:ascii="Menlo" w:hAnsi="Menlo"/>
                <w:sz w:val="17"/>
              </w:rPr>
              <w:t>notify</w:t>
            </w:r>
            <w:r>
              <w:rPr>
                <w:sz w:val="17"/>
              </w:rPr>
              <w:t xml:space="preserve"> fires</w:t>
            </w:r>
          </w:p>
        </w:tc>
      </w:tr>
    </w:tbl>
    <w:p>
      <w:pPr>
        <w:spacing w:after="40"/>
      </w:pPr>
    </w:p>
    <w:p>
      <w:r>
        <w:rPr>
          <w:b/>
          <w:sz w:val="19"/>
        </w:rPr>
        <w:t>The design rule visible in that table:</w:t>
      </w:r>
      <w:r>
        <w:rPr>
          <w:sz w:val="19"/>
        </w:rPr>
        <w:t xml:space="preserve"> exactly three flows are on the critical path — validation, matching, and the quality-summary attempt. Those three define </w:t>
      </w:r>
      <w:r>
        <w:rPr>
          <w:rFonts w:ascii="Menlo" w:hAnsi="Menlo"/>
          <w:sz w:val="19"/>
        </w:rPr>
        <w:t>status: complete</w:t>
      </w:r>
      <w:r>
        <w:rPr>
          <w:sz w:val="19"/>
        </w:rPr>
        <w:t xml:space="preserve">, which is the user's "is my upload done" signal. Everything else is a </w:t>
      </w:r>
      <w:r>
        <w:rPr>
          <w:i/>
          <w:sz w:val="19"/>
        </w:rPr>
        <w:t>consequence</w:t>
      </w:r>
      <w:r>
        <w:rPr>
          <w:sz w:val="19"/>
        </w:rPr>
        <w:t xml:space="preserve"> of a completed run rather than a </w:t>
      </w:r>
      <w:r>
        <w:rPr>
          <w:i/>
          <w:sz w:val="19"/>
        </w:rPr>
        <w:t>precondition</w:t>
      </w:r>
      <w:r>
        <w:rPr>
          <w:sz w:val="19"/>
        </w:rPr>
        <w:t xml:space="preserve"> for reporting one, so nothing else is allowed to block it. RAG indexing, reconciliation, the push, and the warehouse write can each fail independently without failing the upload.</w:t>
      </w:r>
    </w:p>
    <w:p>
      <w:pPr>
        <w:spacing w:before="40" w:after="40"/>
        <w:pBdr>
          <w:bottom w:val="single" w:sz="6" w:space="1" w:color="CCCCCC"/>
        </w:pBdr>
      </w:pPr>
    </w:p>
    <w:p>
      <w:pPr>
        <w:keepNext/>
        <w:spacing w:before="280" w:after="100"/>
      </w:pPr>
      <w:r>
        <w:rPr>
          <w:b/>
          <w:color w:val="C11B17"/>
          <w:sz w:val="28"/>
        </w:rPr>
        <w:t>5. Data flow — the assistant query path</w:t>
      </w:r>
    </w:p>
    <w:p>
      <w:pPr>
        <w:jc w:val="center"/>
      </w:pPr>
      <w:r>
        <w:drawing>
          <wp:inline xmlns:a="http://schemas.openxmlformats.org/drawingml/2006/main" xmlns:pic="http://schemas.openxmlformats.org/drawingml/2006/picture">
            <wp:extent cx="3645273" cy="6556246"/>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3645273" cy="6556246"/>
                    </a:xfrm>
                    <a:prstGeom prst="rect"/>
                  </pic:spPr>
                </pic:pic>
              </a:graphicData>
            </a:graphic>
          </wp:inline>
        </w:drawing>
      </w:r>
    </w:p>
    <w:p>
      <w:pPr>
        <w:spacing w:after="240"/>
        <w:jc w:val="center"/>
      </w:pPr>
      <w:r>
        <w:rPr>
          <w:i/>
          <w:color w:val="5A5A5A"/>
          <w:sz w:val="17"/>
        </w:rPr>
        <w:t>Figure 5 — Assistant query flow: structured and semantic paths</w:t>
      </w:r>
    </w:p>
    <w:p>
      <w:r>
        <w:rPr>
          <w:b/>
          <w:sz w:val="19"/>
        </w:rPr>
        <w:t>Why routing is a regex and not a model.</w:t>
      </w:r>
      <w:r>
        <w:rPr>
          <w:sz w:val="19"/>
        </w:rPr>
        <w:t xml:space="preserve"> There are a small number of known question shapes, a wrong route is cheap to fix with one more pattern, and an LLM router would add latency, cost, and non-determinism to a decision that has a mechanically correct answer. This is the same "AI only where it adds value" boundary from §7, applied one layer further up the stack.</w:t>
      </w:r>
    </w:p>
    <w:p>
      <w:r>
        <w:rPr>
          <w:b/>
          <w:sz w:val="19"/>
        </w:rPr>
        <w:t>Why the structured path computes before it phrases.</w:t>
      </w:r>
      <w:r>
        <w:rPr>
          <w:sz w:val="19"/>
        </w:rPr>
        <w:t xml:space="preserve"> </w:t>
      </w:r>
      <w:r>
        <w:rPr>
          <w:rFonts w:ascii="Menlo" w:hAnsi="Menlo"/>
          <w:sz w:val="19"/>
        </w:rPr>
        <w:t>queryJobs()</w:t>
      </w:r>
      <w:r>
        <w:rPr>
          <w:sz w:val="19"/>
        </w:rPr>
        <w:t xml:space="preserve"> produces the exact filtered result </w:t>
      </w:r>
      <w:r>
        <w:rPr>
          <w:i/>
          <w:sz w:val="19"/>
        </w:rPr>
        <w:t>first</w:t>
      </w:r>
      <w:r>
        <w:rPr>
          <w:sz w:val="19"/>
        </w:rPr>
        <w:t>. The LLM receives a finished answer and is asked only to read it out. It is structurally unable to miscount, because it was never asked to count — the failure mode of "confidently wrong number" is designed out rather than prompted against.</w:t>
      </w:r>
    </w:p>
    <w:p>
      <w:pPr>
        <w:spacing w:before="40" w:after="40"/>
        <w:pBdr>
          <w:bottom w:val="single" w:sz="6" w:space="1" w:color="CCCCCC"/>
        </w:pBdr>
      </w:pPr>
    </w:p>
    <w:p>
      <w:pPr>
        <w:keepNext/>
        <w:spacing w:before="280" w:after="100"/>
      </w:pPr>
      <w:r>
        <w:rPr>
          <w:b/>
          <w:color w:val="C11B17"/>
          <w:sz w:val="28"/>
        </w:rPr>
        <w:t>6. Data flow — the scheduled path</w:t>
      </w:r>
    </w:p>
    <w:p>
      <w:pPr>
        <w:jc w:val="center"/>
      </w:pPr>
      <w:r>
        <w:drawing>
          <wp:inline xmlns:a="http://schemas.openxmlformats.org/drawingml/2006/main" xmlns:pic="http://schemas.openxmlformats.org/drawingml/2006/picture">
            <wp:extent cx="9592056" cy="1698136"/>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9592056" cy="1698136"/>
                    </a:xfrm>
                    <a:prstGeom prst="rect"/>
                  </pic:spPr>
                </pic:pic>
              </a:graphicData>
            </a:graphic>
          </wp:inline>
        </w:drawing>
      </w:r>
    </w:p>
    <w:p>
      <w:pPr>
        <w:spacing w:after="240"/>
        <w:jc w:val="center"/>
      </w:pPr>
      <w:r>
        <w:rPr>
          <w:i/>
          <w:color w:val="5A5A5A"/>
          <w:sz w:val="17"/>
        </w:rPr>
        <w:t>Figure 6 — Scheduled ingestion: one pipeline, two entry points</w:t>
      </w:r>
    </w:p>
    <w:p>
      <w:r>
        <w:rPr>
          <w:b/>
          <w:sz w:val="19"/>
        </w:rPr>
        <w:t>One pipeline, two entry points.</w:t>
      </w:r>
      <w:r>
        <w:rPr>
          <w:sz w:val="19"/>
        </w:rPr>
        <w:t xml:space="preserve"> A scheduled run and a manual upload converge on the identical code, so validation, matching, grounding, approval, and audit behave the same either way. There is no second implementation to keep in sync.</w:t>
      </w:r>
    </w:p>
    <w:p>
      <w:r>
        <w:rPr>
          <w:b/>
          <w:sz w:val="19"/>
        </w:rPr>
        <w:t>The sharpest edge in the current design is here.</w:t>
      </w:r>
      <w:r>
        <w:rPr>
          <w:sz w:val="19"/>
        </w:rPr>
        <w:t xml:space="preserve"> </w:t>
      </w:r>
      <w:r>
        <w:rPr>
          <w:rFonts w:ascii="Menlo" w:hAnsi="Menlo"/>
          <w:sz w:val="19"/>
        </w:rPr>
        <w:t>node-cron</w:t>
      </w:r>
      <w:r>
        <w:rPr>
          <w:sz w:val="19"/>
        </w:rPr>
        <w:t xml:space="preserve"> runs in-process with no leader election. If the API tier ever runs more than one instance, every instance fires the same cron and the same source is processed two or three times. This must be solved </w:t>
      </w:r>
      <w:r>
        <w:rPr>
          <w:i/>
          <w:sz w:val="19"/>
        </w:rPr>
        <w:t>before</w:t>
      </w:r>
      <w:r>
        <w:rPr>
          <w:sz w:val="19"/>
        </w:rPr>
        <w:t xml:space="preserve"> horizontal scaling, not after — see §10.</w:t>
      </w:r>
    </w:p>
    <w:p>
      <w:pPr>
        <w:spacing w:before="40" w:after="40"/>
        <w:pBdr>
          <w:bottom w:val="single" w:sz="6" w:space="1" w:color="CCCCCC"/>
        </w:pBdr>
      </w:pPr>
    </w:p>
    <w:p>
      <w:pPr>
        <w:keepNext/>
        <w:spacing w:before="280" w:after="100"/>
      </w:pPr>
      <w:r>
        <w:rPr>
          <w:b/>
          <w:color w:val="C11B17"/>
          <w:sz w:val="28"/>
        </w:rPr>
        <w:t>7. AI integration points</w:t>
      </w:r>
    </w:p>
    <w:p>
      <w:pPr>
        <w:keepNext/>
        <w:spacing w:before="160" w:after="100"/>
      </w:pPr>
      <w:r>
        <w:rPr>
          <w:b/>
          <w:color w:val="222222"/>
          <w:sz w:val="23"/>
        </w:rPr>
        <w:t>7.1 The AI surface, in full</w:t>
      </w:r>
    </w:p>
    <w:p>
      <w:r>
        <w:rPr>
          <w:sz w:val="19"/>
        </w:rPr>
        <w:t xml:space="preserve">Six integration points, drawn as six independent chains. Read each row left to right: </w:t>
      </w:r>
      <w:r>
        <w:rPr>
          <w:b/>
          <w:sz w:val="19"/>
        </w:rPr>
        <w:t>deterministic input → what the model does → what constrains it → where the output lands.</w:t>
      </w:r>
      <w:r>
        <w:rPr>
          <w:sz w:val="19"/>
        </w:rPr>
        <w:t xml:space="preserve"> The zone colouring is consistent across all six — 🔒 deterministic, 🤖 AI, 👤 human, ▣ destination.</w:t>
      </w:r>
    </w:p>
    <w:p>
      <w:pPr>
        <w:jc w:val="center"/>
      </w:pPr>
      <w:r>
        <w:drawing>
          <wp:inline xmlns:a="http://schemas.openxmlformats.org/drawingml/2006/main" xmlns:pic="http://schemas.openxmlformats.org/drawingml/2006/picture">
            <wp:extent cx="9592056" cy="5634243"/>
            <wp:docPr id="7" name="Picture 7"/>
            <wp:cNvGraphicFramePr>
              <a:graphicFrameLocks noChangeAspect="1"/>
            </wp:cNvGraphicFramePr>
            <a:graphic>
              <a:graphicData uri="http://schemas.openxmlformats.org/drawingml/2006/picture">
                <pic:pic>
                  <pic:nvPicPr>
                    <pic:cNvPr id="0" name="fig7.png"/>
                    <pic:cNvPicPr/>
                  </pic:nvPicPr>
                  <pic:blipFill>
                    <a:blip r:embed="rId16"/>
                    <a:stretch>
                      <a:fillRect/>
                    </a:stretch>
                  </pic:blipFill>
                  <pic:spPr>
                    <a:xfrm>
                      <a:off x="0" y="0"/>
                      <a:ext cx="9592056" cy="5634243"/>
                    </a:xfrm>
                    <a:prstGeom prst="rect"/>
                  </pic:spPr>
                </pic:pic>
              </a:graphicData>
            </a:graphic>
          </wp:inline>
        </w:drawing>
      </w:r>
    </w:p>
    <w:p>
      <w:pPr>
        <w:spacing w:after="240"/>
        <w:jc w:val="center"/>
      </w:pPr>
      <w:r>
        <w:rPr>
          <w:i/>
          <w:color w:val="5A5A5A"/>
          <w:sz w:val="17"/>
        </w:rPr>
        <w:t>Figure 7 — AI integration points: six chains, one human gate</w:t>
      </w:r>
    </w:p>
    <w:p>
      <w:r>
        <w:rPr>
          <w:b/>
          <w:sz w:val="19"/>
        </w:rPr>
        <w:t>The shape of that diagram is the point.</w:t>
      </w:r>
      <w:r>
        <w:rPr>
          <w:sz w:val="19"/>
        </w:rPr>
        <w:t xml:space="preserve"> Only </w:t>
      </w:r>
      <w:r>
        <w:rPr>
          <w:i/>
          <w:sz w:val="19"/>
        </w:rPr>
        <w:t>one</w:t>
      </w:r>
      <w:r>
        <w:rPr>
          <w:sz w:val="19"/>
        </w:rPr>
        <w:t xml:space="preserve"> of the six integration points has any path to written data — ① campaign matching — and that path is interrupted by a human gate before it reaches either destination. The other five terminate in text on a screen or in a search index. There is no arrow anywhere in this system from a model directly into a data write.</w:t>
      </w:r>
    </w:p>
    <w:p>
      <w:r>
        <w:rPr>
          <w:b/>
          <w:sz w:val="19"/>
        </w:rPr>
        <w:t>Note the deliberate asymmetry in each row:</w:t>
      </w:r>
      <w:r>
        <w:rPr>
          <w:sz w:val="19"/>
        </w:rPr>
        <w:t xml:space="preserve"> the 🔒 boxes always bracket the 🤖 box. Every AI step receives already-computed input and hands its output to something that constrains it — a threshold, a citation requirement, a human, or a screen. The model is never at either end of a chain.</w:t>
      </w:r>
    </w:p>
    <w:p>
      <w:pPr>
        <w:keepNext/>
        <w:spacing w:before="160" w:after="100"/>
      </w:pPr>
      <w:r>
        <w:rPr>
          <w:b/>
          <w:color w:val="222222"/>
          <w:sz w:val="23"/>
        </w:rPr>
        <w:t>7.2 Integration point reference</w:t>
      </w:r>
    </w:p>
    <w:tbl>
      <w:tblPr>
        <w:tblStyle w:val="TableGrid"/>
        <w:tblW w:type="auto" w:w="0"/>
        <w:jc w:val="center"/>
        <w:tblLook w:firstColumn="1" w:firstRow="1" w:lastColumn="0" w:lastRow="0" w:noHBand="0" w:noVBand="1" w:val="04A0"/>
      </w:tblPr>
      <w:tblGrid>
        <w:gridCol w:w="1888"/>
        <w:gridCol w:w="1888"/>
        <w:gridCol w:w="1888"/>
        <w:gridCol w:w="1888"/>
        <w:gridCol w:w="1888"/>
        <w:gridCol w:w="1888"/>
        <w:gridCol w:w="1888"/>
        <w:gridCol w:w="1888"/>
      </w:tblGrid>
      <w:tr>
        <w:tc>
          <w:tcPr>
            <w:tcW w:type="dxa" w:w="1888"/>
            <w:shd w:val="clear" w:fill="F2F2F2"/>
          </w:tcPr>
          <w:p>
            <w:pPr>
              <w:spacing w:after="20"/>
            </w:pPr>
            <w:r>
              <w:rPr>
                <w:b/>
              </w:rPr>
            </w:r>
            <w:r>
              <w:rPr>
                <w:b/>
                <w:sz w:val="18"/>
              </w:rPr>
              <w:t>#</w:t>
            </w:r>
          </w:p>
        </w:tc>
        <w:tc>
          <w:tcPr>
            <w:tcW w:type="dxa" w:w="1888"/>
            <w:shd w:val="clear" w:fill="F2F2F2"/>
          </w:tcPr>
          <w:p>
            <w:pPr>
              <w:spacing w:after="20"/>
            </w:pPr>
            <w:r>
              <w:rPr>
                <w:b/>
              </w:rPr>
            </w:r>
            <w:r>
              <w:rPr>
                <w:b/>
                <w:sz w:val="18"/>
              </w:rPr>
              <w:t>Integration point</w:t>
            </w:r>
          </w:p>
        </w:tc>
        <w:tc>
          <w:tcPr>
            <w:tcW w:type="dxa" w:w="1888"/>
            <w:shd w:val="clear" w:fill="F2F2F2"/>
          </w:tcPr>
          <w:p>
            <w:pPr>
              <w:spacing w:after="20"/>
            </w:pPr>
            <w:r>
              <w:rPr>
                <w:b/>
              </w:rPr>
            </w:r>
            <w:r>
              <w:rPr>
                <w:b/>
                <w:sz w:val="18"/>
              </w:rPr>
              <w:t>Model</w:t>
            </w:r>
          </w:p>
        </w:tc>
        <w:tc>
          <w:tcPr>
            <w:tcW w:type="dxa" w:w="1888"/>
            <w:shd w:val="clear" w:fill="F2F2F2"/>
          </w:tcPr>
          <w:p>
            <w:pPr>
              <w:spacing w:after="20"/>
            </w:pPr>
            <w:r>
              <w:rPr>
                <w:b/>
              </w:rPr>
            </w:r>
            <w:r>
              <w:rPr>
                <w:b/>
                <w:sz w:val="18"/>
              </w:rPr>
              <w:t>Input</w:t>
            </w:r>
          </w:p>
        </w:tc>
        <w:tc>
          <w:tcPr>
            <w:tcW w:type="dxa" w:w="1888"/>
            <w:shd w:val="clear" w:fill="F2F2F2"/>
          </w:tcPr>
          <w:p>
            <w:pPr>
              <w:spacing w:after="20"/>
            </w:pPr>
            <w:r>
              <w:rPr>
                <w:b/>
              </w:rPr>
            </w:r>
            <w:r>
              <w:rPr>
                <w:b/>
                <w:sz w:val="18"/>
              </w:rPr>
              <w:t>Output</w:t>
            </w:r>
          </w:p>
        </w:tc>
        <w:tc>
          <w:tcPr>
            <w:tcW w:type="dxa" w:w="1888"/>
            <w:shd w:val="clear" w:fill="F2F2F2"/>
          </w:tcPr>
          <w:p>
            <w:pPr>
              <w:spacing w:after="20"/>
            </w:pPr>
            <w:r>
              <w:rPr>
                <w:b/>
              </w:rPr>
            </w:r>
            <w:r>
              <w:rPr>
                <w:b/>
                <w:sz w:val="18"/>
              </w:rPr>
              <w:t>What it may decide</w:t>
            </w:r>
          </w:p>
        </w:tc>
        <w:tc>
          <w:tcPr>
            <w:tcW w:type="dxa" w:w="1888"/>
            <w:shd w:val="clear" w:fill="F2F2F2"/>
          </w:tcPr>
          <w:p>
            <w:pPr>
              <w:spacing w:after="20"/>
            </w:pPr>
            <w:r>
              <w:rPr>
                <w:b/>
              </w:rPr>
            </w:r>
            <w:r>
              <w:rPr>
                <w:b/>
                <w:sz w:val="18"/>
              </w:rPr>
              <w:t>Grounding guard</w:t>
            </w:r>
          </w:p>
        </w:tc>
        <w:tc>
          <w:tcPr>
            <w:tcW w:type="dxa" w:w="1888"/>
            <w:shd w:val="clear" w:fill="F2F2F2"/>
          </w:tcPr>
          <w:p>
            <w:pPr>
              <w:spacing w:after="20"/>
            </w:pPr>
            <w:r>
              <w:rPr>
                <w:b/>
              </w:rPr>
            </w:r>
            <w:r>
              <w:rPr>
                <w:b/>
                <w:sz w:val="18"/>
              </w:rPr>
              <w:t>Failure mode</w:t>
            </w:r>
          </w:p>
        </w:tc>
      </w:tr>
      <w:tr>
        <w:tc>
          <w:tcPr>
            <w:tcW w:type="dxa" w:w="1888"/>
          </w:tcPr>
          <w:p>
            <w:pPr>
              <w:spacing w:after="20"/>
            </w:pPr>
            <w:r>
              <w:rPr>
                <w:sz w:val="17"/>
              </w:rPr>
              <w:t>①</w:t>
            </w:r>
          </w:p>
        </w:tc>
        <w:tc>
          <w:tcPr>
            <w:tcW w:type="dxa" w:w="1888"/>
          </w:tcPr>
          <w:p>
            <w:pPr>
              <w:spacing w:after="20"/>
            </w:pPr>
            <w:r>
              <w:rPr>
                <w:b/>
                <w:sz w:val="17"/>
              </w:rPr>
              <w:t>Campaign name matching</w:t>
            </w:r>
          </w:p>
        </w:tc>
        <w:tc>
          <w:tcPr>
            <w:tcW w:type="dxa" w:w="1888"/>
          </w:tcPr>
          <w:p>
            <w:pPr>
              <w:spacing w:after="20"/>
            </w:pPr>
            <w:r>
              <w:rPr>
                <w:rFonts w:ascii="Menlo" w:hAnsi="Menlo"/>
                <w:sz w:val="17"/>
              </w:rPr>
              <w:t>Xenova/all-MiniLM-L6-v2</w:t>
            </w:r>
            <w:r>
              <w:rPr>
                <w:sz w:val="17"/>
              </w:rPr>
              <w:t>, local</w:t>
            </w:r>
          </w:p>
        </w:tc>
        <w:tc>
          <w:tcPr>
            <w:tcW w:type="dxa" w:w="1888"/>
          </w:tcPr>
          <w:p>
            <w:pPr>
              <w:spacing w:after="20"/>
            </w:pPr>
            <w:r>
              <w:rPr>
                <w:sz w:val="17"/>
              </w:rPr>
              <w:t>Normalized uploaded name</w:t>
            </w:r>
          </w:p>
        </w:tc>
        <w:tc>
          <w:tcPr>
            <w:tcW w:type="dxa" w:w="1888"/>
          </w:tcPr>
          <w:p>
            <w:pPr>
              <w:spacing w:after="20"/>
            </w:pPr>
            <w:r>
              <w:rPr>
                <w:sz w:val="17"/>
              </w:rPr>
              <w:t>384-dim vector → cosine score vs ~15 cached master vectors</w:t>
            </w:r>
          </w:p>
        </w:tc>
        <w:tc>
          <w:tcPr>
            <w:tcW w:type="dxa" w:w="1888"/>
          </w:tcPr>
          <w:p>
            <w:pPr>
              <w:spacing w:after="20"/>
            </w:pPr>
            <w:r>
              <w:rPr>
                <w:i/>
                <w:sz w:val="17"/>
              </w:rPr>
              <w:t>Nothing.</w:t>
            </w:r>
            <w:r>
              <w:rPr>
                <w:sz w:val="17"/>
              </w:rPr>
              <w:t xml:space="preserve"> It produces a similarity score; deterministic code applies the 60% threshold and a human applies the decision</w:t>
            </w:r>
          </w:p>
        </w:tc>
        <w:tc>
          <w:tcPr>
            <w:tcW w:type="dxa" w:w="1888"/>
          </w:tcPr>
          <w:p>
            <w:pPr>
              <w:spacing w:after="20"/>
            </w:pPr>
            <w:r>
              <w:rPr>
                <w:sz w:val="17"/>
              </w:rPr>
              <w:t xml:space="preserve">Never auto-applies. </w:t>
            </w:r>
            <w:r>
              <w:rPr>
                <w:rFonts w:ascii="Menlo" w:hAnsi="Menlo"/>
                <w:sz w:val="17"/>
              </w:rPr>
              <w:t>suggest</w:t>
            </w:r>
            <w:r>
              <w:rPr>
                <w:sz w:val="17"/>
              </w:rPr>
              <w:t xml:space="preserve"> and </w:t>
            </w:r>
            <w:r>
              <w:rPr>
                <w:rFonts w:ascii="Menlo" w:hAnsi="Menlo"/>
                <w:sz w:val="17"/>
              </w:rPr>
              <w:t>flag_for_review</w:t>
            </w:r>
            <w:r>
              <w:rPr>
                <w:sz w:val="17"/>
              </w:rPr>
              <w:t xml:space="preserve"> are both pending human decisions. A rejected suggestion carries the raw name all the way into the silver table</w:t>
            </w:r>
          </w:p>
        </w:tc>
        <w:tc>
          <w:tcPr>
            <w:tcW w:type="dxa" w:w="1888"/>
          </w:tcPr>
          <w:p>
            <w:pPr>
              <w:spacing w:after="20"/>
            </w:pPr>
            <w:r>
              <w:rPr>
                <w:sz w:val="17"/>
              </w:rPr>
              <w:t xml:space="preserve">Model load failure fails the job (critical path). A bad score produces a wrong </w:t>
            </w:r>
            <w:r>
              <w:rPr>
                <w:i/>
                <w:sz w:val="17"/>
              </w:rPr>
              <w:t>suggestion</w:t>
            </w:r>
            <w:r>
              <w:rPr>
                <w:sz w:val="17"/>
              </w:rPr>
              <w:t xml:space="preserve">, never a wrong </w:t>
            </w:r>
            <w:r>
              <w:rPr>
                <w:i/>
                <w:sz w:val="17"/>
              </w:rPr>
              <w:t>write</w:t>
            </w:r>
          </w:p>
        </w:tc>
      </w:tr>
      <w:tr>
        <w:tc>
          <w:tcPr>
            <w:tcW w:type="dxa" w:w="1888"/>
          </w:tcPr>
          <w:p>
            <w:pPr>
              <w:spacing w:after="20"/>
            </w:pPr>
            <w:r>
              <w:rPr>
                <w:sz w:val="17"/>
              </w:rPr>
              <w:t>②</w:t>
            </w:r>
          </w:p>
        </w:tc>
        <w:tc>
          <w:tcPr>
            <w:tcW w:type="dxa" w:w="1888"/>
          </w:tcPr>
          <w:p>
            <w:pPr>
              <w:spacing w:after="20"/>
            </w:pPr>
            <w:r>
              <w:rPr>
                <w:b/>
                <w:sz w:val="17"/>
              </w:rPr>
              <w:t>Question embedding</w:t>
            </w:r>
          </w:p>
        </w:tc>
        <w:tc>
          <w:tcPr>
            <w:tcW w:type="dxa" w:w="1888"/>
          </w:tcPr>
          <w:p>
            <w:pPr>
              <w:spacing w:after="20"/>
            </w:pPr>
            <w:r>
              <w:rPr>
                <w:sz w:val="17"/>
              </w:rPr>
              <w:t>Same, local</w:t>
            </w:r>
          </w:p>
        </w:tc>
        <w:tc>
          <w:tcPr>
            <w:tcW w:type="dxa" w:w="1888"/>
          </w:tcPr>
          <w:p>
            <w:pPr>
              <w:spacing w:after="20"/>
            </w:pPr>
            <w:r>
              <w:rPr>
                <w:sz w:val="17"/>
              </w:rPr>
              <w:t>User question</w:t>
            </w:r>
          </w:p>
        </w:tc>
        <w:tc>
          <w:tcPr>
            <w:tcW w:type="dxa" w:w="1888"/>
          </w:tcPr>
          <w:p>
            <w:pPr>
              <w:spacing w:after="20"/>
            </w:pPr>
            <w:r>
              <w:rPr>
                <w:sz w:val="17"/>
              </w:rPr>
              <w:t>Query vector</w:t>
            </w:r>
          </w:p>
        </w:tc>
        <w:tc>
          <w:tcPr>
            <w:tcW w:type="dxa" w:w="1888"/>
          </w:tcPr>
          <w:p>
            <w:pPr>
              <w:spacing w:after="20"/>
            </w:pPr>
            <w:r>
              <w:rPr>
                <w:sz w:val="17"/>
              </w:rPr>
              <w:t>Nothing — retrieval only</w:t>
            </w:r>
          </w:p>
        </w:tc>
        <w:tc>
          <w:tcPr>
            <w:tcW w:type="dxa" w:w="1888"/>
          </w:tcPr>
          <w:p>
            <w:pPr>
              <w:spacing w:after="20"/>
            </w:pPr>
            <w:r>
              <w:rPr>
                <w:sz w:val="17"/>
              </w:rPr>
              <w:t>Retrieval is scoped to one collection of run summaries; nothing outside the corpus can be returned</w:t>
            </w:r>
          </w:p>
        </w:tc>
        <w:tc>
          <w:tcPr>
            <w:tcW w:type="dxa" w:w="1888"/>
          </w:tcPr>
          <w:p>
            <w:pPr>
              <w:spacing w:after="20"/>
            </w:pPr>
            <w:r>
              <w:rPr>
                <w:sz w:val="17"/>
              </w:rPr>
              <w:t>Empty/failed retrieval → "no matching runs found"</w:t>
            </w:r>
          </w:p>
        </w:tc>
      </w:tr>
      <w:tr>
        <w:tc>
          <w:tcPr>
            <w:tcW w:type="dxa" w:w="1888"/>
          </w:tcPr>
          <w:p>
            <w:pPr>
              <w:spacing w:after="20"/>
            </w:pPr>
            <w:r>
              <w:rPr>
                <w:sz w:val="17"/>
              </w:rPr>
              <w:t>③</w:t>
            </w:r>
          </w:p>
        </w:tc>
        <w:tc>
          <w:tcPr>
            <w:tcW w:type="dxa" w:w="1888"/>
          </w:tcPr>
          <w:p>
            <w:pPr>
              <w:spacing w:after="20"/>
            </w:pPr>
            <w:r>
              <w:rPr>
                <w:b/>
                <w:sz w:val="17"/>
              </w:rPr>
              <w:t>Run summary indexing</w:t>
            </w:r>
          </w:p>
        </w:tc>
        <w:tc>
          <w:tcPr>
            <w:tcW w:type="dxa" w:w="1888"/>
          </w:tcPr>
          <w:p>
            <w:pPr>
              <w:spacing w:after="20"/>
            </w:pPr>
            <w:r>
              <w:rPr>
                <w:sz w:val="17"/>
              </w:rPr>
              <w:t>Same, local</w:t>
            </w:r>
          </w:p>
        </w:tc>
        <w:tc>
          <w:tcPr>
            <w:tcW w:type="dxa" w:w="1888"/>
          </w:tcPr>
          <w:p>
            <w:pPr>
              <w:spacing w:after="20"/>
            </w:pPr>
            <w:r>
              <w:rPr>
                <w:sz w:val="17"/>
              </w:rPr>
              <w:t>Completed job record</w:t>
            </w:r>
          </w:p>
        </w:tc>
        <w:tc>
          <w:tcPr>
            <w:tcW w:type="dxa" w:w="1888"/>
          </w:tcPr>
          <w:p>
            <w:pPr>
              <w:spacing w:after="20"/>
            </w:pPr>
            <w:r>
              <w:rPr>
                <w:sz w:val="17"/>
              </w:rPr>
              <w:t xml:space="preserve">Vector + document in </w:t>
            </w:r>
            <w:r>
              <w:rPr>
                <w:rFonts w:ascii="Menlo" w:hAnsi="Menlo"/>
                <w:sz w:val="17"/>
              </w:rPr>
              <w:t>ingestion_runs_v1</w:t>
            </w:r>
          </w:p>
        </w:tc>
        <w:tc>
          <w:tcPr>
            <w:tcW w:type="dxa" w:w="1888"/>
          </w:tcPr>
          <w:p>
            <w:pPr>
              <w:spacing w:after="20"/>
            </w:pPr>
            <w:r>
              <w:rPr>
                <w:sz w:val="17"/>
              </w:rPr>
              <w:t>Nothing</w:t>
            </w:r>
          </w:p>
        </w:tc>
        <w:tc>
          <w:tcPr>
            <w:tcW w:type="dxa" w:w="1888"/>
          </w:tcPr>
          <w:p>
            <w:pPr>
              <w:spacing w:after="20"/>
            </w:pPr>
            <w:r>
              <w:rPr>
                <w:sz w:val="17"/>
              </w:rPr>
              <w:t>One summary document per run, not one chunk per row — row-level detail belongs to the structured path, so the semantic path cannot be asked to do arithmetic</w:t>
            </w:r>
          </w:p>
        </w:tc>
        <w:tc>
          <w:tcPr>
            <w:tcW w:type="dxa" w:w="1888"/>
          </w:tcPr>
          <w:p>
            <w:pPr>
              <w:spacing w:after="20"/>
            </w:pPr>
            <w:r>
              <w:rPr>
                <w:sz w:val="17"/>
              </w:rPr>
              <w:t>Fire-and-forget; run is un-searchable but intact</w:t>
            </w:r>
          </w:p>
        </w:tc>
      </w:tr>
      <w:tr>
        <w:tc>
          <w:tcPr>
            <w:tcW w:type="dxa" w:w="1888"/>
          </w:tcPr>
          <w:p>
            <w:pPr>
              <w:spacing w:after="20"/>
            </w:pPr>
            <w:r>
              <w:rPr>
                <w:sz w:val="17"/>
              </w:rPr>
              <w:t>④</w:t>
            </w:r>
          </w:p>
        </w:tc>
        <w:tc>
          <w:tcPr>
            <w:tcW w:type="dxa" w:w="1888"/>
          </w:tcPr>
          <w:p>
            <w:pPr>
              <w:spacing w:after="20"/>
            </w:pPr>
            <w:r>
              <w:rPr>
                <w:b/>
                <w:sz w:val="17"/>
              </w:rPr>
              <w:t>AI quality summary</w:t>
            </w:r>
          </w:p>
        </w:tc>
        <w:tc>
          <w:tcPr>
            <w:tcW w:type="dxa" w:w="1888"/>
          </w:tcPr>
          <w:p>
            <w:pPr>
              <w:spacing w:after="20"/>
            </w:pPr>
            <w:r>
              <w:rPr>
                <w:sz w:val="17"/>
              </w:rPr>
              <w:t xml:space="preserve">Groq </w:t>
            </w:r>
            <w:r>
              <w:rPr>
                <w:rFonts w:ascii="Menlo" w:hAnsi="Menlo"/>
                <w:sz w:val="17"/>
              </w:rPr>
              <w:t>llama-3.3-70b-versatile</w:t>
            </w:r>
          </w:p>
        </w:tc>
        <w:tc>
          <w:tcPr>
            <w:tcW w:type="dxa" w:w="1888"/>
          </w:tcPr>
          <w:p>
            <w:pPr>
              <w:spacing w:after="20"/>
            </w:pPr>
            <w:r>
              <w:rPr>
                <w:sz w:val="17"/>
              </w:rPr>
              <w:t>An exact JSON fact object (</w:t>
            </w:r>
            <w:r>
              <w:rPr>
                <w:rFonts w:ascii="Menlo" w:hAnsi="Menlo"/>
                <w:sz w:val="17"/>
              </w:rPr>
              <w:t>qualityScore</w:t>
            </w:r>
            <w:r>
              <w:rPr>
                <w:sz w:val="17"/>
              </w:rPr>
              <w:t xml:space="preserve">, </w:t>
            </w:r>
            <w:r>
              <w:rPr>
                <w:rFonts w:ascii="Menlo" w:hAnsi="Menlo"/>
                <w:sz w:val="17"/>
              </w:rPr>
              <w:t>totalRows</w:t>
            </w:r>
            <w:r>
              <w:rPr>
                <w:sz w:val="17"/>
              </w:rPr>
              <w:t xml:space="preserve">, </w:t>
            </w:r>
            <w:r>
              <w:rPr>
                <w:rFonts w:ascii="Menlo" w:hAnsi="Menlo"/>
                <w:sz w:val="17"/>
              </w:rPr>
              <w:t>rejectedRows</w:t>
            </w:r>
            <w:r>
              <w:rPr>
                <w:sz w:val="17"/>
              </w:rPr>
              <w:t xml:space="preserve">, </w:t>
            </w:r>
            <w:r>
              <w:rPr>
                <w:rFonts w:ascii="Menlo" w:hAnsi="Menlo"/>
                <w:sz w:val="17"/>
              </w:rPr>
              <w:t>fieldCorrections</w:t>
            </w:r>
            <w:r>
              <w:rPr>
                <w:sz w:val="17"/>
              </w:rPr>
              <w:t xml:space="preserve">, </w:t>
            </w:r>
            <w:r>
              <w:rPr>
                <w:rFonts w:ascii="Menlo" w:hAnsi="Menlo"/>
                <w:sz w:val="17"/>
              </w:rPr>
              <w:t>unrecognizedValues</w:t>
            </w:r>
            <w:r>
              <w:rPr>
                <w:sz w:val="17"/>
              </w:rPr>
              <w:t xml:space="preserve">, </w:t>
            </w:r>
            <w:r>
              <w:rPr>
                <w:rFonts w:ascii="Menlo" w:hAnsi="Menlo"/>
                <w:sz w:val="17"/>
              </w:rPr>
              <w:t>dateFlagCount</w:t>
            </w:r>
            <w:r>
              <w:rPr>
                <w:sz w:val="17"/>
              </w:rPr>
              <w:t xml:space="preserve">, </w:t>
            </w:r>
            <w:r>
              <w:rPr>
                <w:rFonts w:ascii="Menlo" w:hAnsi="Menlo"/>
                <w:sz w:val="17"/>
              </w:rPr>
              <w:t>duplicateCount</w:t>
            </w:r>
            <w:r>
              <w:rPr>
                <w:sz w:val="17"/>
              </w:rPr>
              <w:t xml:space="preserve">, </w:t>
            </w:r>
            <w:r>
              <w:rPr>
                <w:rFonts w:ascii="Menlo" w:hAnsi="Menlo"/>
                <w:sz w:val="17"/>
              </w:rPr>
              <w:t>suggestedCampaignMatches</w:t>
            </w:r>
            <w:r>
              <w:rPr>
                <w:sz w:val="17"/>
              </w:rPr>
              <w:t xml:space="preserve">, </w:t>
            </w:r>
            <w:r>
              <w:rPr>
                <w:rFonts w:ascii="Menlo" w:hAnsi="Menlo"/>
                <w:sz w:val="17"/>
              </w:rPr>
              <w:t>flaggedCampaignMatches</w:t>
            </w:r>
            <w:r>
              <w:rPr>
                <w:sz w:val="17"/>
              </w:rPr>
              <w:t>)</w:t>
            </w:r>
          </w:p>
        </w:tc>
        <w:tc>
          <w:tcPr>
            <w:tcW w:type="dxa" w:w="1888"/>
          </w:tcPr>
          <w:p>
            <w:pPr>
              <w:spacing w:after="20"/>
            </w:pPr>
            <w:r>
              <w:rPr>
                <w:sz w:val="17"/>
              </w:rPr>
              <w:t>One plain sentence</w:t>
            </w:r>
          </w:p>
        </w:tc>
        <w:tc>
          <w:tcPr>
            <w:tcW w:type="dxa" w:w="1888"/>
          </w:tcPr>
          <w:p>
            <w:pPr>
              <w:spacing w:after="20"/>
            </w:pPr>
            <w:r>
              <w:rPr>
                <w:sz w:val="17"/>
              </w:rPr>
              <w:t xml:space="preserve">Only </w:t>
            </w:r>
            <w:r>
              <w:rPr>
                <w:i/>
                <w:sz w:val="17"/>
              </w:rPr>
              <w:t>wording</w:t>
            </w:r>
          </w:p>
        </w:tc>
        <w:tc>
          <w:tcPr>
            <w:tcW w:type="dxa" w:w="1888"/>
          </w:tcPr>
          <w:p>
            <w:pPr>
              <w:spacing w:after="20"/>
            </w:pPr>
            <w:r>
              <w:rPr>
                <w:sz w:val="17"/>
              </w:rPr>
              <w:t xml:space="preserve">Prompt forbids inventing any number, field, or count; forbids mentioning zero-count categories; requires ending with the exact unchanged score; </w:t>
            </w:r>
            <w:r>
              <w:rPr>
                <w:b/>
                <w:sz w:val="17"/>
              </w:rPr>
              <w:t>explicitly forbids calling a suggested match "auto-corrected"</w:t>
            </w:r>
            <w:r>
              <w:rPr>
                <w:sz w:val="17"/>
              </w:rPr>
              <w:t xml:space="preserve"> because the matcher never applies one</w:t>
            </w:r>
          </w:p>
        </w:tc>
        <w:tc>
          <w:tcPr>
            <w:tcW w:type="dxa" w:w="1888"/>
          </w:tcPr>
          <w:p>
            <w:pPr>
              <w:spacing w:after="20"/>
            </w:pPr>
            <w:r>
              <w:rPr>
                <w:rFonts w:ascii="Menlo" w:hAnsi="Menlo"/>
                <w:sz w:val="17"/>
              </w:rPr>
              <w:t>try/catch</w:t>
            </w:r>
            <w:r>
              <w:rPr>
                <w:sz w:val="17"/>
              </w:rPr>
              <w:t xml:space="preserve"> — the job completes without a summary sentence</w:t>
            </w:r>
          </w:p>
        </w:tc>
      </w:tr>
      <w:tr>
        <w:tc>
          <w:tcPr>
            <w:tcW w:type="dxa" w:w="1888"/>
          </w:tcPr>
          <w:p>
            <w:pPr>
              <w:spacing w:after="20"/>
            </w:pPr>
            <w:r>
              <w:rPr>
                <w:sz w:val="17"/>
              </w:rPr>
              <w:t>⑤</w:t>
            </w:r>
          </w:p>
        </w:tc>
        <w:tc>
          <w:tcPr>
            <w:tcW w:type="dxa" w:w="1888"/>
          </w:tcPr>
          <w:p>
            <w:pPr>
              <w:spacing w:after="20"/>
            </w:pPr>
            <w:r>
              <w:rPr>
                <w:b/>
                <w:sz w:val="17"/>
              </w:rPr>
              <w:t>Structured RAG narration</w:t>
            </w:r>
          </w:p>
        </w:tc>
        <w:tc>
          <w:tcPr>
            <w:tcW w:type="dxa" w:w="1888"/>
          </w:tcPr>
          <w:p>
            <w:pPr>
              <w:spacing w:after="20"/>
            </w:pPr>
            <w:r>
              <w:rPr>
                <w:sz w:val="17"/>
              </w:rPr>
              <w:t>Groq</w:t>
            </w:r>
          </w:p>
        </w:tc>
        <w:tc>
          <w:tcPr>
            <w:tcW w:type="dxa" w:w="1888"/>
          </w:tcPr>
          <w:p>
            <w:pPr>
              <w:spacing w:after="20"/>
            </w:pPr>
            <w:r>
              <w:rPr>
                <w:sz w:val="17"/>
              </w:rPr>
              <w:t xml:space="preserve">An already-filtered exact result set from </w:t>
            </w:r>
            <w:r>
              <w:rPr>
                <w:rFonts w:ascii="Menlo" w:hAnsi="Menlo"/>
                <w:sz w:val="17"/>
              </w:rPr>
              <w:t>queryJobs()</w:t>
            </w:r>
          </w:p>
        </w:tc>
        <w:tc>
          <w:tcPr>
            <w:tcW w:type="dxa" w:w="1888"/>
          </w:tcPr>
          <w:p>
            <w:pPr>
              <w:spacing w:after="20"/>
            </w:pPr>
            <w:r>
              <w:rPr>
                <w:sz w:val="17"/>
              </w:rPr>
              <w:t>Prose + citations</w:t>
            </w:r>
          </w:p>
        </w:tc>
        <w:tc>
          <w:tcPr>
            <w:tcW w:type="dxa" w:w="1888"/>
          </w:tcPr>
          <w:p>
            <w:pPr>
              <w:spacing w:after="20"/>
            </w:pPr>
            <w:r>
              <w:rPr>
                <w:sz w:val="17"/>
              </w:rPr>
              <w:t>Only wording</w:t>
            </w:r>
          </w:p>
        </w:tc>
        <w:tc>
          <w:tcPr>
            <w:tcW w:type="dxa" w:w="1888"/>
          </w:tcPr>
          <w:p>
            <w:pPr>
              <w:spacing w:after="20"/>
            </w:pPr>
            <w:r>
              <w:rPr>
                <w:sz w:val="17"/>
              </w:rPr>
              <w:t>The answer is computed before the model is called. Instructed to say "no matching runs found" rather than speculate</w:t>
            </w:r>
          </w:p>
        </w:tc>
        <w:tc>
          <w:tcPr>
            <w:tcW w:type="dxa" w:w="1888"/>
          </w:tcPr>
          <w:p>
            <w:pPr>
              <w:spacing w:after="20"/>
            </w:pPr>
            <w:r>
              <w:rPr>
                <w:sz w:val="17"/>
              </w:rPr>
              <w:t>Error surfaced in chat</w:t>
            </w:r>
          </w:p>
        </w:tc>
      </w:tr>
      <w:tr>
        <w:tc>
          <w:tcPr>
            <w:tcW w:type="dxa" w:w="1888"/>
          </w:tcPr>
          <w:p>
            <w:pPr>
              <w:spacing w:after="20"/>
            </w:pPr>
            <w:r>
              <w:rPr>
                <w:sz w:val="17"/>
              </w:rPr>
              <w:t>⑥</w:t>
            </w:r>
          </w:p>
        </w:tc>
        <w:tc>
          <w:tcPr>
            <w:tcW w:type="dxa" w:w="1888"/>
          </w:tcPr>
          <w:p>
            <w:pPr>
              <w:spacing w:after="20"/>
            </w:pPr>
            <w:r>
              <w:rPr>
                <w:b/>
                <w:sz w:val="17"/>
              </w:rPr>
              <w:t>Semantic RAG answer</w:t>
            </w:r>
          </w:p>
        </w:tc>
        <w:tc>
          <w:tcPr>
            <w:tcW w:type="dxa" w:w="1888"/>
          </w:tcPr>
          <w:p>
            <w:pPr>
              <w:spacing w:after="20"/>
            </w:pPr>
            <w:r>
              <w:rPr>
                <w:sz w:val="17"/>
              </w:rPr>
              <w:t>Groq (+ Xenova for retrieval)</w:t>
            </w:r>
          </w:p>
        </w:tc>
        <w:tc>
          <w:tcPr>
            <w:tcW w:type="dxa" w:w="1888"/>
          </w:tcPr>
          <w:p>
            <w:pPr>
              <w:spacing w:after="20"/>
            </w:pPr>
            <w:r>
              <w:rPr>
                <w:sz w:val="17"/>
              </w:rPr>
              <w:t>Top-5 retrieved run summaries</w:t>
            </w:r>
          </w:p>
        </w:tc>
        <w:tc>
          <w:tcPr>
            <w:tcW w:type="dxa" w:w="1888"/>
          </w:tcPr>
          <w:p>
            <w:pPr>
              <w:spacing w:after="20"/>
            </w:pPr>
            <w:r>
              <w:rPr>
                <w:sz w:val="17"/>
              </w:rPr>
              <w:t>Prose + citations</w:t>
            </w:r>
          </w:p>
        </w:tc>
        <w:tc>
          <w:tcPr>
            <w:tcW w:type="dxa" w:w="1888"/>
          </w:tcPr>
          <w:p>
            <w:pPr>
              <w:spacing w:after="20"/>
            </w:pPr>
            <w:r>
              <w:rPr>
                <w:sz w:val="17"/>
              </w:rPr>
              <w:t>Only wording and which retrieved evidence to cite</w:t>
            </w:r>
          </w:p>
        </w:tc>
        <w:tc>
          <w:tcPr>
            <w:tcW w:type="dxa" w:w="1888"/>
          </w:tcPr>
          <w:p>
            <w:pPr>
              <w:spacing w:after="20"/>
            </w:pPr>
            <w:r>
              <w:rPr>
                <w:sz w:val="17"/>
              </w:rPr>
              <w:t>Classic retrieve-then-generate: answer only from supplied documents, say not-found if empty</w:t>
            </w:r>
          </w:p>
        </w:tc>
        <w:tc>
          <w:tcPr>
            <w:tcW w:type="dxa" w:w="1888"/>
          </w:tcPr>
          <w:p>
            <w:pPr>
              <w:spacing w:after="20"/>
            </w:pPr>
            <w:r>
              <w:rPr>
                <w:sz w:val="17"/>
              </w:rPr>
              <w:t>Error surfaced in chat</w:t>
            </w:r>
          </w:p>
        </w:tc>
      </w:tr>
      <w:tr>
        <w:tc>
          <w:tcPr>
            <w:tcW w:type="dxa" w:w="1888"/>
          </w:tcPr>
          <w:p>
            <w:pPr>
              <w:spacing w:after="20"/>
            </w:pPr>
            <w:r>
              <w:rPr>
                <w:sz w:val="17"/>
              </w:rPr>
              <w:t>—</w:t>
            </w:r>
          </w:p>
        </w:tc>
        <w:tc>
          <w:tcPr>
            <w:tcW w:type="dxa" w:w="1888"/>
          </w:tcPr>
          <w:p>
            <w:pPr>
              <w:spacing w:after="20"/>
            </w:pPr>
            <w:r>
              <w:rPr>
                <w:b/>
                <w:sz w:val="17"/>
              </w:rPr>
              <w:t>Query routing</w:t>
            </w:r>
          </w:p>
        </w:tc>
        <w:tc>
          <w:tcPr>
            <w:tcW w:type="dxa" w:w="1888"/>
          </w:tcPr>
          <w:p>
            <w:pPr>
              <w:spacing w:after="20"/>
            </w:pPr>
            <w:r>
              <w:rPr>
                <w:b/>
                <w:sz w:val="17"/>
              </w:rPr>
              <w:t>None — regex</w:t>
            </w:r>
          </w:p>
        </w:tc>
        <w:tc>
          <w:tcPr>
            <w:tcW w:type="dxa" w:w="1888"/>
          </w:tcPr>
          <w:p>
            <w:pPr>
              <w:spacing w:after="20"/>
            </w:pPr>
            <w:r>
              <w:rPr>
                <w:sz w:val="17"/>
              </w:rPr>
              <w:t>Question text</w:t>
            </w:r>
          </w:p>
        </w:tc>
        <w:tc>
          <w:tcPr>
            <w:tcW w:type="dxa" w:w="1888"/>
          </w:tcPr>
          <w:p>
            <w:pPr>
              <w:spacing w:after="20"/>
            </w:pPr>
            <w:r>
              <w:rPr>
                <w:rFonts w:ascii="Menlo" w:hAnsi="Menlo"/>
                <w:sz w:val="17"/>
              </w:rPr>
              <w:t>structured</w:t>
            </w:r>
            <w:r>
              <w:rPr>
                <w:sz w:val="17"/>
              </w:rPr>
              <w:t xml:space="preserve"> \</w:t>
            </w:r>
          </w:p>
        </w:tc>
        <w:tc>
          <w:tcPr>
            <w:tcW w:type="dxa" w:w="1888"/>
          </w:tcPr>
          <w:p>
            <w:pPr>
              <w:spacing w:after="20"/>
            </w:pPr>
            <w:r>
              <w:rPr>
                <w:rFonts w:ascii="Menlo" w:hAnsi="Menlo"/>
                <w:sz w:val="17"/>
              </w:rPr>
              <w:t>semantic</w:t>
            </w:r>
          </w:p>
        </w:tc>
        <w:tc>
          <w:tcPr>
            <w:tcW w:type="dxa" w:w="1888"/>
          </w:tcPr>
          <w:p>
            <w:pPr>
              <w:spacing w:after="20"/>
            </w:pPr>
            <w:r>
              <w:rPr>
                <w:sz w:val="17"/>
              </w:rPr>
              <w:t>—</w:t>
            </w:r>
          </w:p>
        </w:tc>
        <w:tc>
          <w:tcPr>
            <w:tcW w:type="dxa" w:w="1888"/>
          </w:tcPr>
          <w:p>
            <w:pPr>
              <w:spacing w:after="20"/>
            </w:pPr>
            <w:r>
              <w:rPr>
                <w:sz w:val="17"/>
              </w:rPr>
              <w:t>Routing has a mechanically correct answer for the known question shapes; a model here would add cost and non-determinism for no accuracy gain</w:t>
            </w:r>
          </w:p>
        </w:tc>
      </w:tr>
    </w:tbl>
    <w:p>
      <w:pPr>
        <w:spacing w:after="40"/>
      </w:pPr>
    </w:p>
    <w:p>
      <w:pPr>
        <w:keepNext/>
        <w:spacing w:before="160" w:after="100"/>
      </w:pPr>
      <w:r>
        <w:rPr>
          <w:b/>
          <w:color w:val="222222"/>
          <w:sz w:val="23"/>
        </w:rPr>
        <w:t>7.3 The four guards, stated as invariants</w:t>
      </w:r>
    </w:p>
    <w:p>
      <w:r>
        <w:rPr>
          <w:sz w:val="19"/>
        </w:rPr>
        <w:t>These are the properties that make the AI trustworthy in this system. Each is enforced structurally, not by prompt wording alone.</w:t>
      </w:r>
    </w:p>
    <w:p>
      <w:pPr>
        <w:pStyle w:val="ListNumber"/>
        <w:spacing w:after="60"/>
      </w:pPr>
      <w:r>
        <w:rPr>
          <w:b/>
          <w:sz w:val="19"/>
        </w:rPr>
        <w:t>Compute-then-phrase.</w:t>
      </w:r>
      <w:r>
        <w:rPr>
          <w:sz w:val="19"/>
        </w:rPr>
        <w:t xml:space="preserve"> Every number the LLM emits was computed by deterministic code before the model was invoked. The model is handed a finished fact object and asked for a sentence. It cannot miscount because it is never asked to count.</w:t>
      </w:r>
    </w:p>
    <w:p>
      <w:pPr>
        <w:pStyle w:val="ListNumber"/>
        <w:spacing w:after="60"/>
      </w:pPr>
      <w:r>
        <w:rPr>
          <w:b/>
          <w:sz w:val="19"/>
        </w:rPr>
        <w:t>Suggest-never-apply.</w:t>
      </w:r>
      <w:r>
        <w:rPr>
          <w:sz w:val="19"/>
        </w:rPr>
        <w:t xml:space="preserve"> The matcher's output is always a pending decision. The human gate sits between the AI suggestion and </w:t>
      </w:r>
      <w:r>
        <w:rPr>
          <w:i/>
          <w:sz w:val="19"/>
        </w:rPr>
        <w:t>both</w:t>
      </w:r>
      <w:r>
        <w:rPr>
          <w:sz w:val="19"/>
        </w:rPr>
        <w:t xml:space="preserve"> downstream writes — the ad-platform push and the silver table's campaign names. A rejected suggestion is not merely ignored; the raw name is deliberately preserved end-to-end.</w:t>
      </w:r>
    </w:p>
    <w:p>
      <w:pPr>
        <w:pStyle w:val="ListNumber"/>
        <w:spacing w:after="60"/>
      </w:pPr>
      <w:r>
        <w:rPr>
          <w:b/>
          <w:sz w:val="19"/>
        </w:rPr>
        <w:t>Threshold outside the model.</w:t>
      </w:r>
      <w:r>
        <w:rPr>
          <w:sz w:val="19"/>
        </w:rPr>
        <w:t xml:space="preserve"> The AI produces a continuous score; deterministic code turns it into </w:t>
      </w:r>
      <w:r>
        <w:rPr>
          <w:rFonts w:ascii="Menlo" w:hAnsi="Menlo"/>
          <w:sz w:val="19"/>
        </w:rPr>
        <w:t>suggest</w:t>
      </w:r>
      <w:r>
        <w:rPr>
          <w:sz w:val="19"/>
        </w:rPr>
        <w:t xml:space="preserve"> / </w:t>
      </w:r>
      <w:r>
        <w:rPr>
          <w:rFonts w:ascii="Menlo" w:hAnsi="Menlo"/>
          <w:sz w:val="19"/>
        </w:rPr>
        <w:t>flag_for_review</w:t>
      </w:r>
      <w:r>
        <w:rPr>
          <w:sz w:val="19"/>
        </w:rPr>
        <w:t xml:space="preserve"> at 60%. Tuning behaviour means changing one constant, not re-prompting a model.</w:t>
      </w:r>
    </w:p>
    <w:p>
      <w:pPr>
        <w:pStyle w:val="ListNumber"/>
        <w:spacing w:after="60"/>
      </w:pPr>
      <w:r>
        <w:rPr>
          <w:b/>
          <w:sz w:val="19"/>
        </w:rPr>
        <w:t>Fail-open on phrasing, fail-closed on facts.</w:t>
      </w:r>
      <w:r>
        <w:rPr>
          <w:sz w:val="19"/>
        </w:rPr>
        <w:t xml:space="preserve"> A Groq outage removes a sentence. It never removes, delays, or corrupts a validated row. Conversely, a validation failure stops the run outright.</w:t>
      </w:r>
    </w:p>
    <w:p>
      <w:pPr>
        <w:spacing w:before="80" w:after="120"/>
        <w:ind w:left="504"/>
      </w:pPr>
      <w:r>
        <w:rPr>
          <w:b/>
          <w:i/>
          <w:sz w:val="20"/>
        </w:rPr>
        <w:t>The one-line summary of the AI boundary:</w:t>
      </w:r>
      <w:r>
        <w:rPr>
          <w:i/>
          <w:sz w:val="20"/>
        </w:rPr>
        <w:t xml:space="preserve"> </w:t>
      </w:r>
      <w:r>
        <w:rPr>
          <w:i/>
          <w:sz w:val="20"/>
        </w:rPr>
        <w:t>AI decides what a fact probably means, or how to phrase a fact into English. It never decides what the fact is, and it never applies a change unsupervised.</w:t>
      </w:r>
    </w:p>
    <w:p>
      <w:pPr>
        <w:keepNext/>
        <w:spacing w:before="160" w:after="100"/>
      </w:pPr>
      <w:r>
        <w:rPr>
          <w:b/>
          <w:color w:val="222222"/>
          <w:sz w:val="23"/>
        </w:rPr>
        <w:t>7.4 Two things worth flagging honestly</w:t>
      </w:r>
    </w:p>
    <w:p>
      <w:pPr>
        <w:pStyle w:val="ListBullet"/>
        <w:spacing w:after="60"/>
      </w:pPr>
      <w:r>
        <w:rPr>
          <w:b/>
          <w:sz w:val="19"/>
        </w:rPr>
        <w:t>The 60% threshold is a judgment call, not a derived number.</w:t>
      </w:r>
      <w:r>
        <w:rPr>
          <w:sz w:val="19"/>
        </w:rPr>
        <w:t xml:space="preserve"> The brief supplies only widely-spaced reference points (94/91/97% → suggest, 12% → flag). In production this would be tuned against a labelled sample of real mismatches. Note also that the explanatory comment above </w:t>
      </w:r>
      <w:r>
        <w:rPr>
          <w:rFonts w:ascii="Menlo" w:hAnsi="Menlo"/>
          <w:sz w:val="19"/>
        </w:rPr>
        <w:t>SUGGEST_THRESHOLD</w:t>
      </w:r>
      <w:r>
        <w:rPr>
          <w:sz w:val="19"/>
        </w:rPr>
        <w:t xml:space="preserve"> in </w:t>
      </w:r>
      <w:r>
        <w:rPr>
          <w:rFonts w:ascii="Menlo" w:hAnsi="Menlo"/>
          <w:sz w:val="19"/>
        </w:rPr>
        <w:t>services/ai/matching/campaignMatcher.js</w:t>
      </w:r>
      <w:r>
        <w:rPr>
          <w:sz w:val="19"/>
        </w:rPr>
        <w:t xml:space="preserve"> still discusses </w:t>
      </w:r>
      <w:r>
        <w:rPr>
          <w:i/>
          <w:sz w:val="19"/>
        </w:rPr>
        <w:t>70%</w:t>
      </w:r>
      <w:r>
        <w:rPr>
          <w:sz w:val="19"/>
        </w:rPr>
        <w:t xml:space="preserve"> while the constant is </w:t>
      </w:r>
      <w:r>
        <w:rPr>
          <w:rFonts w:ascii="Menlo" w:hAnsi="Menlo"/>
          <w:sz w:val="19"/>
        </w:rPr>
        <w:t>0.60</w:t>
      </w:r>
      <w:r>
        <w:rPr>
          <w:sz w:val="19"/>
        </w:rPr>
        <w:t xml:space="preserve"> — the comment is stale relative to the code and should be reconciled.</w:t>
      </w:r>
    </w:p>
    <w:p>
      <w:pPr>
        <w:pStyle w:val="ListBullet"/>
        <w:spacing w:after="60"/>
      </w:pPr>
      <w:r>
        <w:rPr>
          <w:b/>
          <w:sz w:val="19"/>
        </w:rPr>
        <w:t>Embedding versioning is deliberate but incomplete.</w:t>
      </w:r>
      <w:r>
        <w:rPr>
          <w:sz w:val="19"/>
        </w:rPr>
        <w:t xml:space="preserve"> </w:t>
      </w:r>
      <w:r>
        <w:rPr>
          <w:rFonts w:ascii="Menlo" w:hAnsi="Menlo"/>
          <w:sz w:val="19"/>
        </w:rPr>
        <w:t>embedClient</w:t>
      </w:r>
      <w:r>
        <w:rPr>
          <w:sz w:val="19"/>
        </w:rPr>
        <w:t xml:space="preserve"> exports </w:t>
      </w:r>
      <w:r>
        <w:rPr>
          <w:rFonts w:ascii="Menlo" w:hAnsi="Menlo"/>
          <w:sz w:val="19"/>
        </w:rPr>
        <w:t>modelName</w:t>
      </w:r>
      <w:r>
        <w:rPr>
          <w:sz w:val="19"/>
        </w:rPr>
        <w:t xml:space="preserve">, </w:t>
      </w:r>
      <w:r>
        <w:rPr>
          <w:rFonts w:ascii="Menlo" w:hAnsi="Menlo"/>
          <w:sz w:val="19"/>
        </w:rPr>
        <w:t>modelVersion</w:t>
      </w:r>
      <w:r>
        <w:rPr>
          <w:sz w:val="19"/>
        </w:rPr>
        <w:t xml:space="preserve">, </w:t>
      </w:r>
      <w:r>
        <w:rPr>
          <w:rFonts w:ascii="Menlo" w:hAnsi="Menlo"/>
          <w:sz w:val="19"/>
        </w:rPr>
        <w:t>normalizationVersion</w:t>
      </w:r>
      <w:r>
        <w:rPr>
          <w:sz w:val="19"/>
        </w:rPr>
        <w:t xml:space="preserve">, and </w:t>
      </w:r>
      <w:r>
        <w:rPr>
          <w:rFonts w:ascii="Menlo" w:hAnsi="Menlo"/>
          <w:sz w:val="19"/>
        </w:rPr>
        <w:t>embeddingSchemaVersion</w:t>
      </w:r>
      <w:r>
        <w:rPr>
          <w:sz w:val="19"/>
        </w:rPr>
        <w:t xml:space="preserve">, and the Chroma collection is named </w:t>
      </w:r>
      <w:r>
        <w:rPr>
          <w:rFonts w:ascii="Menlo" w:hAnsi="Menlo"/>
          <w:sz w:val="19"/>
        </w:rPr>
        <w:t>ingestion_runs_v1</w:t>
      </w:r>
      <w:r>
        <w:rPr>
          <w:sz w:val="19"/>
        </w:rPr>
        <w:t xml:space="preserve">, so changing the model means creating a new versioned collection and re-embedding rather than silently mixing vectors from two pipelines. The versioning </w:t>
      </w:r>
      <w:r>
        <w:rPr>
          <w:i/>
          <w:sz w:val="19"/>
        </w:rPr>
        <w:t>metadata</w:t>
      </w:r>
      <w:r>
        <w:rPr>
          <w:sz w:val="19"/>
        </w:rPr>
        <w:t xml:space="preserve"> exists; the </w:t>
      </w:r>
      <w:r>
        <w:rPr>
          <w:i/>
          <w:sz w:val="19"/>
        </w:rPr>
        <w:t>migration job</w:t>
      </w:r>
      <w:r>
        <w:rPr>
          <w:sz w:val="19"/>
        </w:rPr>
        <w:t xml:space="preserve"> that would use it does not yet.</w:t>
      </w:r>
    </w:p>
    <w:p>
      <w:pPr>
        <w:spacing w:before="40" w:after="40"/>
        <w:pBdr>
          <w:bottom w:val="single" w:sz="6" w:space="1" w:color="CCCCCC"/>
        </w:pBdr>
      </w:pPr>
    </w:p>
    <w:p>
      <w:pPr>
        <w:keepNext/>
        <w:spacing w:before="280" w:after="100"/>
      </w:pPr>
      <w:r>
        <w:rPr>
          <w:b/>
          <w:color w:val="C11B17"/>
          <w:sz w:val="28"/>
        </w:rPr>
        <w:t>8. State &amp; lifecycle</w:t>
      </w:r>
    </w:p>
    <w:p>
      <w:r>
        <w:rPr>
          <w:sz w:val="19"/>
        </w:rPr>
        <w:t>A job accumulates independent, differently-timed state on one record.</w:t>
      </w:r>
    </w:p>
    <w:p>
      <w:pPr>
        <w:jc w:val="center"/>
      </w:pPr>
      <w:r>
        <w:drawing>
          <wp:inline xmlns:a="http://schemas.openxmlformats.org/drawingml/2006/main" xmlns:pic="http://schemas.openxmlformats.org/drawingml/2006/picture">
            <wp:extent cx="4959563" cy="6556247"/>
            <wp:docPr id="8" name="Picture 8"/>
            <wp:cNvGraphicFramePr>
              <a:graphicFrameLocks noChangeAspect="1"/>
            </wp:cNvGraphicFramePr>
            <a:graphic>
              <a:graphicData uri="http://schemas.openxmlformats.org/drawingml/2006/picture">
                <pic:pic>
                  <pic:nvPicPr>
                    <pic:cNvPr id="0" name="fig8.png"/>
                    <pic:cNvPicPr/>
                  </pic:nvPicPr>
                  <pic:blipFill>
                    <a:blip r:embed="rId17"/>
                    <a:stretch>
                      <a:fillRect/>
                    </a:stretch>
                  </pic:blipFill>
                  <pic:spPr>
                    <a:xfrm>
                      <a:off x="0" y="0"/>
                      <a:ext cx="4959563" cy="6556247"/>
                    </a:xfrm>
                    <a:prstGeom prst="rect"/>
                  </pic:spPr>
                </pic:pic>
              </a:graphicData>
            </a:graphic>
          </wp:inline>
        </w:drawing>
      </w:r>
    </w:p>
    <w:p>
      <w:pPr>
        <w:spacing w:after="240"/>
        <w:jc w:val="center"/>
      </w:pPr>
      <w:r>
        <w:rPr>
          <w:i/>
          <w:color w:val="5A5A5A"/>
          <w:sz w:val="17"/>
        </w:rPr>
        <w:t>Figure 8 — Job lifecycle: independent, differently-timed state</w:t>
      </w:r>
    </w:p>
    <w:p>
      <w:r>
        <w:rPr>
          <w:b/>
          <w:sz w:val="19"/>
        </w:rPr>
        <w:t>Why the frontend runs three separate polling loops</w:t>
      </w:r>
      <w:r>
        <w:rPr>
          <w:sz w:val="19"/>
        </w:rPr>
        <w:t xml:space="preserve"> (</w:t>
      </w:r>
      <w:r>
        <w:rPr>
          <w:rFonts w:ascii="Menlo" w:hAnsi="Menlo"/>
          <w:sz w:val="19"/>
        </w:rPr>
        <w:t>pollJob</w:t>
      </w:r>
      <w:r>
        <w:rPr>
          <w:sz w:val="19"/>
        </w:rPr>
        <w:t xml:space="preserve">, </w:t>
      </w:r>
      <w:r>
        <w:rPr>
          <w:rFonts w:ascii="Menlo" w:hAnsi="Menlo"/>
          <w:sz w:val="19"/>
        </w:rPr>
        <w:t>pollPushStatus</w:t>
      </w:r>
      <w:r>
        <w:rPr>
          <w:sz w:val="19"/>
        </w:rPr>
        <w:t xml:space="preserve">, </w:t>
      </w:r>
      <w:r>
        <w:rPr>
          <w:rFonts w:ascii="Menlo" w:hAnsi="Menlo"/>
          <w:sz w:val="19"/>
        </w:rPr>
        <w:t>pollIngestionStatus</w:t>
      </w:r>
      <w:r>
        <w:rPr>
          <w:sz w:val="19"/>
        </w:rPr>
        <w:t xml:space="preserve">) rather than one: </w:t>
      </w:r>
      <w:r>
        <w:rPr>
          <w:rFonts w:ascii="Menlo" w:hAnsi="Menlo"/>
          <w:sz w:val="19"/>
        </w:rPr>
        <w:t>status</w:t>
      </w:r>
      <w:r>
        <w:rPr>
          <w:sz w:val="19"/>
        </w:rPr>
        <w:t xml:space="preserve">, </w:t>
      </w:r>
      <w:r>
        <w:rPr>
          <w:rFonts w:ascii="Menlo" w:hAnsi="Menlo"/>
          <w:sz w:val="19"/>
        </w:rPr>
        <w:t>pushStatus</w:t>
      </w:r>
      <w:r>
        <w:rPr>
          <w:sz w:val="19"/>
        </w:rPr>
        <w:t xml:space="preserve">, and </w:t>
      </w:r>
      <w:r>
        <w:rPr>
          <w:rFonts w:ascii="Menlo" w:hAnsi="Menlo"/>
          <w:sz w:val="19"/>
        </w:rPr>
        <w:t>ingestionStatus</w:t>
      </w:r>
      <w:r>
        <w:rPr>
          <w:sz w:val="19"/>
        </w:rPr>
        <w:t xml:space="preserve"> are independent fields settling at independent times. A single loop would either poll too aggressively for the slow field or report the fast one late.</w:t>
      </w:r>
    </w:p>
    <w:p>
      <w:r>
        <w:rPr>
          <w:b/>
          <w:sz w:val="19"/>
        </w:rPr>
        <w:t>Idempotency is proven end-to-end, not just at the edge.</w:t>
      </w:r>
      <w:r>
        <w:rPr>
          <w:sz w:val="19"/>
        </w:rPr>
        <w:t xml:space="preserve"> </w:t>
      </w:r>
      <w:r>
        <w:rPr>
          <w:rFonts w:ascii="Menlo" w:hAnsi="Menlo"/>
          <w:sz w:val="19"/>
        </w:rPr>
        <w:t>fileHash + uploadDate</w:t>
      </w:r>
      <w:r>
        <w:rPr>
          <w:sz w:val="19"/>
        </w:rPr>
        <w:t xml:space="preserve"> deduplicates the upload </w:t>
      </w:r>
      <w:r>
        <w:rPr>
          <w:i/>
          <w:sz w:val="19"/>
        </w:rPr>
        <w:t>and</w:t>
      </w:r>
      <w:r>
        <w:rPr>
          <w:sz w:val="19"/>
        </w:rPr>
        <w:t xml:space="preserve"> is reused as the Databricks ingestion idempotency key — the same concept holds at both ends of the pipeline, so the pattern is validated rather than asserted.</w:t>
      </w:r>
    </w:p>
    <w:p>
      <w:pPr>
        <w:spacing w:before="40" w:after="40"/>
        <w:pBdr>
          <w:bottom w:val="single" w:sz="6" w:space="1" w:color="CCCCCC"/>
        </w:pBdr>
      </w:pPr>
    </w:p>
    <w:p>
      <w:pPr>
        <w:keepNext/>
        <w:spacing w:before="280" w:after="100"/>
      </w:pPr>
      <w:r>
        <w:rPr>
          <w:b/>
          <w:color w:val="C11B17"/>
          <w:sz w:val="28"/>
        </w:rPr>
        <w:t>9. Security architecture</w:t>
      </w:r>
    </w:p>
    <w:p>
      <w:pPr>
        <w:jc w:val="center"/>
      </w:pPr>
      <w:r>
        <w:drawing>
          <wp:inline xmlns:a="http://schemas.openxmlformats.org/drawingml/2006/main" xmlns:pic="http://schemas.openxmlformats.org/drawingml/2006/picture">
            <wp:extent cx="3370542" cy="6556248"/>
            <wp:docPr id="9" name="Picture 9"/>
            <wp:cNvGraphicFramePr>
              <a:graphicFrameLocks noChangeAspect="1"/>
            </wp:cNvGraphicFramePr>
            <a:graphic>
              <a:graphicData uri="http://schemas.openxmlformats.org/drawingml/2006/picture">
                <pic:pic>
                  <pic:nvPicPr>
                    <pic:cNvPr id="0" name="fig9.png"/>
                    <pic:cNvPicPr/>
                  </pic:nvPicPr>
                  <pic:blipFill>
                    <a:blip r:embed="rId18"/>
                    <a:stretch>
                      <a:fillRect/>
                    </a:stretch>
                  </pic:blipFill>
                  <pic:spPr>
                    <a:xfrm>
                      <a:off x="0" y="0"/>
                      <a:ext cx="3370542" cy="6556248"/>
                    </a:xfrm>
                    <a:prstGeom prst="rect"/>
                  </pic:spPr>
                </pic:pic>
              </a:graphicData>
            </a:graphic>
          </wp:inline>
        </w:drawing>
      </w:r>
    </w:p>
    <w:p>
      <w:pPr>
        <w:spacing w:after="240"/>
        <w:jc w:val="center"/>
      </w:pPr>
      <w:r>
        <w:rPr>
          <w:i/>
          <w:color w:val="5A5A5A"/>
          <w:sz w:val="17"/>
        </w:rPr>
        <w:t>Figure 9 — Security architecture: the trust boundary and identity flow</w:t>
      </w:r>
    </w:p>
    <w:tbl>
      <w:tblPr>
        <w:tblStyle w:val="TableGrid"/>
        <w:tblW w:type="auto" w:w="0"/>
        <w:jc w:val="center"/>
        <w:tblLook w:firstColumn="1" w:firstRow="1" w:lastColumn="0" w:lastRow="0" w:noHBand="0" w:noVBand="1" w:val="04A0"/>
      </w:tblPr>
      <w:tblGrid>
        <w:gridCol w:w="5035"/>
        <w:gridCol w:w="5035"/>
        <w:gridCol w:w="5035"/>
      </w:tblGrid>
      <w:tr>
        <w:tc>
          <w:tcPr>
            <w:tcW w:type="dxa" w:w="5035"/>
            <w:shd w:val="clear" w:fill="F2F2F2"/>
          </w:tcPr>
          <w:p>
            <w:pPr>
              <w:spacing w:after="20"/>
            </w:pPr>
            <w:r>
              <w:rPr>
                <w:b/>
              </w:rPr>
            </w:r>
            <w:r>
              <w:rPr>
                <w:b/>
                <w:sz w:val="18"/>
              </w:rPr>
              <w:t>Control</w:t>
            </w:r>
          </w:p>
        </w:tc>
        <w:tc>
          <w:tcPr>
            <w:tcW w:type="dxa" w:w="5035"/>
            <w:shd w:val="clear" w:fill="F2F2F2"/>
          </w:tcPr>
          <w:p>
            <w:pPr>
              <w:spacing w:after="20"/>
            </w:pPr>
            <w:r>
              <w:rPr>
                <w:b/>
              </w:rPr>
            </w:r>
            <w:r>
              <w:rPr>
                <w:b/>
                <w:sz w:val="18"/>
              </w:rPr>
              <w:t>Decision</w:t>
            </w:r>
          </w:p>
        </w:tc>
        <w:tc>
          <w:tcPr>
            <w:tcW w:type="dxa" w:w="5035"/>
            <w:shd w:val="clear" w:fill="F2F2F2"/>
          </w:tcPr>
          <w:p>
            <w:pPr>
              <w:spacing w:after="20"/>
            </w:pPr>
            <w:r>
              <w:rPr>
                <w:b/>
              </w:rPr>
            </w:r>
            <w:r>
              <w:rPr>
                <w:b/>
                <w:sz w:val="18"/>
              </w:rPr>
              <w:t>Why this way</w:t>
            </w:r>
          </w:p>
        </w:tc>
      </w:tr>
      <w:tr>
        <w:tc>
          <w:tcPr>
            <w:tcW w:type="dxa" w:w="5035"/>
          </w:tcPr>
          <w:p>
            <w:pPr>
              <w:spacing w:after="20"/>
            </w:pPr>
            <w:r>
              <w:rPr>
                <w:sz w:val="17"/>
              </w:rPr>
              <w:t>Session transport</w:t>
            </w:r>
          </w:p>
        </w:tc>
        <w:tc>
          <w:tcPr>
            <w:tcW w:type="dxa" w:w="5035"/>
          </w:tcPr>
          <w:p>
            <w:pPr>
              <w:spacing w:after="20"/>
            </w:pPr>
            <w:r>
              <w:rPr>
                <w:rFonts w:ascii="Menlo" w:hAnsi="Menlo"/>
                <w:sz w:val="17"/>
              </w:rPr>
              <w:t>httpOnly</w:t>
            </w:r>
            <w:r>
              <w:rPr>
                <w:sz w:val="17"/>
              </w:rPr>
              <w:t xml:space="preserve"> cookie, </w:t>
            </w:r>
            <w:r>
              <w:rPr>
                <w:b/>
                <w:sz w:val="17"/>
              </w:rPr>
              <w:t>not</w:t>
            </w:r>
            <w:r>
              <w:rPr>
                <w:sz w:val="17"/>
              </w:rPr>
              <w:t xml:space="preserve"> </w:t>
            </w:r>
            <w:r>
              <w:rPr>
                <w:rFonts w:ascii="Menlo" w:hAnsi="Menlo"/>
                <w:sz w:val="17"/>
              </w:rPr>
              <w:t>localStorage</w:t>
            </w:r>
          </w:p>
        </w:tc>
        <w:tc>
          <w:tcPr>
            <w:tcW w:type="dxa" w:w="5035"/>
          </w:tcPr>
          <w:p>
            <w:pPr>
              <w:spacing w:after="20"/>
            </w:pPr>
            <w:r>
              <w:rPr>
                <w:sz w:val="17"/>
              </w:rPr>
              <w:t xml:space="preserve">A token in </w:t>
            </w:r>
            <w:r>
              <w:rPr>
                <w:rFonts w:ascii="Menlo" w:hAnsi="Menlo"/>
                <w:sz w:val="17"/>
              </w:rPr>
              <w:t>localStorage</w:t>
            </w:r>
            <w:r>
              <w:rPr>
                <w:sz w:val="17"/>
              </w:rPr>
              <w:t xml:space="preserve"> is readable by any script on the page, including a compromised third-party dependency — one XSS becomes full session theft. An </w:t>
            </w:r>
            <w:r>
              <w:rPr>
                <w:rFonts w:ascii="Menlo" w:hAnsi="Menlo"/>
                <w:sz w:val="17"/>
              </w:rPr>
              <w:t>httpOnly</w:t>
            </w:r>
            <w:r>
              <w:rPr>
                <w:sz w:val="17"/>
              </w:rPr>
              <w:t xml:space="preserve"> cookie is unreachable from JS entirely</w:t>
            </w:r>
          </w:p>
        </w:tc>
      </w:tr>
      <w:tr>
        <w:tc>
          <w:tcPr>
            <w:tcW w:type="dxa" w:w="5035"/>
          </w:tcPr>
          <w:p>
            <w:pPr>
              <w:spacing w:after="20"/>
            </w:pPr>
            <w:r>
              <w:rPr>
                <w:sz w:val="17"/>
              </w:rPr>
              <w:t>CSRF</w:t>
            </w:r>
          </w:p>
        </w:tc>
        <w:tc>
          <w:tcPr>
            <w:tcW w:type="dxa" w:w="5035"/>
          </w:tcPr>
          <w:p>
            <w:pPr>
              <w:spacing w:after="20"/>
            </w:pPr>
            <w:r>
              <w:rPr>
                <w:rFonts w:ascii="Menlo" w:hAnsi="Menlo"/>
                <w:sz w:val="17"/>
              </w:rPr>
              <w:t>SameSite=Lax</w:t>
            </w:r>
            <w:r>
              <w:rPr>
                <w:sz w:val="17"/>
              </w:rPr>
              <w:t>, no separate token</w:t>
            </w:r>
          </w:p>
        </w:tc>
        <w:tc>
          <w:tcPr>
            <w:tcW w:type="dxa" w:w="5035"/>
          </w:tcPr>
          <w:p>
            <w:pPr>
              <w:spacing w:after="20"/>
            </w:pPr>
            <w:r>
              <w:rPr>
                <w:rFonts w:ascii="Menlo" w:hAnsi="Menlo"/>
                <w:sz w:val="17"/>
              </w:rPr>
              <w:t>localhost:5173</w:t>
            </w:r>
            <w:r>
              <w:rPr>
                <w:sz w:val="17"/>
              </w:rPr>
              <w:t xml:space="preserve"> and </w:t>
            </w:r>
            <w:r>
              <w:rPr>
                <w:rFonts w:ascii="Menlo" w:hAnsi="Menlo"/>
                <w:sz w:val="17"/>
              </w:rPr>
              <w:t>:3000</w:t>
            </w:r>
            <w:r>
              <w:rPr>
                <w:sz w:val="17"/>
              </w:rPr>
              <w:t xml:space="preserve"> are same-site (SameSite compares registrable domain, not port), so the SPA's own fetches carry the cookie — but Lax refuses to attach it to a cross-site state-changing request, which is exactly the CSRF request shape. A double-submit token becomes worthwhile only if the SPA and API move to genuinely different sites</w:t>
            </w:r>
          </w:p>
        </w:tc>
      </w:tr>
      <w:tr>
        <w:tc>
          <w:tcPr>
            <w:tcW w:type="dxa" w:w="5035"/>
          </w:tcPr>
          <w:p>
            <w:pPr>
              <w:spacing w:after="20"/>
            </w:pPr>
            <w:r>
              <w:rPr>
                <w:sz w:val="17"/>
              </w:rPr>
              <w:t>Passwords</w:t>
            </w:r>
          </w:p>
        </w:tc>
        <w:tc>
          <w:tcPr>
            <w:tcW w:type="dxa" w:w="5035"/>
          </w:tcPr>
          <w:p>
            <w:pPr>
              <w:spacing w:after="20"/>
            </w:pPr>
            <w:r>
              <w:rPr>
                <w:sz w:val="17"/>
              </w:rPr>
              <w:t>bcrypt hashed, never compared in plaintext</w:t>
            </w:r>
          </w:p>
        </w:tc>
        <w:tc>
          <w:tcPr>
            <w:tcW w:type="dxa" w:w="5035"/>
          </w:tcPr>
          <w:p>
            <w:pPr>
              <w:spacing w:after="20"/>
            </w:pPr>
            <w:r>
              <w:rPr>
                <w:sz w:val="17"/>
              </w:rPr>
              <w:t xml:space="preserve">Accounts are seeded demo users rather than self-registered — a prototype shortcut on </w:t>
            </w:r>
            <w:r>
              <w:rPr>
                <w:i/>
                <w:sz w:val="17"/>
              </w:rPr>
              <w:t>provisioning</w:t>
            </w:r>
            <w:r>
              <w:rPr>
                <w:sz w:val="17"/>
              </w:rPr>
              <w:t xml:space="preserve">, deliberately not on </w:t>
            </w:r>
            <w:r>
              <w:rPr>
                <w:i/>
                <w:sz w:val="17"/>
              </w:rPr>
              <w:t>storage</w:t>
            </w:r>
          </w:p>
        </w:tc>
      </w:tr>
      <w:tr>
        <w:tc>
          <w:tcPr>
            <w:tcW w:type="dxa" w:w="5035"/>
          </w:tcPr>
          <w:p>
            <w:pPr>
              <w:spacing w:after="20"/>
            </w:pPr>
            <w:r>
              <w:rPr>
                <w:sz w:val="17"/>
              </w:rPr>
              <w:t>JWT secret</w:t>
            </w:r>
          </w:p>
        </w:tc>
        <w:tc>
          <w:tcPr>
            <w:tcW w:type="dxa" w:w="5035"/>
          </w:tcPr>
          <w:p>
            <w:pPr>
              <w:spacing w:after="20"/>
            </w:pPr>
            <w:r>
              <w:rPr>
                <w:rFonts w:ascii="Menlo" w:hAnsi="Menlo"/>
                <w:sz w:val="17"/>
              </w:rPr>
              <w:t>process.env.JWT_SECRET</w:t>
            </w:r>
            <w:r>
              <w:rPr>
                <w:sz w:val="17"/>
              </w:rPr>
              <w:t>; if unset, a random per-process secret plus a loud warning</w:t>
            </w:r>
          </w:p>
        </w:tc>
        <w:tc>
          <w:tcPr>
            <w:tcW w:type="dxa" w:w="5035"/>
          </w:tcPr>
          <w:p>
            <w:pPr>
              <w:spacing w:after="20"/>
            </w:pPr>
            <w:r>
              <w:rPr>
                <w:sz w:val="17"/>
              </w:rPr>
              <w:t>The failure mode is safe (sessions reset on restart) rather than silent (signing with a secret anyone reading the source also knows)</w:t>
            </w:r>
          </w:p>
        </w:tc>
      </w:tr>
      <w:tr>
        <w:tc>
          <w:tcPr>
            <w:tcW w:type="dxa" w:w="5035"/>
          </w:tcPr>
          <w:p>
            <w:pPr>
              <w:spacing w:after="20"/>
            </w:pPr>
            <w:r>
              <w:rPr>
                <w:sz w:val="17"/>
              </w:rPr>
              <w:t>Audit actor</w:t>
            </w:r>
          </w:p>
        </w:tc>
        <w:tc>
          <w:tcPr>
            <w:tcW w:type="dxa" w:w="5035"/>
          </w:tcPr>
          <w:p>
            <w:pPr>
              <w:spacing w:after="20"/>
            </w:pPr>
            <w:r>
              <w:rPr>
                <w:sz w:val="17"/>
              </w:rPr>
              <w:t xml:space="preserve">Always </w:t>
            </w:r>
            <w:r>
              <w:rPr>
                <w:rFonts w:ascii="Menlo" w:hAnsi="Menlo"/>
                <w:sz w:val="17"/>
              </w:rPr>
              <w:t>req.user.username</w:t>
            </w:r>
          </w:p>
        </w:tc>
        <w:tc>
          <w:tcPr>
            <w:tcW w:type="dxa" w:w="5035"/>
          </w:tcPr>
          <w:p>
            <w:pPr>
              <w:spacing w:after="20"/>
            </w:pPr>
            <w:r>
              <w:rPr>
                <w:sz w:val="17"/>
              </w:rPr>
              <w:t xml:space="preserve">Both </w:t>
            </w:r>
            <w:r>
              <w:rPr>
                <w:rFonts w:ascii="Menlo" w:hAnsi="Menlo"/>
                <w:sz w:val="17"/>
              </w:rPr>
              <w:t>/approve</w:t>
            </w:r>
            <w:r>
              <w:rPr>
                <w:sz w:val="17"/>
              </w:rPr>
              <w:t xml:space="preserve"> and the Databricks retry endpoint previously accepted a free-text </w:t>
            </w:r>
            <w:r>
              <w:rPr>
                <w:rFonts w:ascii="Menlo" w:hAnsi="Menlo"/>
                <w:sz w:val="17"/>
              </w:rPr>
              <w:t>reviewer</w:t>
            </w:r>
            <w:r>
              <w:rPr>
                <w:sz w:val="17"/>
              </w:rPr>
              <w:t xml:space="preserve"> field and logged </w:t>
            </w:r>
            <w:r>
              <w:rPr>
                <w:i/>
                <w:sz w:val="17"/>
              </w:rPr>
              <w:t>that</w:t>
            </w:r>
            <w:r>
              <w:rPr>
                <w:sz w:val="17"/>
              </w:rPr>
              <w:t xml:space="preserve"> — trivially spoofable. An audit log that trusts client input for "who did this" is not an audit log</w:t>
            </w:r>
          </w:p>
        </w:tc>
      </w:tr>
    </w:tbl>
    <w:p>
      <w:pPr>
        <w:spacing w:after="40"/>
      </w:pPr>
    </w:p>
    <w:p>
      <w:pPr>
        <w:keepNext/>
        <w:spacing w:before="160" w:after="100"/>
      </w:pPr>
      <w:r>
        <w:rPr>
          <w:b/>
          <w:color w:val="222222"/>
          <w:sz w:val="23"/>
        </w:rPr>
        <w:t>Role → route matrix</w:t>
      </w:r>
    </w:p>
    <w:tbl>
      <w:tblPr>
        <w:tblStyle w:val="TableGrid"/>
        <w:tblW w:type="auto" w:w="0"/>
        <w:jc w:val="center"/>
        <w:tblLook w:firstColumn="1" w:firstRow="1" w:lastColumn="0" w:lastRow="0" w:noHBand="0" w:noVBand="1" w:val="04A0"/>
      </w:tblPr>
      <w:tblGrid>
        <w:gridCol w:w="5035"/>
        <w:gridCol w:w="5035"/>
        <w:gridCol w:w="5035"/>
      </w:tblGrid>
      <w:tr>
        <w:tc>
          <w:tcPr>
            <w:tcW w:type="dxa" w:w="5035"/>
            <w:shd w:val="clear" w:fill="F2F2F2"/>
          </w:tcPr>
          <w:p>
            <w:pPr>
              <w:spacing w:after="20"/>
            </w:pPr>
            <w:r>
              <w:rPr>
                <w:b/>
              </w:rPr>
            </w:r>
            <w:r>
              <w:rPr>
                <w:b/>
                <w:sz w:val="18"/>
              </w:rPr>
              <w:t>Route(s)</w:t>
            </w:r>
          </w:p>
        </w:tc>
        <w:tc>
          <w:tcPr>
            <w:tcW w:type="dxa" w:w="5035"/>
            <w:shd w:val="clear" w:fill="F2F2F2"/>
          </w:tcPr>
          <w:p>
            <w:pPr>
              <w:spacing w:after="20"/>
            </w:pPr>
            <w:r>
              <w:rPr>
                <w:b/>
              </w:rPr>
            </w:r>
            <w:r>
              <w:rPr>
                <w:b/>
                <w:sz w:val="18"/>
              </w:rPr>
              <w:t>Role</w:t>
            </w:r>
          </w:p>
        </w:tc>
        <w:tc>
          <w:tcPr>
            <w:tcW w:type="dxa" w:w="5035"/>
            <w:shd w:val="clear" w:fill="F2F2F2"/>
          </w:tcPr>
          <w:p>
            <w:pPr>
              <w:spacing w:after="20"/>
            </w:pPr>
            <w:r>
              <w:rPr>
                <w:b/>
              </w:rPr>
            </w:r>
            <w:r>
              <w:rPr>
                <w:b/>
                <w:sz w:val="18"/>
              </w:rPr>
              <w:t>Rationale</w:t>
            </w:r>
          </w:p>
        </w:tc>
      </w:tr>
      <w:tr>
        <w:tc>
          <w:tcPr>
            <w:tcW w:type="dxa" w:w="5035"/>
          </w:tcPr>
          <w:p>
            <w:pPr>
              <w:spacing w:after="20"/>
            </w:pPr>
            <w:r>
              <w:rPr>
                <w:rFonts w:ascii="Menlo" w:hAnsi="Menlo"/>
                <w:sz w:val="17"/>
              </w:rPr>
              <w:t>POST /auth/login</w:t>
            </w:r>
          </w:p>
        </w:tc>
        <w:tc>
          <w:tcPr>
            <w:tcW w:type="dxa" w:w="5035"/>
          </w:tcPr>
          <w:p>
            <w:pPr>
              <w:spacing w:after="20"/>
            </w:pPr>
            <w:r>
              <w:rPr>
                <w:sz w:val="17"/>
              </w:rPr>
              <w:t>public</w:t>
            </w:r>
          </w:p>
        </w:tc>
        <w:tc>
          <w:tcPr>
            <w:tcW w:type="dxa" w:w="5035"/>
          </w:tcPr>
          <w:p>
            <w:pPr>
              <w:spacing w:after="20"/>
            </w:pPr>
            <w:r>
              <w:rPr>
                <w:sz w:val="17"/>
              </w:rPr>
              <w:t>must be reachable while logged out</w:t>
            </w:r>
          </w:p>
        </w:tc>
      </w:tr>
      <w:tr>
        <w:tc>
          <w:tcPr>
            <w:tcW w:type="dxa" w:w="5035"/>
          </w:tcPr>
          <w:p>
            <w:pPr>
              <w:spacing w:after="20"/>
            </w:pPr>
            <w:r>
              <w:rPr>
                <w:rFonts w:ascii="Menlo" w:hAnsi="Menlo"/>
                <w:sz w:val="17"/>
              </w:rPr>
              <w:t>GET /validation</w:t>
            </w:r>
            <w:r>
              <w:rPr>
                <w:sz w:val="17"/>
              </w:rPr>
              <w:t xml:space="preserve">, </w:t>
            </w:r>
            <w:r>
              <w:rPr>
                <w:rFonts w:ascii="Menlo" w:hAnsi="Menlo"/>
                <w:sz w:val="17"/>
              </w:rPr>
              <w:t>/reconciliation</w:t>
            </w:r>
            <w:r>
              <w:rPr>
                <w:sz w:val="17"/>
              </w:rPr>
              <w:t xml:space="preserve">, </w:t>
            </w:r>
            <w:r>
              <w:rPr>
                <w:rFonts w:ascii="Menlo" w:hAnsi="Menlo"/>
                <w:sz w:val="17"/>
              </w:rPr>
              <w:t>/pipeline-status</w:t>
            </w:r>
            <w:r>
              <w:rPr>
                <w:sz w:val="17"/>
              </w:rPr>
              <w:t xml:space="preserve">, </w:t>
            </w:r>
            <w:r>
              <w:rPr>
                <w:rFonts w:ascii="Menlo" w:hAnsi="Menlo"/>
                <w:sz w:val="17"/>
              </w:rPr>
              <w:t>/dashboard</w:t>
            </w:r>
            <w:r>
              <w:rPr>
                <w:sz w:val="17"/>
              </w:rPr>
              <w:t xml:space="preserve">, </w:t>
            </w:r>
            <w:r>
              <w:rPr>
                <w:rFonts w:ascii="Menlo" w:hAnsi="Menlo"/>
                <w:sz w:val="17"/>
              </w:rPr>
              <w:t>POST /assistant/query</w:t>
            </w:r>
          </w:p>
        </w:tc>
        <w:tc>
          <w:tcPr>
            <w:tcW w:type="dxa" w:w="5035"/>
          </w:tcPr>
          <w:p>
            <w:pPr>
              <w:spacing w:after="20"/>
            </w:pPr>
            <w:r>
              <w:rPr>
                <w:sz w:val="17"/>
              </w:rPr>
              <w:t>any authenticated</w:t>
            </w:r>
          </w:p>
        </w:tc>
        <w:tc>
          <w:tcPr>
            <w:tcW w:type="dxa" w:w="5035"/>
          </w:tcPr>
          <w:p>
            <w:pPr>
              <w:spacing w:after="20"/>
            </w:pPr>
            <w:r>
              <w:rPr>
                <w:sz w:val="17"/>
              </w:rPr>
              <w:t>read-only visibility; every role needs run history to do its part</w:t>
            </w:r>
          </w:p>
        </w:tc>
      </w:tr>
      <w:tr>
        <w:tc>
          <w:tcPr>
            <w:tcW w:type="dxa" w:w="5035"/>
          </w:tcPr>
          <w:p>
            <w:pPr>
              <w:spacing w:after="20"/>
            </w:pPr>
            <w:r>
              <w:rPr>
                <w:rFonts w:ascii="Menlo" w:hAnsi="Menlo"/>
                <w:sz w:val="17"/>
              </w:rPr>
              <w:t>POST /upload</w:t>
            </w:r>
          </w:p>
        </w:tc>
        <w:tc>
          <w:tcPr>
            <w:tcW w:type="dxa" w:w="5035"/>
          </w:tcPr>
          <w:p>
            <w:pPr>
              <w:spacing w:after="20"/>
            </w:pPr>
            <w:r>
              <w:rPr>
                <w:sz w:val="17"/>
              </w:rPr>
              <w:t>uploader, admin</w:t>
            </w:r>
          </w:p>
        </w:tc>
        <w:tc>
          <w:tcPr>
            <w:tcW w:type="dxa" w:w="5035"/>
          </w:tcPr>
          <w:p>
            <w:pPr>
              <w:spacing w:after="20"/>
            </w:pPr>
            <w:r>
              <w:rPr>
                <w:sz w:val="17"/>
              </w:rPr>
              <w:t>only these roles start a new run</w:t>
            </w:r>
          </w:p>
        </w:tc>
      </w:tr>
      <w:tr>
        <w:tc>
          <w:tcPr>
            <w:tcW w:type="dxa" w:w="5035"/>
          </w:tcPr>
          <w:p>
            <w:pPr>
              <w:spacing w:after="20"/>
            </w:pPr>
            <w:r>
              <w:rPr>
                <w:rFonts w:ascii="Menlo" w:hAnsi="Menlo"/>
                <w:sz w:val="17"/>
              </w:rPr>
              <w:t>POST /approve</w:t>
            </w:r>
            <w:r>
              <w:rPr>
                <w:sz w:val="17"/>
              </w:rPr>
              <w:t xml:space="preserve">, </w:t>
            </w:r>
            <w:r>
              <w:rPr>
                <w:rFonts w:ascii="Menlo" w:hAnsi="Menlo"/>
                <w:sz w:val="17"/>
              </w:rPr>
              <w:t>POST /databricks/:id/retry</w:t>
            </w:r>
          </w:p>
        </w:tc>
        <w:tc>
          <w:tcPr>
            <w:tcW w:type="dxa" w:w="5035"/>
          </w:tcPr>
          <w:p>
            <w:pPr>
              <w:spacing w:after="20"/>
            </w:pPr>
            <w:r>
              <w:rPr>
                <w:sz w:val="17"/>
              </w:rPr>
              <w:t>approver, admin</w:t>
            </w:r>
          </w:p>
        </w:tc>
        <w:tc>
          <w:tcPr>
            <w:tcW w:type="dxa" w:w="5035"/>
          </w:tcPr>
          <w:p>
            <w:pPr>
              <w:spacing w:after="20"/>
            </w:pPr>
            <w:r>
              <w:rPr>
                <w:sz w:val="17"/>
              </w:rPr>
              <w:t>the "commits changes" surface</w:t>
            </w:r>
          </w:p>
        </w:tc>
      </w:tr>
      <w:tr>
        <w:tc>
          <w:tcPr>
            <w:tcW w:type="dxa" w:w="5035"/>
          </w:tcPr>
          <w:p>
            <w:pPr>
              <w:spacing w:after="20"/>
            </w:pPr>
            <w:r>
              <w:rPr>
                <w:rFonts w:ascii="Menlo" w:hAnsi="Menlo"/>
                <w:sz w:val="17"/>
              </w:rPr>
              <w:t>/schedules*</w:t>
            </w:r>
            <w:r>
              <w:rPr>
                <w:sz w:val="17"/>
              </w:rPr>
              <w:t xml:space="preserve">, </w:t>
            </w:r>
            <w:r>
              <w:rPr>
                <w:rFonts w:ascii="Menlo" w:hAnsi="Menlo"/>
                <w:sz w:val="17"/>
              </w:rPr>
              <w:t>GET /audit</w:t>
            </w:r>
          </w:p>
        </w:tc>
        <w:tc>
          <w:tcPr>
            <w:tcW w:type="dxa" w:w="5035"/>
          </w:tcPr>
          <w:p>
            <w:pPr>
              <w:spacing w:after="20"/>
            </w:pPr>
            <w:r>
              <w:rPr>
                <w:sz w:val="17"/>
              </w:rPr>
              <w:t>admin</w:t>
            </w:r>
          </w:p>
        </w:tc>
        <w:tc>
          <w:tcPr>
            <w:tcW w:type="dxa" w:w="5035"/>
          </w:tcPr>
          <w:p>
            <w:pPr>
              <w:spacing w:after="20"/>
            </w:pPr>
            <w:r>
              <w:rPr>
                <w:sz w:val="17"/>
              </w:rPr>
              <w:t>operational and administrative concerns</w:t>
            </w:r>
          </w:p>
        </w:tc>
      </w:tr>
    </w:tbl>
    <w:p>
      <w:pPr>
        <w:spacing w:after="40"/>
      </w:pPr>
    </w:p>
    <w:p>
      <w:r>
        <w:rPr>
          <w:b/>
          <w:sz w:val="19"/>
        </w:rPr>
        <w:t>Known gap, stated rather than hidden:</w:t>
      </w:r>
      <w:r>
        <w:rPr>
          <w:sz w:val="19"/>
        </w:rPr>
        <w:t xml:space="preserve"> job visibility is </w:t>
      </w:r>
      <w:r>
        <w:rPr>
          <w:b/>
          <w:sz w:val="19"/>
        </w:rPr>
        <w:t>role-based, not ownership-based</w:t>
      </w:r>
      <w:r>
        <w:rPr>
          <w:sz w:val="19"/>
        </w:rPr>
        <w:t xml:space="preserve">. A job record has no </w:t>
      </w:r>
      <w:r>
        <w:rPr>
          <w:rFonts w:ascii="Menlo" w:hAnsi="Menlo"/>
          <w:sz w:val="19"/>
        </w:rPr>
        <w:t>uploadedBy</w:t>
      </w:r>
      <w:r>
        <w:rPr>
          <w:sz w:val="19"/>
        </w:rPr>
        <w:t xml:space="preserve"> field and </w:t>
      </w:r>
      <w:r>
        <w:rPr>
          <w:rFonts w:ascii="Menlo" w:hAnsi="Menlo"/>
          <w:sz w:val="19"/>
        </w:rPr>
        <w:t>GET /validation/:jobId</w:t>
      </w:r>
      <w:r>
        <w:rPr>
          <w:sz w:val="19"/>
        </w:rPr>
        <w:t xml:space="preserve"> has no ownership check beyond </w:t>
      </w:r>
      <w:r>
        <w:rPr>
          <w:rFonts w:ascii="Menlo" w:hAnsi="Menlo"/>
          <w:sz w:val="19"/>
        </w:rPr>
        <w:t>requireAuth</w:t>
      </w:r>
      <w:r>
        <w:rPr>
          <w:sz w:val="19"/>
        </w:rPr>
        <w:t xml:space="preserve">, so any authenticated role can view any job by ID and any approver can approve any job. That is intentional — approval is a role capability, not an ownership one — but it also means there is no "my uploads" filter and no per-job access control today. Relatedly, cross-session handoff from uploader to approver currently rides on </w:t>
      </w:r>
      <w:r>
        <w:rPr>
          <w:rFonts w:ascii="Menlo" w:hAnsi="Menlo"/>
          <w:sz w:val="19"/>
        </w:rPr>
        <w:t>sessionStorage.activeJobId</w:t>
      </w:r>
      <w:r>
        <w:rPr>
          <w:sz w:val="19"/>
        </w:rPr>
        <w:t>, which survives a logout/login in the same browser tab but not a new tab or device. The production replacement is a durable jobs table queried by a real pending-review endpoint (</w:t>
      </w:r>
      <w:r>
        <w:rPr>
          <w:rFonts w:ascii="Menlo" w:hAnsi="Menlo"/>
          <w:sz w:val="19"/>
        </w:rPr>
        <w:t>GET /jobs?status=complete&amp;approved=false</w:t>
      </w:r>
      <w:r>
        <w:rPr>
          <w:sz w:val="19"/>
        </w:rPr>
        <w:t>).</w:t>
      </w:r>
    </w:p>
    <w:p>
      <w:pPr>
        <w:spacing w:before="40" w:after="40"/>
        <w:pBdr>
          <w:bottom w:val="single" w:sz="6" w:space="1" w:color="CCCCCC"/>
        </w:pBdr>
      </w:pPr>
    </w:p>
    <w:p>
      <w:pPr>
        <w:keepNext/>
        <w:spacing w:before="280" w:after="100"/>
      </w:pPr>
      <w:r>
        <w:rPr>
          <w:b/>
          <w:color w:val="C11B17"/>
          <w:sz w:val="28"/>
        </w:rPr>
        <w:t>10. Production evolution — which boxes change shape</w:t>
      </w:r>
    </w:p>
    <w:p>
      <w:r>
        <w:rPr>
          <w:sz w:val="19"/>
        </w:rPr>
        <w:t>Same logical architecture, different physical one. The dashed boxes are what a production deployment adds.</w:t>
      </w:r>
    </w:p>
    <w:p>
      <w:pPr>
        <w:jc w:val="center"/>
      </w:pPr>
      <w:r>
        <w:drawing>
          <wp:inline xmlns:a="http://schemas.openxmlformats.org/drawingml/2006/main" xmlns:pic="http://schemas.openxmlformats.org/drawingml/2006/picture">
            <wp:extent cx="7025500" cy="6556248"/>
            <wp:docPr id="10" name="Picture 10"/>
            <wp:cNvGraphicFramePr>
              <a:graphicFrameLocks noChangeAspect="1"/>
            </wp:cNvGraphicFramePr>
            <a:graphic>
              <a:graphicData uri="http://schemas.openxmlformats.org/drawingml/2006/picture">
                <pic:pic>
                  <pic:nvPicPr>
                    <pic:cNvPr id="0" name="fig10.png"/>
                    <pic:cNvPicPr/>
                  </pic:nvPicPr>
                  <pic:blipFill>
                    <a:blip r:embed="rId19"/>
                    <a:stretch>
                      <a:fillRect/>
                    </a:stretch>
                  </pic:blipFill>
                  <pic:spPr>
                    <a:xfrm>
                      <a:off x="0" y="0"/>
                      <a:ext cx="7025500" cy="6556248"/>
                    </a:xfrm>
                    <a:prstGeom prst="rect"/>
                  </pic:spPr>
                </pic:pic>
              </a:graphicData>
            </a:graphic>
          </wp:inline>
        </w:drawing>
      </w:r>
    </w:p>
    <w:p>
      <w:pPr>
        <w:spacing w:after="240"/>
        <w:jc w:val="center"/>
      </w:pPr>
      <w:r>
        <w:rPr>
          <w:i/>
          <w:color w:val="5A5A5A"/>
          <w:sz w:val="17"/>
        </w:rPr>
        <w:t>Figure 10 — Production evolution: which boxes change shape at scale</w:t>
      </w:r>
    </w:p>
    <w:tbl>
      <w:tblPr>
        <w:tblStyle w:val="TableGrid"/>
        <w:tblW w:type="auto" w:w="0"/>
        <w:jc w:val="center"/>
        <w:tblLook w:firstColumn="1" w:firstRow="1" w:lastColumn="0" w:lastRow="0" w:noHBand="0" w:noVBand="1" w:val="04A0"/>
      </w:tblPr>
      <w:tblGrid>
        <w:gridCol w:w="3776"/>
        <w:gridCol w:w="3776"/>
        <w:gridCol w:w="3776"/>
        <w:gridCol w:w="3776"/>
      </w:tblGrid>
      <w:tr>
        <w:tc>
          <w:tcPr>
            <w:tcW w:type="dxa" w:w="3776"/>
            <w:shd w:val="clear" w:fill="F2F2F2"/>
          </w:tcPr>
          <w:p>
            <w:pPr>
              <w:spacing w:after="20"/>
            </w:pPr>
            <w:r>
              <w:rPr>
                <w:b/>
              </w:rPr>
            </w:r>
            <w:r>
              <w:rPr>
                <w:b/>
                <w:sz w:val="18"/>
              </w:rPr>
              <w:t>Concern</w:t>
            </w:r>
          </w:p>
        </w:tc>
        <w:tc>
          <w:tcPr>
            <w:tcW w:type="dxa" w:w="3776"/>
            <w:shd w:val="clear" w:fill="F2F2F2"/>
          </w:tcPr>
          <w:p>
            <w:pPr>
              <w:spacing w:after="20"/>
            </w:pPr>
            <w:r>
              <w:rPr>
                <w:b/>
              </w:rPr>
            </w:r>
            <w:r>
              <w:rPr>
                <w:b/>
                <w:sz w:val="18"/>
              </w:rPr>
              <w:t>Current</w:t>
            </w:r>
          </w:p>
        </w:tc>
        <w:tc>
          <w:tcPr>
            <w:tcW w:type="dxa" w:w="3776"/>
            <w:shd w:val="clear" w:fill="F2F2F2"/>
          </w:tcPr>
          <w:p>
            <w:pPr>
              <w:spacing w:after="20"/>
            </w:pPr>
            <w:r>
              <w:rPr>
                <w:b/>
              </w:rPr>
            </w:r>
            <w:r>
              <w:rPr>
                <w:b/>
                <w:sz w:val="18"/>
              </w:rPr>
              <w:t>Production</w:t>
            </w:r>
          </w:p>
        </w:tc>
        <w:tc>
          <w:tcPr>
            <w:tcW w:type="dxa" w:w="3776"/>
            <w:shd w:val="clear" w:fill="F2F2F2"/>
          </w:tcPr>
          <w:p>
            <w:pPr>
              <w:spacing w:after="20"/>
            </w:pPr>
            <w:r>
              <w:rPr>
                <w:b/>
              </w:rPr>
            </w:r>
            <w:r>
              <w:rPr>
                <w:b/>
                <w:sz w:val="18"/>
              </w:rPr>
              <w:t>Why it matters at scale</w:t>
            </w:r>
          </w:p>
        </w:tc>
      </w:tr>
      <w:tr>
        <w:tc>
          <w:tcPr>
            <w:tcW w:type="dxa" w:w="3776"/>
          </w:tcPr>
          <w:p>
            <w:pPr>
              <w:spacing w:after="20"/>
            </w:pPr>
            <w:r>
              <w:rPr>
                <w:b/>
                <w:sz w:val="17"/>
              </w:rPr>
              <w:t>Scheduler</w:t>
            </w:r>
            <w:r>
              <w:rPr>
                <w:sz w:val="17"/>
              </w:rPr>
              <w:t xml:space="preserve"> ⚠️</w:t>
            </w:r>
          </w:p>
        </w:tc>
        <w:tc>
          <w:tcPr>
            <w:tcW w:type="dxa" w:w="3776"/>
          </w:tcPr>
          <w:p>
            <w:pPr>
              <w:spacing w:after="20"/>
            </w:pPr>
            <w:r>
              <w:rPr>
                <w:rFonts w:ascii="Menlo" w:hAnsi="Menlo"/>
                <w:sz w:val="17"/>
              </w:rPr>
              <w:t>node-cron</w:t>
            </w:r>
            <w:r>
              <w:rPr>
                <w:sz w:val="17"/>
              </w:rPr>
              <w:t xml:space="preserve"> in-process</w:t>
            </w:r>
          </w:p>
        </w:tc>
        <w:tc>
          <w:tcPr>
            <w:tcW w:type="dxa" w:w="3776"/>
          </w:tcPr>
          <w:p>
            <w:pPr>
              <w:spacing w:after="20"/>
            </w:pPr>
            <w:r>
              <w:rPr>
                <w:sz w:val="17"/>
              </w:rPr>
              <w:t>Workflow engine, or one elected leader</w:t>
            </w:r>
          </w:p>
        </w:tc>
        <w:tc>
          <w:tcPr>
            <w:tcW w:type="dxa" w:w="3776"/>
          </w:tcPr>
          <w:p>
            <w:pPr>
              <w:spacing w:after="20"/>
            </w:pPr>
            <w:r>
              <w:rPr>
                <w:b/>
                <w:sz w:val="17"/>
              </w:rPr>
              <w:t>Blocking issue for horizontal scaling.</w:t>
            </w:r>
            <w:r>
              <w:rPr>
                <w:sz w:val="17"/>
              </w:rPr>
              <w:t xml:space="preserve"> Every instance would independently fire the same cron and double-process the same source. </w:t>
            </w:r>
            <w:r>
              <w:rPr>
                <w:rFonts w:ascii="Menlo" w:hAnsi="Menlo"/>
                <w:sz w:val="17"/>
              </w:rPr>
              <w:t>node-cron</w:t>
            </w:r>
            <w:r>
              <w:rPr>
                <w:sz w:val="17"/>
              </w:rPr>
              <w:t xml:space="preserve"> has no leader election — this must be solved </w:t>
            </w:r>
            <w:r>
              <w:rPr>
                <w:i/>
                <w:sz w:val="17"/>
              </w:rPr>
              <w:t>before</w:t>
            </w:r>
            <w:r>
              <w:rPr>
                <w:sz w:val="17"/>
              </w:rPr>
              <w:t xml:space="preserve"> adding instances</w:t>
            </w:r>
          </w:p>
        </w:tc>
      </w:tr>
      <w:tr>
        <w:tc>
          <w:tcPr>
            <w:tcW w:type="dxa" w:w="3776"/>
          </w:tcPr>
          <w:p>
            <w:pPr>
              <w:spacing w:after="20"/>
            </w:pPr>
            <w:r>
              <w:rPr>
                <w:sz w:val="17"/>
              </w:rPr>
              <w:t>Job/schedule/audit state</w:t>
            </w:r>
          </w:p>
        </w:tc>
        <w:tc>
          <w:tcPr>
            <w:tcW w:type="dxa" w:w="3776"/>
          </w:tcPr>
          <w:p>
            <w:pPr>
              <w:spacing w:after="20"/>
            </w:pPr>
            <w:r>
              <w:rPr>
                <w:sz w:val="17"/>
              </w:rPr>
              <w:t xml:space="preserve">In-memory </w:t>
            </w:r>
            <w:r>
              <w:rPr>
                <w:rFonts w:ascii="Menlo" w:hAnsi="Menlo"/>
                <w:sz w:val="17"/>
              </w:rPr>
              <w:t>Map</w:t>
            </w:r>
            <w:r>
              <w:rPr>
                <w:sz w:val="17"/>
              </w:rPr>
              <w:t>s</w:t>
            </w:r>
          </w:p>
        </w:tc>
        <w:tc>
          <w:tcPr>
            <w:tcW w:type="dxa" w:w="3776"/>
          </w:tcPr>
          <w:p>
            <w:pPr>
              <w:spacing w:after="20"/>
            </w:pPr>
            <w:r>
              <w:rPr>
                <w:sz w:val="17"/>
              </w:rPr>
              <w:t>Postgres (Redis for hot state)</w:t>
            </w:r>
          </w:p>
        </w:tc>
        <w:tc>
          <w:tcPr>
            <w:tcW w:type="dxa" w:w="3776"/>
          </w:tcPr>
          <w:p>
            <w:pPr>
              <w:spacing w:after="20"/>
            </w:pPr>
            <w:r>
              <w:rPr>
                <w:sz w:val="17"/>
              </w:rPr>
              <w:t>Instance B cannot see a job instance A created. This alone blocks multi-instance deployment</w:t>
            </w:r>
          </w:p>
        </w:tc>
      </w:tr>
      <w:tr>
        <w:tc>
          <w:tcPr>
            <w:tcW w:type="dxa" w:w="3776"/>
          </w:tcPr>
          <w:p>
            <w:pPr>
              <w:spacing w:after="20"/>
            </w:pPr>
            <w:r>
              <w:rPr>
                <w:sz w:val="17"/>
              </w:rPr>
              <w:t>File storage</w:t>
            </w:r>
          </w:p>
        </w:tc>
        <w:tc>
          <w:tcPr>
            <w:tcW w:type="dxa" w:w="3776"/>
          </w:tcPr>
          <w:p>
            <w:pPr>
              <w:spacing w:after="20"/>
            </w:pPr>
            <w:r>
              <w:rPr>
                <w:sz w:val="17"/>
              </w:rPr>
              <w:t>Local disk, deleted after processing</w:t>
            </w:r>
          </w:p>
        </w:tc>
        <w:tc>
          <w:tcPr>
            <w:tcW w:type="dxa" w:w="3776"/>
          </w:tcPr>
          <w:p>
            <w:pPr>
              <w:spacing w:after="20"/>
            </w:pPr>
            <w:r>
              <w:rPr>
                <w:sz w:val="17"/>
              </w:rPr>
              <w:t>Object storage + pre-signed browser upload</w:t>
            </w:r>
          </w:p>
        </w:tc>
        <w:tc>
          <w:tcPr>
            <w:tcW w:type="dxa" w:w="3776"/>
          </w:tcPr>
          <w:p>
            <w:pPr>
              <w:spacing w:after="20"/>
            </w:pPr>
            <w:r>
              <w:rPr>
                <w:sz w:val="17"/>
              </w:rPr>
              <w:t>Local disk ties processing to one instance and does not survive that instance dying mid-job</w:t>
            </w:r>
          </w:p>
        </w:tc>
      </w:tr>
      <w:tr>
        <w:tc>
          <w:tcPr>
            <w:tcW w:type="dxa" w:w="3776"/>
          </w:tcPr>
          <w:p>
            <w:pPr>
              <w:spacing w:after="20"/>
            </w:pPr>
            <w:r>
              <w:rPr>
                <w:sz w:val="17"/>
              </w:rPr>
              <w:t>Upload processing</w:t>
            </w:r>
          </w:p>
        </w:tc>
        <w:tc>
          <w:tcPr>
            <w:tcW w:type="dxa" w:w="3776"/>
          </w:tcPr>
          <w:p>
            <w:pPr>
              <w:spacing w:after="20"/>
            </w:pPr>
            <w:r>
              <w:rPr>
                <w:rFonts w:ascii="Menlo" w:hAnsi="Menlo"/>
                <w:sz w:val="17"/>
              </w:rPr>
              <w:t>runJob()</w:t>
            </w:r>
            <w:r>
              <w:rPr>
                <w:sz w:val="17"/>
              </w:rPr>
              <w:t xml:space="preserve"> on the same process that took the request</w:t>
            </w:r>
          </w:p>
        </w:tc>
        <w:tc>
          <w:tcPr>
            <w:tcW w:type="dxa" w:w="3776"/>
          </w:tcPr>
          <w:p>
            <w:pPr>
              <w:spacing w:after="20"/>
            </w:pPr>
            <w:r>
              <w:rPr>
                <w:sz w:val="17"/>
              </w:rPr>
              <w:t>Queue + separate worker pool</w:t>
            </w:r>
          </w:p>
        </w:tc>
        <w:tc>
          <w:tcPr>
            <w:tcW w:type="dxa" w:w="3776"/>
          </w:tcPr>
          <w:p>
            <w:pPr>
              <w:spacing w:after="20"/>
            </w:pPr>
            <w:r>
              <w:rPr>
                <w:sz w:val="17"/>
              </w:rPr>
              <w:t>Decouples "accept the file" from "process the file"; workers scale on queue depth</w:t>
            </w:r>
          </w:p>
        </w:tc>
      </w:tr>
      <w:tr>
        <w:tc>
          <w:tcPr>
            <w:tcW w:type="dxa" w:w="3776"/>
          </w:tcPr>
          <w:p>
            <w:pPr>
              <w:spacing w:after="20"/>
            </w:pPr>
            <w:r>
              <w:rPr>
                <w:sz w:val="17"/>
              </w:rPr>
              <w:t>CSV validation</w:t>
            </w:r>
          </w:p>
        </w:tc>
        <w:tc>
          <w:tcPr>
            <w:tcW w:type="dxa" w:w="3776"/>
          </w:tcPr>
          <w:p>
            <w:pPr>
              <w:spacing w:after="20"/>
            </w:pPr>
            <w:r>
              <w:rPr>
                <w:sz w:val="17"/>
              </w:rPr>
              <w:t>Streaming, one row at a time</w:t>
            </w:r>
          </w:p>
        </w:tc>
        <w:tc>
          <w:tcPr>
            <w:tcW w:type="dxa" w:w="3776"/>
          </w:tcPr>
          <w:p>
            <w:pPr>
              <w:spacing w:after="20"/>
            </w:pPr>
            <w:r>
              <w:rPr>
                <w:b/>
                <w:sz w:val="17"/>
              </w:rPr>
              <w:t>Same pattern</w:t>
            </w:r>
            <w:r>
              <w:rPr>
                <w:sz w:val="17"/>
              </w:rPr>
              <w:t xml:space="preserve"> — a worker streams from object storage</w:t>
            </w:r>
          </w:p>
        </w:tc>
        <w:tc>
          <w:tcPr>
            <w:tcW w:type="dxa" w:w="3776"/>
          </w:tcPr>
          <w:p>
            <w:pPr>
              <w:spacing w:after="20"/>
            </w:pPr>
            <w:r>
              <w:rPr>
                <w:sz w:val="17"/>
              </w:rPr>
              <w:t xml:space="preserve">The streaming approach is already right; only </w:t>
            </w:r>
            <w:r>
              <w:rPr>
                <w:i/>
                <w:sz w:val="17"/>
              </w:rPr>
              <w:t>where</w:t>
            </w:r>
            <w:r>
              <w:rPr>
                <w:sz w:val="17"/>
              </w:rPr>
              <w:t xml:space="preserve"> it runs changes</w:t>
            </w:r>
          </w:p>
        </w:tc>
      </w:tr>
      <w:tr>
        <w:tc>
          <w:tcPr>
            <w:tcW w:type="dxa" w:w="3776"/>
          </w:tcPr>
          <w:p>
            <w:pPr>
              <w:spacing w:after="20"/>
            </w:pPr>
            <w:r>
              <w:rPr>
                <w:sz w:val="17"/>
              </w:rPr>
              <w:t>Campaign matching</w:t>
            </w:r>
          </w:p>
        </w:tc>
        <w:tc>
          <w:tcPr>
            <w:tcW w:type="dxa" w:w="3776"/>
          </w:tcPr>
          <w:p>
            <w:pPr>
              <w:spacing w:after="20"/>
            </w:pPr>
            <w:r>
              <w:rPr>
                <w:sz w:val="17"/>
              </w:rPr>
              <w:t>Brute-force cosine over ~15 in-memory vectors</w:t>
            </w:r>
          </w:p>
        </w:tc>
        <w:tc>
          <w:tcPr>
            <w:tcW w:type="dxa" w:w="3776"/>
          </w:tcPr>
          <w:p>
            <w:pPr>
              <w:spacing w:after="20"/>
            </w:pPr>
            <w:r>
              <w:rPr>
                <w:sz w:val="17"/>
              </w:rPr>
              <w:t>ANN index (HNSW/FAISS), or move into the vector DB</w:t>
            </w:r>
          </w:p>
        </w:tc>
        <w:tc>
          <w:tcPr>
            <w:tcW w:type="dxa" w:w="3776"/>
          </w:tcPr>
          <w:p>
            <w:pPr>
              <w:spacing w:after="20"/>
            </w:pPr>
            <w:r>
              <w:rPr>
                <w:sz w:val="17"/>
              </w:rPr>
              <w:t>O(n) is free at n=15 and a real cost at n=10,000+</w:t>
            </w:r>
          </w:p>
        </w:tc>
      </w:tr>
      <w:tr>
        <w:tc>
          <w:tcPr>
            <w:tcW w:type="dxa" w:w="3776"/>
          </w:tcPr>
          <w:p>
            <w:pPr>
              <w:spacing w:after="20"/>
            </w:pPr>
            <w:r>
              <w:rPr>
                <w:sz w:val="17"/>
              </w:rPr>
              <w:t>Embeddings</w:t>
            </w:r>
          </w:p>
        </w:tc>
        <w:tc>
          <w:tcPr>
            <w:tcW w:type="dxa" w:w="3776"/>
          </w:tcPr>
          <w:p>
            <w:pPr>
              <w:spacing w:after="20"/>
            </w:pPr>
            <w:r>
              <w:rPr>
                <w:sz w:val="17"/>
              </w:rPr>
              <w:t>Local model, sequential, CPU-bound</w:t>
            </w:r>
          </w:p>
        </w:tc>
        <w:tc>
          <w:tcPr>
            <w:tcW w:type="dxa" w:w="3776"/>
          </w:tcPr>
          <w:p>
            <w:pPr>
              <w:spacing w:after="20"/>
            </w:pPr>
            <w:r>
              <w:rPr>
                <w:sz w:val="17"/>
              </w:rPr>
              <w:t>Dedicated batched embedding service with a concurrency limit</w:t>
            </w:r>
          </w:p>
        </w:tc>
        <w:tc>
          <w:tcPr>
            <w:tcW w:type="dxa" w:w="3776"/>
          </w:tcPr>
          <w:p>
            <w:pPr>
              <w:spacing w:after="20"/>
            </w:pPr>
            <w:r>
              <w:rPr>
                <w:sz w:val="17"/>
              </w:rPr>
              <w:t>Sequential is correct for a local model (no network latency to overlap); a hosted API inverts that calculus entirely</w:t>
            </w:r>
          </w:p>
        </w:tc>
      </w:tr>
      <w:tr>
        <w:tc>
          <w:tcPr>
            <w:tcW w:type="dxa" w:w="3776"/>
          </w:tcPr>
          <w:p>
            <w:pPr>
              <w:spacing w:after="20"/>
            </w:pPr>
            <w:r>
              <w:rPr>
                <w:sz w:val="17"/>
              </w:rPr>
              <w:t>Vector store</w:t>
            </w:r>
          </w:p>
        </w:tc>
        <w:tc>
          <w:tcPr>
            <w:tcW w:type="dxa" w:w="3776"/>
          </w:tcPr>
          <w:p>
            <w:pPr>
              <w:spacing w:after="20"/>
            </w:pPr>
            <w:r>
              <w:rPr>
                <w:sz w:val="17"/>
              </w:rPr>
              <w:t>Single-node Chroma</w:t>
            </w:r>
          </w:p>
        </w:tc>
        <w:tc>
          <w:tcPr>
            <w:tcW w:type="dxa" w:w="3776"/>
          </w:tcPr>
          <w:p>
            <w:pPr>
              <w:spacing w:after="20"/>
            </w:pPr>
            <w:r>
              <w:rPr>
                <w:sz w:val="17"/>
              </w:rPr>
              <w:t>Managed/replicated vector DB</w:t>
            </w:r>
          </w:p>
        </w:tc>
        <w:tc>
          <w:tcPr>
            <w:tcW w:type="dxa" w:w="3776"/>
          </w:tcPr>
          <w:p>
            <w:pPr>
              <w:spacing w:after="20"/>
            </w:pPr>
            <w:r>
              <w:rPr>
                <w:sz w:val="17"/>
              </w:rPr>
              <w:t>No HA and no read scaling as history grows</w:t>
            </w:r>
          </w:p>
        </w:tc>
      </w:tr>
      <w:tr>
        <w:tc>
          <w:tcPr>
            <w:tcW w:type="dxa" w:w="3776"/>
          </w:tcPr>
          <w:p>
            <w:pPr>
              <w:spacing w:after="20"/>
            </w:pPr>
            <w:r>
              <w:rPr>
                <w:sz w:val="17"/>
              </w:rPr>
              <w:t>LLM calls</w:t>
            </w:r>
          </w:p>
        </w:tc>
        <w:tc>
          <w:tcPr>
            <w:tcW w:type="dxa" w:w="3776"/>
          </w:tcPr>
          <w:p>
            <w:pPr>
              <w:spacing w:after="20"/>
            </w:pPr>
            <w:r>
              <w:rPr>
                <w:sz w:val="17"/>
              </w:rPr>
              <w:t>One synchronous call per job/query</w:t>
            </w:r>
          </w:p>
        </w:tc>
        <w:tc>
          <w:tcPr>
            <w:tcW w:type="dxa" w:w="3776"/>
          </w:tcPr>
          <w:p>
            <w:pPr>
              <w:spacing w:after="20"/>
            </w:pPr>
            <w:r>
              <w:rPr>
                <w:sz w:val="17"/>
              </w:rPr>
              <w:t>Request queuing, streamed responses, cost monitoring, prompt caching</w:t>
            </w:r>
          </w:p>
        </w:tc>
        <w:tc>
          <w:tcPr>
            <w:tcW w:type="dxa" w:w="3776"/>
          </w:tcPr>
          <w:p>
            <w:pPr>
              <w:spacing w:after="20"/>
            </w:pPr>
            <w:r>
              <w:rPr>
                <w:sz w:val="17"/>
              </w:rPr>
              <w:t>Stops one slow call stalling the pipeline; puts a ceiling on cost</w:t>
            </w:r>
          </w:p>
        </w:tc>
      </w:tr>
      <w:tr>
        <w:tc>
          <w:tcPr>
            <w:tcW w:type="dxa" w:w="3776"/>
          </w:tcPr>
          <w:p>
            <w:pPr>
              <w:spacing w:after="20"/>
            </w:pPr>
            <w:r>
              <w:rPr>
                <w:sz w:val="17"/>
              </w:rPr>
              <w:t>Push / warehouse write</w:t>
            </w:r>
          </w:p>
        </w:tc>
        <w:tc>
          <w:tcPr>
            <w:tcW w:type="dxa" w:w="3776"/>
          </w:tcPr>
          <w:p>
            <w:pPr>
              <w:spacing w:after="20"/>
            </w:pPr>
            <w:r>
              <w:rPr>
                <w:sz w:val="17"/>
              </w:rPr>
              <w:t>Simulated, deterministic retry</w:t>
            </w:r>
          </w:p>
        </w:tc>
        <w:tc>
          <w:tcPr>
            <w:tcW w:type="dxa" w:w="3776"/>
          </w:tcPr>
          <w:p>
            <w:pPr>
              <w:spacing w:after="20"/>
            </w:pPr>
            <w:r>
              <w:rPr>
                <w:sz w:val="17"/>
              </w:rPr>
              <w:t>Real async polling + DLQ, same idempotency key</w:t>
            </w:r>
          </w:p>
        </w:tc>
        <w:tc>
          <w:tcPr>
            <w:tcW w:type="dxa" w:w="3776"/>
          </w:tcPr>
          <w:p>
            <w:pPr>
              <w:spacing w:after="20"/>
            </w:pPr>
            <w:r>
              <w:rPr>
                <w:sz w:val="17"/>
              </w:rPr>
              <w:t xml:space="preserve">The retry-with-backoff </w:t>
            </w:r>
            <w:r>
              <w:rPr>
                <w:i/>
                <w:sz w:val="17"/>
              </w:rPr>
              <w:t>pattern</w:t>
            </w:r>
            <w:r>
              <w:rPr>
                <w:sz w:val="17"/>
              </w:rPr>
              <w:t xml:space="preserve"> is already production-shaped; only the transport is fake</w:t>
            </w:r>
          </w:p>
        </w:tc>
      </w:tr>
      <w:tr>
        <w:tc>
          <w:tcPr>
            <w:tcW w:type="dxa" w:w="3776"/>
          </w:tcPr>
          <w:p>
            <w:pPr>
              <w:spacing w:after="20"/>
            </w:pPr>
            <w:r>
              <w:rPr>
                <w:sz w:val="17"/>
              </w:rPr>
              <w:t>Audit log</w:t>
            </w:r>
          </w:p>
        </w:tc>
        <w:tc>
          <w:tcPr>
            <w:tcW w:type="dxa" w:w="3776"/>
          </w:tcPr>
          <w:p>
            <w:pPr>
              <w:spacing w:after="20"/>
            </w:pPr>
            <w:r>
              <w:rPr>
                <w:sz w:val="17"/>
              </w:rPr>
              <w:t>In-memory append-only array</w:t>
            </w:r>
          </w:p>
        </w:tc>
        <w:tc>
          <w:tcPr>
            <w:tcW w:type="dxa" w:w="3776"/>
          </w:tcPr>
          <w:p>
            <w:pPr>
              <w:spacing w:after="20"/>
            </w:pPr>
            <w:r>
              <w:rPr>
                <w:sz w:val="17"/>
              </w:rPr>
              <w:t>Durable, immutable, tamper-evident table</w:t>
            </w:r>
          </w:p>
        </w:tc>
        <w:tc>
          <w:tcPr>
            <w:tcW w:type="dxa" w:w="3776"/>
          </w:tcPr>
          <w:p>
            <w:pPr>
              <w:spacing w:after="20"/>
            </w:pPr>
            <w:r>
              <w:rPr>
                <w:sz w:val="17"/>
              </w:rPr>
              <w:t>An in-memory array satisfies neither compliance requirement</w:t>
            </w:r>
          </w:p>
        </w:tc>
      </w:tr>
      <w:tr>
        <w:tc>
          <w:tcPr>
            <w:tcW w:type="dxa" w:w="3776"/>
          </w:tcPr>
          <w:p>
            <w:pPr>
              <w:spacing w:after="20"/>
            </w:pPr>
            <w:r>
              <w:rPr>
                <w:sz w:val="17"/>
              </w:rPr>
              <w:t>Secrets</w:t>
            </w:r>
          </w:p>
        </w:tc>
        <w:tc>
          <w:tcPr>
            <w:tcW w:type="dxa" w:w="3776"/>
          </w:tcPr>
          <w:p>
            <w:pPr>
              <w:spacing w:after="20"/>
            </w:pPr>
            <w:r>
              <w:rPr>
                <w:rFonts w:ascii="Menlo" w:hAnsi="Menlo"/>
                <w:sz w:val="17"/>
              </w:rPr>
              <w:t>.env</w:t>
            </w:r>
            <w:r>
              <w:rPr>
                <w:sz w:val="17"/>
              </w:rPr>
              <w:t xml:space="preserve"> + </w:t>
            </w:r>
            <w:r>
              <w:rPr>
                <w:rFonts w:ascii="Menlo" w:hAnsi="Menlo"/>
                <w:sz w:val="17"/>
              </w:rPr>
              <w:t>dotenv</w:t>
            </w:r>
          </w:p>
        </w:tc>
        <w:tc>
          <w:tcPr>
            <w:tcW w:type="dxa" w:w="3776"/>
          </w:tcPr>
          <w:p>
            <w:pPr>
              <w:spacing w:after="20"/>
            </w:pPr>
            <w:r>
              <w:rPr>
                <w:sz w:val="17"/>
              </w:rPr>
              <w:t>Vault / AWS Secrets Manager / platform injection</w:t>
            </w:r>
          </w:p>
        </w:tc>
        <w:tc>
          <w:tcPr>
            <w:tcW w:type="dxa" w:w="3776"/>
          </w:tcPr>
          <w:p>
            <w:pPr>
              <w:spacing w:after="20"/>
            </w:pPr>
            <w:r>
              <w:rPr>
                <w:sz w:val="17"/>
              </w:rPr>
              <w:t>Fine for local dev, not for a deployed multi-person environment</w:t>
            </w:r>
          </w:p>
        </w:tc>
      </w:tr>
      <w:tr>
        <w:tc>
          <w:tcPr>
            <w:tcW w:type="dxa" w:w="3776"/>
          </w:tcPr>
          <w:p>
            <w:pPr>
              <w:spacing w:after="20"/>
            </w:pPr>
            <w:r>
              <w:rPr>
                <w:sz w:val="17"/>
              </w:rPr>
              <w:t>Observability</w:t>
            </w:r>
          </w:p>
        </w:tc>
        <w:tc>
          <w:tcPr>
            <w:tcW w:type="dxa" w:w="3776"/>
          </w:tcPr>
          <w:p>
            <w:pPr>
              <w:spacing w:after="20"/>
            </w:pPr>
            <w:r>
              <w:rPr>
                <w:rFonts w:ascii="Menlo" w:hAnsi="Menlo"/>
                <w:sz w:val="17"/>
              </w:rPr>
              <w:t>console.log</w:t>
            </w:r>
            <w:r>
              <w:rPr>
                <w:sz w:val="17"/>
              </w:rPr>
              <w:t xml:space="preserve"> + dashboard-derived health</w:t>
            </w:r>
          </w:p>
        </w:tc>
        <w:tc>
          <w:tcPr>
            <w:tcW w:type="dxa" w:w="3776"/>
          </w:tcPr>
          <w:p>
            <w:pPr>
              <w:spacing w:after="20"/>
            </w:pPr>
            <w:r>
              <w:rPr>
                <w:sz w:val="17"/>
              </w:rPr>
              <w:t>Structured logging, metrics, tracing</w:t>
            </w:r>
          </w:p>
        </w:tc>
        <w:tc>
          <w:tcPr>
            <w:tcW w:type="dxa" w:w="3776"/>
          </w:tcPr>
          <w:p>
            <w:pPr>
              <w:spacing w:after="20"/>
            </w:pPr>
            <w:r>
              <w:rPr>
                <w:sz w:val="17"/>
              </w:rPr>
              <w:t>The dashboard's pipeline-health numbers come from job records, not real instrumentation</w:t>
            </w:r>
          </w:p>
        </w:tc>
      </w:tr>
    </w:tbl>
    <w:p>
      <w:pPr>
        <w:spacing w:after="40"/>
      </w:pPr>
    </w:p>
    <w:p>
      <w:pPr>
        <w:spacing w:before="40" w:after="40"/>
        <w:pBdr>
          <w:bottom w:val="single" w:sz="6" w:space="1" w:color="CCCCCC"/>
        </w:pBdr>
      </w:pPr>
    </w:p>
    <w:p>
      <w:pPr>
        <w:keepNext/>
        <w:spacing w:before="280" w:after="100"/>
      </w:pPr>
      <w:r>
        <w:rPr>
          <w:b/>
          <w:color w:val="C11B17"/>
          <w:sz w:val="28"/>
        </w:rPr>
        <w:t>11. Build status</w:t>
      </w:r>
    </w:p>
    <w:tbl>
      <w:tblPr>
        <w:tblStyle w:val="TableGrid"/>
        <w:tblW w:type="auto" w:w="0"/>
        <w:jc w:val="center"/>
        <w:tblLook w:firstColumn="1" w:firstRow="1" w:lastColumn="0" w:lastRow="0" w:noHBand="0" w:noVBand="1" w:val="04A0"/>
      </w:tblPr>
      <w:tblGrid>
        <w:gridCol w:w="7553"/>
        <w:gridCol w:w="7553"/>
      </w:tblGrid>
      <w:tr>
        <w:tc>
          <w:tcPr>
            <w:tcW w:type="dxa" w:w="7553"/>
            <w:shd w:val="clear" w:fill="F2F2F2"/>
          </w:tcPr>
          <w:p>
            <w:pPr>
              <w:spacing w:after="20"/>
            </w:pPr>
            <w:r>
              <w:rPr>
                <w:b/>
              </w:rPr>
            </w:r>
            <w:r>
              <w:rPr>
                <w:b/>
                <w:sz w:val="18"/>
              </w:rPr>
              <w:t>Area</w:t>
            </w:r>
          </w:p>
        </w:tc>
        <w:tc>
          <w:tcPr>
            <w:tcW w:type="dxa" w:w="7553"/>
            <w:shd w:val="clear" w:fill="F2F2F2"/>
          </w:tcPr>
          <w:p>
            <w:pPr>
              <w:spacing w:after="20"/>
            </w:pPr>
            <w:r>
              <w:rPr>
                <w:b/>
              </w:rPr>
            </w:r>
            <w:r>
              <w:rPr>
                <w:b/>
                <w:sz w:val="18"/>
              </w:rPr>
              <w:t>Status</w:t>
            </w:r>
          </w:p>
        </w:tc>
      </w:tr>
      <w:tr>
        <w:tc>
          <w:tcPr>
            <w:tcW w:type="dxa" w:w="7553"/>
          </w:tcPr>
          <w:p>
            <w:pPr>
              <w:spacing w:after="20"/>
            </w:pPr>
            <w:r>
              <w:rPr>
                <w:sz w:val="17"/>
              </w:rPr>
              <w:t>Ingestion, validation, campaign matching, RAG assistant, AI quality summary</w:t>
            </w:r>
          </w:p>
        </w:tc>
        <w:tc>
          <w:tcPr>
            <w:tcW w:type="dxa" w:w="7553"/>
          </w:tcPr>
          <w:p>
            <w:pPr>
              <w:spacing w:after="20"/>
            </w:pPr>
            <w:r>
              <w:rPr>
                <w:sz w:val="17"/>
              </w:rPr>
              <w:t>✅ Fully built and wired end-to-end</w:t>
            </w:r>
          </w:p>
        </w:tc>
      </w:tr>
      <w:tr>
        <w:tc>
          <w:tcPr>
            <w:tcW w:type="dxa" w:w="7553"/>
          </w:tcPr>
          <w:p>
            <w:pPr>
              <w:spacing w:after="20"/>
            </w:pPr>
            <w:r>
              <w:rPr>
                <w:sz w:val="17"/>
              </w:rPr>
              <w:t>Review approve/reject → ad platform push → Databricks ingestion → audit trail</w:t>
            </w:r>
          </w:p>
        </w:tc>
        <w:tc>
          <w:tcPr>
            <w:tcW w:type="dxa" w:w="7553"/>
          </w:tcPr>
          <w:p>
            <w:pPr>
              <w:spacing w:after="20"/>
            </w:pPr>
            <w:r>
              <w:rPr>
                <w:sz w:val="17"/>
              </w:rPr>
              <w:t>✅ Fully built; transport layers simulated and documented per-file</w:t>
            </w:r>
          </w:p>
        </w:tc>
      </w:tr>
      <w:tr>
        <w:tc>
          <w:tcPr>
            <w:tcW w:type="dxa" w:w="7553"/>
          </w:tcPr>
          <w:p>
            <w:pPr>
              <w:spacing w:after="20"/>
            </w:pPr>
            <w:r>
              <w:rPr>
                <w:sz w:val="17"/>
              </w:rPr>
              <w:t>Scheduling</w:t>
            </w:r>
          </w:p>
        </w:tc>
        <w:tc>
          <w:tcPr>
            <w:tcW w:type="dxa" w:w="7553"/>
          </w:tcPr>
          <w:p>
            <w:pPr>
              <w:spacing w:after="20"/>
            </w:pPr>
            <w:r>
              <w:rPr>
                <w:sz w:val="17"/>
              </w:rPr>
              <w:t xml:space="preserve">✅ Fully built — config, cron execution, run history, failure notification. The </w:t>
            </w:r>
            <w:r>
              <w:rPr>
                <w:i/>
                <w:sz w:val="17"/>
              </w:rPr>
              <w:t>source fetch</w:t>
            </w:r>
            <w:r>
              <w:rPr>
                <w:sz w:val="17"/>
              </w:rPr>
              <w:t xml:space="preserve"> is the one simulated piece (no real platform credentials)</w:t>
            </w:r>
          </w:p>
        </w:tc>
      </w:tr>
      <w:tr>
        <w:tc>
          <w:tcPr>
            <w:tcW w:type="dxa" w:w="7553"/>
          </w:tcPr>
          <w:p>
            <w:pPr>
              <w:spacing w:after="20"/>
            </w:pPr>
            <w:r>
              <w:rPr>
                <w:sz w:val="17"/>
              </w:rPr>
              <w:t>Dashboard</w:t>
            </w:r>
          </w:p>
        </w:tc>
        <w:tc>
          <w:tcPr>
            <w:tcW w:type="dxa" w:w="7553"/>
          </w:tcPr>
          <w:p>
            <w:pPr>
              <w:spacing w:after="20"/>
            </w:pPr>
            <w:r>
              <w:rPr>
                <w:sz w:val="17"/>
              </w:rPr>
              <w:t>✅ Fully built, aggregating real job-store / query-log / reconciliation data</w:t>
            </w:r>
          </w:p>
        </w:tc>
      </w:tr>
      <w:tr>
        <w:tc>
          <w:tcPr>
            <w:tcW w:type="dxa" w:w="7553"/>
          </w:tcPr>
          <w:p>
            <w:pPr>
              <w:spacing w:after="20"/>
            </w:pPr>
            <w:r>
              <w:rPr>
                <w:sz w:val="17"/>
              </w:rPr>
              <w:t>Auth &amp; RBAC</w:t>
            </w:r>
          </w:p>
        </w:tc>
        <w:tc>
          <w:tcPr>
            <w:tcW w:type="dxa" w:w="7553"/>
          </w:tcPr>
          <w:p>
            <w:pPr>
              <w:spacing w:after="20"/>
            </w:pPr>
            <w:r>
              <w:rPr>
                <w:sz w:val="17"/>
              </w:rPr>
              <w:t>✅ Fully built — login, httpOnly-cookie sessions, three roles enforced server-side. Seeded demo accounts rather than SSO is the one deliberate shortcut</w:t>
            </w:r>
          </w:p>
        </w:tc>
      </w:tr>
      <w:tr>
        <w:tc>
          <w:tcPr>
            <w:tcW w:type="dxa" w:w="7553"/>
          </w:tcPr>
          <w:p>
            <w:pPr>
              <w:spacing w:after="20"/>
            </w:pPr>
            <w:r>
              <w:rPr>
                <w:sz w:val="17"/>
              </w:rPr>
              <w:t>Secrets management</w:t>
            </w:r>
          </w:p>
        </w:tc>
        <w:tc>
          <w:tcPr>
            <w:tcW w:type="dxa" w:w="7553"/>
          </w:tcPr>
          <w:p>
            <w:pPr>
              <w:spacing w:after="20"/>
            </w:pPr>
            <w:r>
              <w:rPr>
                <w:sz w:val="17"/>
              </w:rPr>
              <w:t xml:space="preserve">⚠️ </w:t>
            </w:r>
            <w:r>
              <w:rPr>
                <w:rFonts w:ascii="Menlo" w:hAnsi="Menlo"/>
                <w:sz w:val="17"/>
              </w:rPr>
              <w:t>.env</w:t>
            </w:r>
            <w:r>
              <w:rPr>
                <w:sz w:val="17"/>
              </w:rPr>
              <w:t xml:space="preserve"> + </w:t>
            </w:r>
            <w:r>
              <w:rPr>
                <w:rFonts w:ascii="Menlo" w:hAnsi="Menlo"/>
                <w:sz w:val="17"/>
              </w:rPr>
              <w:t>.env.example</w:t>
            </w:r>
            <w:r>
              <w:rPr>
                <w:sz w:val="17"/>
              </w:rPr>
              <w:t xml:space="preserve"> + </w:t>
            </w:r>
            <w:r>
              <w:rPr>
                <w:rFonts w:ascii="Menlo" w:hAnsi="Menlo"/>
                <w:sz w:val="17"/>
              </w:rPr>
              <w:t>.gitignore</w:t>
            </w:r>
            <w:r>
              <w:rPr>
                <w:sz w:val="17"/>
              </w:rPr>
              <w:t>, nothing hardcoded — real practice for a prototype, not a secrets manager</w:t>
            </w:r>
          </w:p>
        </w:tc>
      </w:tr>
      <w:tr>
        <w:tc>
          <w:tcPr>
            <w:tcW w:type="dxa" w:w="7553"/>
          </w:tcPr>
          <w:p>
            <w:pPr>
              <w:spacing w:after="20"/>
            </w:pPr>
            <w:r>
              <w:rPr>
                <w:sz w:val="17"/>
              </w:rPr>
              <w:t>Observability</w:t>
            </w:r>
          </w:p>
        </w:tc>
        <w:tc>
          <w:tcPr>
            <w:tcW w:type="dxa" w:w="7553"/>
          </w:tcPr>
          <w:p>
            <w:pPr>
              <w:spacing w:after="20"/>
            </w:pPr>
            <w:r>
              <w:rPr>
                <w:sz w:val="17"/>
              </w:rPr>
              <w:t xml:space="preserve">❌ No structured logging, metrics, or tracing beyond </w:t>
            </w:r>
            <w:r>
              <w:rPr>
                <w:rFonts w:ascii="Menlo" w:hAnsi="Menlo"/>
                <w:sz w:val="17"/>
              </w:rPr>
              <w:t>console.*</w:t>
            </w:r>
          </w:p>
        </w:tc>
      </w:tr>
      <w:tr>
        <w:tc>
          <w:tcPr>
            <w:tcW w:type="dxa" w:w="7553"/>
          </w:tcPr>
          <w:p>
            <w:pPr>
              <w:spacing w:after="20"/>
            </w:pPr>
            <w:r>
              <w:rPr>
                <w:sz w:val="17"/>
              </w:rPr>
              <w:t>Multi-instance safety</w:t>
            </w:r>
          </w:p>
        </w:tc>
        <w:tc>
          <w:tcPr>
            <w:tcW w:type="dxa" w:w="7553"/>
          </w:tcPr>
          <w:p>
            <w:pPr>
              <w:spacing w:after="20"/>
            </w:pPr>
            <w:r>
              <w:rPr>
                <w:sz w:val="17"/>
              </w:rPr>
              <w:t>❌ In-memory state and in-process cron both assume exactly one backend process</w:t>
            </w:r>
          </w:p>
        </w:tc>
      </w:tr>
    </w:tbl>
    <w:p>
      <w:pPr>
        <w:spacing w:after="40"/>
      </w:pPr>
    </w:p>
    <w:p>
      <w:pPr>
        <w:spacing w:before="40" w:after="40"/>
        <w:pBdr>
          <w:bottom w:val="single" w:sz="6" w:space="1" w:color="CCCCCC"/>
        </w:pBdr>
      </w:pPr>
    </w:p>
    <w:p>
      <w:pPr>
        <w:keepNext/>
        <w:spacing w:before="280" w:after="100"/>
      </w:pPr>
      <w:r>
        <w:rPr>
          <w:b/>
          <w:color w:val="C11B17"/>
          <w:sz w:val="28"/>
        </w:rPr>
        <w:t>12. Appendix — repository map</w:t>
      </w:r>
    </w:p>
    <w:p>
      <w:pPr>
        <w:spacing w:after="0"/>
        <w:ind w:left="288"/>
      </w:pPr>
      <w:r>
        <w:rPr>
          <w:rFonts w:ascii="Menlo" w:hAnsi="Menlo"/>
          <w:sz w:val="15"/>
        </w:rPr>
        <w:t>backend/</w:t>
      </w:r>
    </w:p>
    <w:p>
      <w:pPr>
        <w:spacing w:after="0"/>
        <w:ind w:left="288"/>
      </w:pPr>
      <w:r>
        <w:rPr>
          <w:rFonts w:ascii="Menlo" w:hAnsi="Menlo"/>
          <w:sz w:val="15"/>
        </w:rPr>
        <w:t xml:space="preserve">  app.js                          — app wiring: CORS, cookies, auth gate, route mounting, scheduler boot</w:t>
      </w:r>
    </w:p>
    <w:p>
      <w:pPr>
        <w:spacing w:after="0"/>
        <w:ind w:left="288"/>
      </w:pPr>
      <w:r>
        <w:rPr>
          <w:rFonts w:ascii="Menlo" w:hAnsi="Menlo"/>
          <w:sz w:val="15"/>
        </w:rPr>
        <w:t xml:space="preserve">  middleware/auth.js              — requireAuth (session verification), requireRole (RBAC)</w:t>
      </w:r>
    </w:p>
    <w:p>
      <w:pPr>
        <w:spacing w:after="0"/>
        <w:ind w:left="288"/>
      </w:pPr>
      <w:r>
        <w:rPr>
          <w:rFonts w:ascii="Menlo" w:hAnsi="Menlo"/>
          <w:sz w:val="15"/>
        </w:rPr>
        <w:t xml:space="preserve">  data/                           — jobStore · auditStore · scheduleStore · userStore</w:t>
      </w:r>
    </w:p>
    <w:p>
      <w:pPr>
        <w:spacing w:after="0"/>
        <w:ind w:left="288"/>
      </w:pPr>
      <w:r>
        <w:rPr>
          <w:rFonts w:ascii="Menlo" w:hAnsi="Menlo"/>
          <w:sz w:val="15"/>
        </w:rPr>
        <w:t xml:space="preserve">                                     queryLogStore · conversationStore · databricksStore</w:t>
      </w:r>
    </w:p>
    <w:p>
      <w:pPr>
        <w:spacing w:after="0"/>
        <w:ind w:left="288"/>
      </w:pPr>
      <w:r>
        <w:rPr>
          <w:rFonts w:ascii="Menlo" w:hAnsi="Menlo"/>
          <w:sz w:val="15"/>
        </w:rPr>
        <w:t xml:space="preserve">  routes/                         — auth · upload · validation · approve · reconciliation</w:t>
      </w:r>
    </w:p>
    <w:p>
      <w:pPr>
        <w:spacing w:after="0"/>
        <w:ind w:left="288"/>
      </w:pPr>
      <w:r>
        <w:rPr>
          <w:rFonts w:ascii="Menlo" w:hAnsi="Menlo"/>
          <w:sz w:val="15"/>
        </w:rPr>
        <w:t xml:space="preserve">                                     databricks · schedules · dashboard · assistant</w:t>
      </w:r>
    </w:p>
    <w:p>
      <w:pPr>
        <w:spacing w:after="0"/>
        <w:ind w:left="288"/>
      </w:pPr>
      <w:r>
        <w:rPr>
          <w:rFonts w:ascii="Menlo" w:hAnsi="Menlo"/>
          <w:sz w:val="15"/>
        </w:rPr>
        <w:t xml:space="preserve">                                     pipelineStatus · audit</w:t>
      </w:r>
    </w:p>
    <w:p>
      <w:pPr>
        <w:spacing w:after="0"/>
        <w:ind w:left="288"/>
      </w:pPr>
      <w:r>
        <w:rPr>
          <w:rFonts w:ascii="Menlo" w:hAnsi="Menlo"/>
          <w:sz w:val="15"/>
        </w:rPr>
        <w:t xml:space="preserve">  services/</w:t>
      </w:r>
    </w:p>
    <w:p>
      <w:pPr>
        <w:spacing w:after="0"/>
        <w:ind w:left="288"/>
      </w:pPr>
      <w:r>
        <w:rPr>
          <w:rFonts w:ascii="Menlo" w:hAnsi="Menlo"/>
          <w:sz w:val="15"/>
        </w:rPr>
        <w:t xml:space="preserve">    auth/jwt.js                   — sign / verifySession</w:t>
      </w:r>
    </w:p>
    <w:p>
      <w:pPr>
        <w:spacing w:after="0"/>
        <w:ind w:left="288"/>
      </w:pPr>
      <w:r>
        <w:rPr>
          <w:rFonts w:ascii="Menlo" w:hAnsi="Menlo"/>
          <w:sz w:val="15"/>
        </w:rPr>
        <w:t xml:space="preserve">    validation/                   — schemaValidator · dateStandardizer · businessRules</w:t>
      </w:r>
    </w:p>
    <w:p>
      <w:pPr>
        <w:spacing w:after="0"/>
        <w:ind w:left="288"/>
      </w:pPr>
      <w:r>
        <w:rPr>
          <w:rFonts w:ascii="Menlo" w:hAnsi="Menlo"/>
          <w:sz w:val="15"/>
        </w:rPr>
        <w:t xml:space="preserve">                                     validationPipeline (streaming + weighted quality score)</w:t>
      </w:r>
    </w:p>
    <w:p>
      <w:pPr>
        <w:spacing w:after="0"/>
        <w:ind w:left="288"/>
      </w:pPr>
      <w:r>
        <w:rPr>
          <w:rFonts w:ascii="Menlo" w:hAnsi="Menlo"/>
          <w:sz w:val="15"/>
        </w:rPr>
        <w:t xml:space="preserve">    ai/embeddings/embedClient.js  — shared local embedder + version metadata</w:t>
      </w:r>
    </w:p>
    <w:p>
      <w:pPr>
        <w:spacing w:after="0"/>
        <w:ind w:left="288"/>
      </w:pPr>
      <w:r>
        <w:rPr>
          <w:rFonts w:ascii="Menlo" w:hAnsi="Menlo"/>
          <w:sz w:val="15"/>
        </w:rPr>
        <w:t xml:space="preserve">    ai/matching/                  — campaignMatcher · cosineSimilarity</w:t>
      </w:r>
    </w:p>
    <w:p>
      <w:pPr>
        <w:spacing w:after="0"/>
        <w:ind w:left="288"/>
      </w:pPr>
      <w:r>
        <w:rPr>
          <w:rFonts w:ascii="Menlo" w:hAnsi="Menlo"/>
          <w:sz w:val="15"/>
        </w:rPr>
        <w:t xml:space="preserve">                                     masterCampaignList · normalizeForEmbedding · matchAllCampaigns</w:t>
      </w:r>
    </w:p>
    <w:p>
      <w:pPr>
        <w:spacing w:after="0"/>
        <w:ind w:left="288"/>
      </w:pPr>
      <w:r>
        <w:rPr>
          <w:rFonts w:ascii="Menlo" w:hAnsi="Menlo"/>
          <w:sz w:val="15"/>
        </w:rPr>
        <w:t xml:space="preserve">    ai/summary/qualitySummary.js  — fact object → one sentence (Groq)</w:t>
      </w:r>
    </w:p>
    <w:p>
      <w:pPr>
        <w:spacing w:after="0"/>
        <w:ind w:left="288"/>
      </w:pPr>
      <w:r>
        <w:rPr>
          <w:rFonts w:ascii="Menlo" w:hAnsi="Menlo"/>
          <w:sz w:val="15"/>
        </w:rPr>
        <w:t xml:space="preserve">    ai/rag/                       — queryRouter · structuredHandler · semanticHandler · indexer</w:t>
      </w:r>
    </w:p>
    <w:p>
      <w:pPr>
        <w:spacing w:after="0"/>
        <w:ind w:left="288"/>
      </w:pPr>
      <w:r>
        <w:rPr>
          <w:rFonts w:ascii="Menlo" w:hAnsi="Menlo"/>
          <w:sz w:val="15"/>
        </w:rPr>
        <w:t xml:space="preserve">    adtech/                       — googleAdsClient · adPlatformPush · reconciliation · autoReconcile</w:t>
      </w:r>
    </w:p>
    <w:p>
      <w:pPr>
        <w:spacing w:after="0"/>
        <w:ind w:left="288"/>
      </w:pPr>
      <w:r>
        <w:rPr>
          <w:rFonts w:ascii="Menlo" w:hAnsi="Menlo"/>
          <w:sz w:val="15"/>
        </w:rPr>
        <w:t xml:space="preserve">    databricks/                   — databricksIngestion (idempotency + retry w/ backoff)</w:t>
      </w:r>
    </w:p>
    <w:p>
      <w:pPr>
        <w:spacing w:after="0"/>
        <w:ind w:left="288"/>
      </w:pPr>
      <w:r>
        <w:rPr>
          <w:rFonts w:ascii="Menlo" w:hAnsi="Menlo"/>
          <w:sz w:val="15"/>
        </w:rPr>
        <w:t xml:space="preserve">    scheduler/                    — schedulerEngine · cronExpression · sourceFetcher · notifier</w:t>
      </w:r>
    </w:p>
    <w:p>
      <w:pPr>
        <w:spacing w:after="0"/>
        <w:ind w:left="288"/>
      </w:pPr>
      <w:r>
        <w:rPr>
          <w:rFonts w:ascii="Menlo" w:hAnsi="Menlo"/>
          <w:sz w:val="15"/>
        </w:rPr>
        <w:t xml:space="preserve">  test/                           — adPlatformPush · campaignMatcher · databricksIngestion</w:t>
      </w:r>
    </w:p>
    <w:p>
      <w:pPr>
        <w:spacing w:after="0"/>
        <w:ind w:left="288"/>
      </w:pPr>
      <w:r>
        <w:rPr>
          <w:rFonts w:ascii="Menlo" w:hAnsi="Menlo"/>
          <w:sz w:val="15"/>
        </w:rPr>
        <w:t xml:space="preserve">                                     embedVersioning · reconciliation · uploadRoute</w:t>
      </w:r>
    </w:p>
    <w:p>
      <w:pPr>
        <w:spacing w:after="0"/>
        <w:ind w:left="288"/>
      </w:pPr>
      <w:r>
        <w:rPr>
          <w:rFonts w:ascii="Menlo" w:hAnsi="Menlo"/>
          <w:sz w:val="15"/>
        </w:rPr>
        <w:t xml:space="preserve"> </w:t>
      </w:r>
    </w:p>
    <w:p>
      <w:pPr>
        <w:spacing w:after="0"/>
        <w:ind w:left="288"/>
      </w:pPr>
      <w:r>
        <w:rPr>
          <w:rFonts w:ascii="Menlo" w:hAnsi="Menlo"/>
          <w:sz w:val="15"/>
        </w:rPr>
        <w:t>frontend/</w:t>
      </w:r>
    </w:p>
    <w:p>
      <w:pPr>
        <w:spacing w:after="0"/>
        <w:ind w:left="288"/>
      </w:pPr>
      <w:r>
        <w:rPr>
          <w:rFonts w:ascii="Menlo" w:hAnsi="Menlo"/>
          <w:sz w:val="15"/>
        </w:rPr>
        <w:t xml:space="preserve">  src/pages/                      — Login → Upload → ValidationResults → Review →</w:t>
      </w:r>
    </w:p>
    <w:p>
      <w:pPr>
        <w:spacing w:after="0"/>
        <w:ind w:left="288"/>
      </w:pPr>
      <w:r>
        <w:rPr>
          <w:rFonts w:ascii="Menlo" w:hAnsi="Menlo"/>
          <w:sz w:val="15"/>
        </w:rPr>
        <w:t xml:space="preserve">                                     Reconciliation → PipelineStatus → Scheduling →</w:t>
      </w:r>
    </w:p>
    <w:p>
      <w:pPr>
        <w:spacing w:after="0"/>
        <w:ind w:left="288"/>
      </w:pPr>
      <w:r>
        <w:rPr>
          <w:rFonts w:ascii="Menlo" w:hAnsi="Menlo"/>
          <w:sz w:val="15"/>
        </w:rPr>
        <w:t xml:space="preserve">                                     Dashboard, plus admin-only AuditLog</w:t>
      </w:r>
    </w:p>
    <w:p>
      <w:pPr>
        <w:spacing w:after="0"/>
        <w:ind w:left="288"/>
      </w:pPr>
      <w:r>
        <w:rPr>
          <w:rFonts w:ascii="Menlo" w:hAnsi="Menlo"/>
          <w:sz w:val="15"/>
        </w:rPr>
        <w:t xml:space="preserve">  src/components/                 — StatusBadge · MetricCard · JobProgress · ChatWidget</w:t>
      </w:r>
    </w:p>
    <w:p>
      <w:pPr>
        <w:spacing w:after="0"/>
        <w:ind w:left="288"/>
      </w:pPr>
      <w:r>
        <w:rPr>
          <w:rFonts w:ascii="Menlo" w:hAnsi="Menlo"/>
          <w:sz w:val="15"/>
        </w:rPr>
        <w:t xml:space="preserve">                                     Layout · PreviewNotice · RequireAuth · RequireRole</w:t>
      </w:r>
    </w:p>
    <w:p>
      <w:pPr>
        <w:spacing w:after="0"/>
        <w:ind w:left="288"/>
      </w:pPr>
      <w:r>
        <w:rPr>
          <w:rFonts w:ascii="Menlo" w:hAnsi="Menlo"/>
          <w:sz w:val="15"/>
        </w:rPr>
        <w:t xml:space="preserve">  src/api/client.js               — every backend call in one place (credentials always included)</w:t>
      </w:r>
    </w:p>
    <w:p>
      <w:pPr>
        <w:spacing w:after="0"/>
        <w:ind w:left="288"/>
      </w:pPr>
      <w:r>
        <w:rPr>
          <w:rFonts w:ascii="Menlo" w:hAnsi="Menlo"/>
          <w:sz w:val="15"/>
        </w:rPr>
        <w:t xml:space="preserve">  src/context/JobContext.jsx      — active jobId, shared across pages</w:t>
      </w:r>
    </w:p>
    <w:p>
      <w:pPr>
        <w:spacing w:after="0"/>
        <w:ind w:left="288"/>
      </w:pPr>
      <w:r>
        <w:rPr>
          <w:rFonts w:ascii="Menlo" w:hAnsi="Menlo"/>
          <w:sz w:val="15"/>
        </w:rPr>
        <w:t xml:space="preserve">  src/context/AuthContext.jsx     — current user/role, login() / logout()</w:t>
      </w:r>
    </w:p>
    <w:p>
      <w:pPr>
        <w:spacing w:after="80"/>
      </w:pPr>
    </w:p>
    <w:p>
      <w:r>
        <w:rPr>
          <w:b/>
          <w:sz w:val="19"/>
        </w:rPr>
        <w:t>Reading this alongside the code:</w:t>
      </w:r>
      <w:r>
        <w:rPr>
          <w:sz w:val="19"/>
        </w:rPr>
        <w:t xml:space="preserve"> nearly every file referenced above carries its own "why" as a comment at the point of the decision. This document is the map; the comments are the territory. Where the two disagree, trust the code comment — it is closer to what shipped — and treat the mismatch as something to reconcile (§7.4 names one such case).</w:t>
      </w:r>
    </w:p>
    <w:sectPr w:rsidR="00FC693F" w:rsidRPr="0006063C" w:rsidSect="00034616">
      <w:footerReference w:type="default" r:id="rId9"/>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