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13C0" w:rsidRDefault="009319B9">
      <w:pPr>
        <w:jc w:val="center"/>
      </w:pPr>
      <w:r>
        <w:rPr>
          <w:b/>
          <w:sz w:val="52"/>
        </w:rPr>
        <w:t>GLOBAL SUPPLY CHAIN RISK ANALYSIS</w:t>
      </w:r>
    </w:p>
    <w:p w:rsidR="004013C0" w:rsidRDefault="009319B9">
      <w:pPr>
        <w:jc w:val="center"/>
      </w:pPr>
      <w:r>
        <w:rPr>
          <w:b/>
          <w:sz w:val="32"/>
        </w:rPr>
        <w:t>EDA • Excel • Tableau • Power BI</w:t>
      </w:r>
    </w:p>
    <w:p w:rsidR="004013C0" w:rsidRDefault="009319B9" w:rsidP="009319B9">
      <w:pPr>
        <w:pStyle w:val="Heading1"/>
      </w:pPr>
      <w:r>
        <w:t>1. Executive Summary</w:t>
      </w:r>
    </w:p>
    <w:p w:rsidR="004013C0" w:rsidRDefault="009319B9">
      <w:r>
        <w:t>T</w:t>
      </w:r>
      <w:r>
        <w:t xml:space="preserve">his project presents an end-to-end analysis of global supply chain risk using Python-based Exploratory Data Analysis (EDA) and dashboarding in Excel, Tableau, and Power BI. The supplied EDA notebook works with </w:t>
      </w:r>
      <w:r>
        <w:t>5,000 shipment records and 14 variables. The analysis examines shipment activity, transport modes, product categories, weather conditions, carrier reliability, distance, fuel price index, geopolitical risk, lead time, and shipment disruptions.</w:t>
      </w:r>
    </w:p>
    <w:p w:rsidR="004013C0" w:rsidRDefault="009319B9">
      <w:r>
        <w:t>The dashboar</w:t>
      </w:r>
      <w:r>
        <w:t>d views translate the analytical results into interactive and management-oriented visual reports. Across the supplied dashboard screenshots, the headline figures are 5,000 total shipments, 3,063 total disruptions, and an average lead time of about 19.36 da</w:t>
      </w:r>
      <w:r>
        <w:t>ys. The Power BI view also presents a disruption indicator of approximately 0.61, corresponding to the supplied disruption field's average in the EDA summary.</w:t>
      </w:r>
    </w:p>
    <w:p w:rsidR="004013C0" w:rsidRDefault="009319B9">
      <w:pPr>
        <w:pStyle w:val="Heading1"/>
      </w:pPr>
      <w:r>
        <w:t>2. Project Objectives</w:t>
      </w:r>
    </w:p>
    <w:p w:rsidR="004013C0" w:rsidRDefault="009319B9">
      <w:pPr>
        <w:pStyle w:val="ListBullet"/>
        <w:spacing w:after="40"/>
      </w:pPr>
      <w:r>
        <w:t>Understand the structure and quality of the global supply chain shipment da</w:t>
      </w:r>
      <w:r>
        <w:t>taset.</w:t>
      </w:r>
    </w:p>
    <w:p w:rsidR="004013C0" w:rsidRDefault="009319B9">
      <w:pPr>
        <w:pStyle w:val="ListBullet"/>
        <w:spacing w:after="40"/>
      </w:pPr>
      <w:r>
        <w:t>Explore shipment patterns across transport modes, product categories, weather conditions, and origin ports.</w:t>
      </w:r>
    </w:p>
    <w:p w:rsidR="004013C0" w:rsidRDefault="009319B9">
      <w:pPr>
        <w:pStyle w:val="ListBullet"/>
        <w:spacing w:after="40"/>
      </w:pPr>
      <w:r>
        <w:t>Study lead time in relation to distance, fuel price index, geopolitical risk, and disruptions.</w:t>
      </w:r>
    </w:p>
    <w:p w:rsidR="004013C0" w:rsidRDefault="009319B9">
      <w:pPr>
        <w:pStyle w:val="ListBullet"/>
        <w:spacing w:after="40"/>
      </w:pPr>
      <w:r>
        <w:t>Examine carrier reliability across transport m</w:t>
      </w:r>
      <w:r>
        <w:t>odes.</w:t>
      </w:r>
    </w:p>
    <w:p w:rsidR="004013C0" w:rsidRDefault="009319B9">
      <w:pPr>
        <w:pStyle w:val="ListBullet"/>
        <w:spacing w:after="40"/>
      </w:pPr>
      <w:r>
        <w:t>Identify monthly shipment and disruption trends.</w:t>
      </w:r>
    </w:p>
    <w:p w:rsidR="004013C0" w:rsidRDefault="009319B9">
      <w:pPr>
        <w:pStyle w:val="ListBullet"/>
        <w:spacing w:after="40"/>
      </w:pPr>
      <w:r>
        <w:t>Convert EDA findings into dashboard-based reporting using Excel, Tableau, and Power BI.</w:t>
      </w:r>
    </w:p>
    <w:p w:rsidR="004013C0" w:rsidRDefault="009319B9">
      <w:pPr>
        <w:pStyle w:val="ListBullet"/>
        <w:spacing w:after="40"/>
      </w:pPr>
      <w:r>
        <w:t>Provide a consolidated view that can be used for supply chain monitoring and reporting.</w:t>
      </w:r>
    </w:p>
    <w:p w:rsidR="004013C0" w:rsidRDefault="009319B9">
      <w:pPr>
        <w:pStyle w:val="Heading1"/>
      </w:pPr>
      <w:r>
        <w:t>3. Dataset Description</w:t>
      </w:r>
    </w:p>
    <w:p w:rsidR="004013C0" w:rsidRDefault="009319B9">
      <w:r>
        <w:t>Ac</w:t>
      </w:r>
      <w:r>
        <w:t>cording to the supplied EDA notebook, the dataset contains 5,000 rows and 14 columns. The notebook checks the first, last, and random records, data types, descriptive statistics, null values, duplicate rows, unique values, grouped values, and sorted values</w:t>
      </w:r>
      <w:r>
        <w:t>.</w:t>
      </w:r>
    </w:p>
    <w:tbl>
      <w:tblPr>
        <w:tblStyle w:val="TableGrid"/>
        <w:tblW w:w="0" w:type="auto"/>
        <w:jc w:val="center"/>
        <w:tblLook w:val="04A0" w:firstRow="1" w:lastRow="0" w:firstColumn="1" w:lastColumn="0" w:noHBand="0" w:noVBand="1"/>
      </w:tblPr>
      <w:tblGrid>
        <w:gridCol w:w="3408"/>
        <w:gridCol w:w="3408"/>
        <w:gridCol w:w="3408"/>
      </w:tblGrid>
      <w:tr w:rsidR="004013C0">
        <w:trPr>
          <w:jc w:val="center"/>
        </w:trPr>
        <w:tc>
          <w:tcPr>
            <w:tcW w:w="3408" w:type="dxa"/>
            <w:shd w:val="clear" w:color="auto" w:fill="17365D"/>
            <w:vAlign w:val="center"/>
          </w:tcPr>
          <w:p w:rsidR="004013C0" w:rsidRDefault="009319B9">
            <w:r>
              <w:rPr>
                <w:b/>
                <w:color w:val="FFFFFF"/>
                <w:sz w:val="18"/>
              </w:rPr>
              <w:t>Field</w:t>
            </w:r>
          </w:p>
        </w:tc>
        <w:tc>
          <w:tcPr>
            <w:tcW w:w="3408" w:type="dxa"/>
            <w:shd w:val="clear" w:color="auto" w:fill="17365D"/>
            <w:vAlign w:val="center"/>
          </w:tcPr>
          <w:p w:rsidR="004013C0" w:rsidRDefault="009319B9">
            <w:r>
              <w:rPr>
                <w:b/>
                <w:color w:val="FFFFFF"/>
                <w:sz w:val="18"/>
              </w:rPr>
              <w:t>Type</w:t>
            </w:r>
          </w:p>
        </w:tc>
        <w:tc>
          <w:tcPr>
            <w:tcW w:w="3408" w:type="dxa"/>
            <w:shd w:val="clear" w:color="auto" w:fill="17365D"/>
            <w:vAlign w:val="center"/>
          </w:tcPr>
          <w:p w:rsidR="004013C0" w:rsidRDefault="009319B9">
            <w:r>
              <w:rPr>
                <w:b/>
                <w:color w:val="FFFFFF"/>
                <w:sz w:val="18"/>
              </w:rPr>
              <w:t>Purpose</w:t>
            </w:r>
          </w:p>
        </w:tc>
      </w:tr>
      <w:tr w:rsidR="004013C0">
        <w:trPr>
          <w:jc w:val="center"/>
        </w:trPr>
        <w:tc>
          <w:tcPr>
            <w:tcW w:w="3408" w:type="dxa"/>
            <w:vAlign w:val="center"/>
          </w:tcPr>
          <w:p w:rsidR="004013C0" w:rsidRDefault="009319B9">
            <w:r>
              <w:rPr>
                <w:sz w:val="17"/>
              </w:rPr>
              <w:t>Shipment_ID</w:t>
            </w:r>
          </w:p>
        </w:tc>
        <w:tc>
          <w:tcPr>
            <w:tcW w:w="3408" w:type="dxa"/>
            <w:vAlign w:val="center"/>
          </w:tcPr>
          <w:p w:rsidR="004013C0" w:rsidRDefault="009319B9">
            <w:r>
              <w:rPr>
                <w:sz w:val="17"/>
              </w:rPr>
              <w:t>Object</w:t>
            </w:r>
          </w:p>
        </w:tc>
        <w:tc>
          <w:tcPr>
            <w:tcW w:w="3408" w:type="dxa"/>
            <w:vAlign w:val="center"/>
          </w:tcPr>
          <w:p w:rsidR="004013C0" w:rsidRDefault="009319B9">
            <w:r>
              <w:rPr>
                <w:sz w:val="17"/>
              </w:rPr>
              <w:t>Unique shipment identifier</w:t>
            </w:r>
          </w:p>
        </w:tc>
      </w:tr>
      <w:tr w:rsidR="004013C0">
        <w:trPr>
          <w:jc w:val="center"/>
        </w:trPr>
        <w:tc>
          <w:tcPr>
            <w:tcW w:w="3408" w:type="dxa"/>
            <w:vAlign w:val="center"/>
          </w:tcPr>
          <w:p w:rsidR="004013C0" w:rsidRDefault="009319B9">
            <w:r>
              <w:rPr>
                <w:sz w:val="17"/>
              </w:rPr>
              <w:t>Date</w:t>
            </w:r>
          </w:p>
        </w:tc>
        <w:tc>
          <w:tcPr>
            <w:tcW w:w="3408" w:type="dxa"/>
            <w:vAlign w:val="center"/>
          </w:tcPr>
          <w:p w:rsidR="004013C0" w:rsidRDefault="009319B9">
            <w:r>
              <w:rPr>
                <w:sz w:val="17"/>
              </w:rPr>
              <w:t>Object → Date</w:t>
            </w:r>
          </w:p>
        </w:tc>
        <w:tc>
          <w:tcPr>
            <w:tcW w:w="3408" w:type="dxa"/>
            <w:vAlign w:val="center"/>
          </w:tcPr>
          <w:p w:rsidR="004013C0" w:rsidRDefault="009319B9">
            <w:r>
              <w:rPr>
                <w:sz w:val="17"/>
              </w:rPr>
              <w:t>Shipment date; converted to datetime for monthly analysis</w:t>
            </w:r>
          </w:p>
        </w:tc>
      </w:tr>
      <w:tr w:rsidR="004013C0">
        <w:trPr>
          <w:jc w:val="center"/>
        </w:trPr>
        <w:tc>
          <w:tcPr>
            <w:tcW w:w="3408" w:type="dxa"/>
            <w:vAlign w:val="center"/>
          </w:tcPr>
          <w:p w:rsidR="004013C0" w:rsidRDefault="009319B9">
            <w:r>
              <w:rPr>
                <w:sz w:val="17"/>
              </w:rPr>
              <w:t>Origin_Port</w:t>
            </w:r>
          </w:p>
        </w:tc>
        <w:tc>
          <w:tcPr>
            <w:tcW w:w="3408" w:type="dxa"/>
            <w:vAlign w:val="center"/>
          </w:tcPr>
          <w:p w:rsidR="004013C0" w:rsidRDefault="009319B9">
            <w:r>
              <w:rPr>
                <w:sz w:val="17"/>
              </w:rPr>
              <w:t>Object</w:t>
            </w:r>
          </w:p>
        </w:tc>
        <w:tc>
          <w:tcPr>
            <w:tcW w:w="3408" w:type="dxa"/>
            <w:vAlign w:val="center"/>
          </w:tcPr>
          <w:p w:rsidR="004013C0" w:rsidRDefault="009319B9">
            <w:r>
              <w:rPr>
                <w:sz w:val="17"/>
              </w:rPr>
              <w:t>Shipment origin port</w:t>
            </w:r>
          </w:p>
        </w:tc>
      </w:tr>
      <w:tr w:rsidR="004013C0">
        <w:trPr>
          <w:jc w:val="center"/>
        </w:trPr>
        <w:tc>
          <w:tcPr>
            <w:tcW w:w="3408" w:type="dxa"/>
            <w:vAlign w:val="center"/>
          </w:tcPr>
          <w:p w:rsidR="004013C0" w:rsidRDefault="009319B9">
            <w:r>
              <w:rPr>
                <w:sz w:val="17"/>
              </w:rPr>
              <w:t>Destination_Port</w:t>
            </w:r>
          </w:p>
        </w:tc>
        <w:tc>
          <w:tcPr>
            <w:tcW w:w="3408" w:type="dxa"/>
            <w:vAlign w:val="center"/>
          </w:tcPr>
          <w:p w:rsidR="004013C0" w:rsidRDefault="009319B9">
            <w:r>
              <w:rPr>
                <w:sz w:val="17"/>
              </w:rPr>
              <w:t>Object</w:t>
            </w:r>
          </w:p>
        </w:tc>
        <w:tc>
          <w:tcPr>
            <w:tcW w:w="3408" w:type="dxa"/>
            <w:vAlign w:val="center"/>
          </w:tcPr>
          <w:p w:rsidR="004013C0" w:rsidRDefault="009319B9">
            <w:r>
              <w:rPr>
                <w:sz w:val="17"/>
              </w:rPr>
              <w:t>Shipment destination port</w:t>
            </w:r>
          </w:p>
        </w:tc>
      </w:tr>
      <w:tr w:rsidR="004013C0">
        <w:trPr>
          <w:jc w:val="center"/>
        </w:trPr>
        <w:tc>
          <w:tcPr>
            <w:tcW w:w="3408" w:type="dxa"/>
            <w:vAlign w:val="center"/>
          </w:tcPr>
          <w:p w:rsidR="004013C0" w:rsidRDefault="009319B9">
            <w:r>
              <w:rPr>
                <w:sz w:val="17"/>
              </w:rPr>
              <w:t>Transport_Mode</w:t>
            </w:r>
          </w:p>
        </w:tc>
        <w:tc>
          <w:tcPr>
            <w:tcW w:w="3408" w:type="dxa"/>
            <w:vAlign w:val="center"/>
          </w:tcPr>
          <w:p w:rsidR="004013C0" w:rsidRDefault="009319B9">
            <w:r>
              <w:rPr>
                <w:sz w:val="17"/>
              </w:rPr>
              <w:t>Object</w:t>
            </w:r>
          </w:p>
        </w:tc>
        <w:tc>
          <w:tcPr>
            <w:tcW w:w="3408" w:type="dxa"/>
            <w:vAlign w:val="center"/>
          </w:tcPr>
          <w:p w:rsidR="004013C0" w:rsidRDefault="009319B9">
            <w:r>
              <w:rPr>
                <w:sz w:val="17"/>
              </w:rPr>
              <w:t>Air, Rail, Road, or Sea transport</w:t>
            </w:r>
          </w:p>
        </w:tc>
      </w:tr>
      <w:tr w:rsidR="004013C0">
        <w:trPr>
          <w:jc w:val="center"/>
        </w:trPr>
        <w:tc>
          <w:tcPr>
            <w:tcW w:w="3408" w:type="dxa"/>
            <w:vAlign w:val="center"/>
          </w:tcPr>
          <w:p w:rsidR="004013C0" w:rsidRDefault="009319B9">
            <w:r>
              <w:rPr>
                <w:sz w:val="17"/>
              </w:rPr>
              <w:t>Product_Category</w:t>
            </w:r>
          </w:p>
        </w:tc>
        <w:tc>
          <w:tcPr>
            <w:tcW w:w="3408" w:type="dxa"/>
            <w:vAlign w:val="center"/>
          </w:tcPr>
          <w:p w:rsidR="004013C0" w:rsidRDefault="009319B9">
            <w:r>
              <w:rPr>
                <w:sz w:val="17"/>
              </w:rPr>
              <w:t>Object</w:t>
            </w:r>
          </w:p>
        </w:tc>
        <w:tc>
          <w:tcPr>
            <w:tcW w:w="3408" w:type="dxa"/>
            <w:vAlign w:val="center"/>
          </w:tcPr>
          <w:p w:rsidR="004013C0" w:rsidRDefault="009319B9">
            <w:r>
              <w:rPr>
                <w:sz w:val="17"/>
              </w:rPr>
              <w:t>Shipment product category</w:t>
            </w:r>
          </w:p>
        </w:tc>
      </w:tr>
      <w:tr w:rsidR="004013C0">
        <w:trPr>
          <w:jc w:val="center"/>
        </w:trPr>
        <w:tc>
          <w:tcPr>
            <w:tcW w:w="3408" w:type="dxa"/>
            <w:vAlign w:val="center"/>
          </w:tcPr>
          <w:p w:rsidR="004013C0" w:rsidRDefault="009319B9">
            <w:r>
              <w:rPr>
                <w:sz w:val="17"/>
              </w:rPr>
              <w:t>Distance_km</w:t>
            </w:r>
          </w:p>
        </w:tc>
        <w:tc>
          <w:tcPr>
            <w:tcW w:w="3408" w:type="dxa"/>
            <w:vAlign w:val="center"/>
          </w:tcPr>
          <w:p w:rsidR="004013C0" w:rsidRDefault="009319B9">
            <w:r>
              <w:rPr>
                <w:sz w:val="17"/>
              </w:rPr>
              <w:t>Float</w:t>
            </w:r>
          </w:p>
        </w:tc>
        <w:tc>
          <w:tcPr>
            <w:tcW w:w="3408" w:type="dxa"/>
            <w:vAlign w:val="center"/>
          </w:tcPr>
          <w:p w:rsidR="004013C0" w:rsidRDefault="009319B9">
            <w:r>
              <w:rPr>
                <w:sz w:val="17"/>
              </w:rPr>
              <w:t>Shipment distance in kilometres</w:t>
            </w:r>
          </w:p>
        </w:tc>
      </w:tr>
      <w:tr w:rsidR="004013C0">
        <w:trPr>
          <w:jc w:val="center"/>
        </w:trPr>
        <w:tc>
          <w:tcPr>
            <w:tcW w:w="3408" w:type="dxa"/>
            <w:vAlign w:val="center"/>
          </w:tcPr>
          <w:p w:rsidR="004013C0" w:rsidRDefault="009319B9">
            <w:r>
              <w:rPr>
                <w:sz w:val="17"/>
              </w:rPr>
              <w:t>Weight_MT</w:t>
            </w:r>
          </w:p>
        </w:tc>
        <w:tc>
          <w:tcPr>
            <w:tcW w:w="3408" w:type="dxa"/>
            <w:vAlign w:val="center"/>
          </w:tcPr>
          <w:p w:rsidR="004013C0" w:rsidRDefault="009319B9">
            <w:r>
              <w:rPr>
                <w:sz w:val="17"/>
              </w:rPr>
              <w:t>Float</w:t>
            </w:r>
          </w:p>
        </w:tc>
        <w:tc>
          <w:tcPr>
            <w:tcW w:w="3408" w:type="dxa"/>
            <w:vAlign w:val="center"/>
          </w:tcPr>
          <w:p w:rsidR="004013C0" w:rsidRDefault="009319B9">
            <w:r>
              <w:rPr>
                <w:sz w:val="17"/>
              </w:rPr>
              <w:t>Shipment weight in metric tonnes</w:t>
            </w:r>
          </w:p>
        </w:tc>
      </w:tr>
      <w:tr w:rsidR="004013C0">
        <w:trPr>
          <w:jc w:val="center"/>
        </w:trPr>
        <w:tc>
          <w:tcPr>
            <w:tcW w:w="3408" w:type="dxa"/>
            <w:vAlign w:val="center"/>
          </w:tcPr>
          <w:p w:rsidR="004013C0" w:rsidRDefault="009319B9">
            <w:r>
              <w:rPr>
                <w:sz w:val="17"/>
              </w:rPr>
              <w:t>Fuel_Price_Index</w:t>
            </w:r>
          </w:p>
        </w:tc>
        <w:tc>
          <w:tcPr>
            <w:tcW w:w="3408" w:type="dxa"/>
            <w:vAlign w:val="center"/>
          </w:tcPr>
          <w:p w:rsidR="004013C0" w:rsidRDefault="009319B9">
            <w:r>
              <w:rPr>
                <w:sz w:val="17"/>
              </w:rPr>
              <w:t>Float</w:t>
            </w:r>
          </w:p>
        </w:tc>
        <w:tc>
          <w:tcPr>
            <w:tcW w:w="3408" w:type="dxa"/>
            <w:vAlign w:val="center"/>
          </w:tcPr>
          <w:p w:rsidR="004013C0" w:rsidRDefault="009319B9">
            <w:r>
              <w:rPr>
                <w:sz w:val="17"/>
              </w:rPr>
              <w:t xml:space="preserve">Fuel price index associated with </w:t>
            </w:r>
            <w:r>
              <w:rPr>
                <w:sz w:val="17"/>
              </w:rPr>
              <w:t>shipment</w:t>
            </w:r>
          </w:p>
        </w:tc>
      </w:tr>
      <w:tr w:rsidR="004013C0">
        <w:trPr>
          <w:jc w:val="center"/>
        </w:trPr>
        <w:tc>
          <w:tcPr>
            <w:tcW w:w="3408" w:type="dxa"/>
            <w:vAlign w:val="center"/>
          </w:tcPr>
          <w:p w:rsidR="004013C0" w:rsidRDefault="009319B9">
            <w:r>
              <w:rPr>
                <w:sz w:val="17"/>
              </w:rPr>
              <w:t>Geopolitical_Risk_Score</w:t>
            </w:r>
          </w:p>
        </w:tc>
        <w:tc>
          <w:tcPr>
            <w:tcW w:w="3408" w:type="dxa"/>
            <w:vAlign w:val="center"/>
          </w:tcPr>
          <w:p w:rsidR="004013C0" w:rsidRDefault="009319B9">
            <w:r>
              <w:rPr>
                <w:sz w:val="17"/>
              </w:rPr>
              <w:t>Float</w:t>
            </w:r>
          </w:p>
        </w:tc>
        <w:tc>
          <w:tcPr>
            <w:tcW w:w="3408" w:type="dxa"/>
            <w:vAlign w:val="center"/>
          </w:tcPr>
          <w:p w:rsidR="004013C0" w:rsidRDefault="009319B9">
            <w:r>
              <w:rPr>
                <w:sz w:val="17"/>
              </w:rPr>
              <w:t>Geopolitical risk measure</w:t>
            </w:r>
          </w:p>
        </w:tc>
      </w:tr>
      <w:tr w:rsidR="004013C0">
        <w:trPr>
          <w:jc w:val="center"/>
        </w:trPr>
        <w:tc>
          <w:tcPr>
            <w:tcW w:w="3408" w:type="dxa"/>
            <w:vAlign w:val="center"/>
          </w:tcPr>
          <w:p w:rsidR="004013C0" w:rsidRDefault="009319B9">
            <w:r>
              <w:rPr>
                <w:sz w:val="17"/>
              </w:rPr>
              <w:t>Weather_Condition</w:t>
            </w:r>
          </w:p>
        </w:tc>
        <w:tc>
          <w:tcPr>
            <w:tcW w:w="3408" w:type="dxa"/>
            <w:vAlign w:val="center"/>
          </w:tcPr>
          <w:p w:rsidR="004013C0" w:rsidRDefault="009319B9">
            <w:r>
              <w:rPr>
                <w:sz w:val="17"/>
              </w:rPr>
              <w:t>Object</w:t>
            </w:r>
          </w:p>
        </w:tc>
        <w:tc>
          <w:tcPr>
            <w:tcW w:w="3408" w:type="dxa"/>
            <w:vAlign w:val="center"/>
          </w:tcPr>
          <w:p w:rsidR="004013C0" w:rsidRDefault="009319B9">
            <w:r>
              <w:rPr>
                <w:sz w:val="17"/>
              </w:rPr>
              <w:t>Weather condition associated with shipment</w:t>
            </w:r>
          </w:p>
        </w:tc>
      </w:tr>
      <w:tr w:rsidR="004013C0">
        <w:trPr>
          <w:jc w:val="center"/>
        </w:trPr>
        <w:tc>
          <w:tcPr>
            <w:tcW w:w="3408" w:type="dxa"/>
            <w:vAlign w:val="center"/>
          </w:tcPr>
          <w:p w:rsidR="004013C0" w:rsidRDefault="009319B9">
            <w:r>
              <w:rPr>
                <w:sz w:val="17"/>
              </w:rPr>
              <w:t>Carrier_Reliability_Score</w:t>
            </w:r>
          </w:p>
        </w:tc>
        <w:tc>
          <w:tcPr>
            <w:tcW w:w="3408" w:type="dxa"/>
            <w:vAlign w:val="center"/>
          </w:tcPr>
          <w:p w:rsidR="004013C0" w:rsidRDefault="009319B9">
            <w:r>
              <w:rPr>
                <w:sz w:val="17"/>
              </w:rPr>
              <w:t>Float</w:t>
            </w:r>
          </w:p>
        </w:tc>
        <w:tc>
          <w:tcPr>
            <w:tcW w:w="3408" w:type="dxa"/>
            <w:vAlign w:val="center"/>
          </w:tcPr>
          <w:p w:rsidR="004013C0" w:rsidRDefault="009319B9">
            <w:r>
              <w:rPr>
                <w:sz w:val="17"/>
              </w:rPr>
              <w:t>Carrier reliability measure</w:t>
            </w:r>
          </w:p>
        </w:tc>
      </w:tr>
      <w:tr w:rsidR="004013C0">
        <w:trPr>
          <w:jc w:val="center"/>
        </w:trPr>
        <w:tc>
          <w:tcPr>
            <w:tcW w:w="3408" w:type="dxa"/>
            <w:vAlign w:val="center"/>
          </w:tcPr>
          <w:p w:rsidR="004013C0" w:rsidRDefault="009319B9">
            <w:r>
              <w:rPr>
                <w:sz w:val="17"/>
              </w:rPr>
              <w:t>Lead_Time_Days</w:t>
            </w:r>
          </w:p>
        </w:tc>
        <w:tc>
          <w:tcPr>
            <w:tcW w:w="3408" w:type="dxa"/>
            <w:vAlign w:val="center"/>
          </w:tcPr>
          <w:p w:rsidR="004013C0" w:rsidRDefault="009319B9">
            <w:r>
              <w:rPr>
                <w:sz w:val="17"/>
              </w:rPr>
              <w:t>Float</w:t>
            </w:r>
          </w:p>
        </w:tc>
        <w:tc>
          <w:tcPr>
            <w:tcW w:w="3408" w:type="dxa"/>
            <w:vAlign w:val="center"/>
          </w:tcPr>
          <w:p w:rsidR="004013C0" w:rsidRDefault="009319B9">
            <w:r>
              <w:rPr>
                <w:sz w:val="17"/>
              </w:rPr>
              <w:t>Shipment lead time in days</w:t>
            </w:r>
          </w:p>
        </w:tc>
      </w:tr>
      <w:tr w:rsidR="004013C0">
        <w:trPr>
          <w:jc w:val="center"/>
        </w:trPr>
        <w:tc>
          <w:tcPr>
            <w:tcW w:w="3408" w:type="dxa"/>
            <w:vAlign w:val="center"/>
          </w:tcPr>
          <w:p w:rsidR="004013C0" w:rsidRDefault="009319B9">
            <w:r>
              <w:rPr>
                <w:sz w:val="17"/>
              </w:rPr>
              <w:t>Disruption_Occurred</w:t>
            </w:r>
          </w:p>
        </w:tc>
        <w:tc>
          <w:tcPr>
            <w:tcW w:w="3408" w:type="dxa"/>
            <w:vAlign w:val="center"/>
          </w:tcPr>
          <w:p w:rsidR="004013C0" w:rsidRDefault="009319B9">
            <w:r>
              <w:rPr>
                <w:sz w:val="17"/>
              </w:rPr>
              <w:t>Integer</w:t>
            </w:r>
          </w:p>
        </w:tc>
        <w:tc>
          <w:tcPr>
            <w:tcW w:w="3408" w:type="dxa"/>
            <w:vAlign w:val="center"/>
          </w:tcPr>
          <w:p w:rsidR="004013C0" w:rsidRDefault="009319B9">
            <w:r>
              <w:rPr>
                <w:sz w:val="17"/>
              </w:rPr>
              <w:t>Binary disruption indicator (0/1)</w:t>
            </w:r>
          </w:p>
        </w:tc>
      </w:tr>
    </w:tbl>
    <w:p w:rsidR="004013C0" w:rsidRDefault="009319B9">
      <w:pPr>
        <w:pStyle w:val="Heading2"/>
      </w:pPr>
      <w:r>
        <w:lastRenderedPageBreak/>
        <w:t>3.1 Dataset Quality Checks</w:t>
      </w:r>
    </w:p>
    <w:tbl>
      <w:tblPr>
        <w:tblStyle w:val="TableGrid"/>
        <w:tblW w:w="0" w:type="auto"/>
        <w:jc w:val="center"/>
        <w:tblLook w:val="04A0" w:firstRow="1" w:lastRow="0" w:firstColumn="1" w:lastColumn="0" w:noHBand="0" w:noVBand="1"/>
      </w:tblPr>
      <w:tblGrid>
        <w:gridCol w:w="5112"/>
        <w:gridCol w:w="5112"/>
      </w:tblGrid>
      <w:tr w:rsidR="004013C0">
        <w:trPr>
          <w:jc w:val="center"/>
        </w:trPr>
        <w:tc>
          <w:tcPr>
            <w:tcW w:w="5112" w:type="dxa"/>
            <w:shd w:val="clear" w:color="auto" w:fill="17365D"/>
            <w:vAlign w:val="center"/>
          </w:tcPr>
          <w:p w:rsidR="004013C0" w:rsidRDefault="009319B9">
            <w:r>
              <w:rPr>
                <w:b/>
                <w:color w:val="FFFFFF"/>
                <w:sz w:val="18"/>
              </w:rPr>
              <w:t>Check</w:t>
            </w:r>
          </w:p>
        </w:tc>
        <w:tc>
          <w:tcPr>
            <w:tcW w:w="5112" w:type="dxa"/>
            <w:shd w:val="clear" w:color="auto" w:fill="17365D"/>
            <w:vAlign w:val="center"/>
          </w:tcPr>
          <w:p w:rsidR="004013C0" w:rsidRDefault="009319B9">
            <w:r>
              <w:rPr>
                <w:b/>
                <w:color w:val="FFFFFF"/>
                <w:sz w:val="18"/>
              </w:rPr>
              <w:t>Result from supplied EDA notebook</w:t>
            </w:r>
          </w:p>
        </w:tc>
      </w:tr>
      <w:tr w:rsidR="004013C0">
        <w:trPr>
          <w:jc w:val="center"/>
        </w:trPr>
        <w:tc>
          <w:tcPr>
            <w:tcW w:w="5112" w:type="dxa"/>
            <w:vAlign w:val="center"/>
          </w:tcPr>
          <w:p w:rsidR="004013C0" w:rsidRDefault="009319B9">
            <w:r>
              <w:rPr>
                <w:sz w:val="17"/>
              </w:rPr>
              <w:t>Rows × Columns</w:t>
            </w:r>
          </w:p>
        </w:tc>
        <w:tc>
          <w:tcPr>
            <w:tcW w:w="5112" w:type="dxa"/>
            <w:vAlign w:val="center"/>
          </w:tcPr>
          <w:p w:rsidR="004013C0" w:rsidRDefault="009319B9">
            <w:r>
              <w:rPr>
                <w:sz w:val="17"/>
              </w:rPr>
              <w:t>5,000 × 14</w:t>
            </w:r>
          </w:p>
        </w:tc>
      </w:tr>
      <w:tr w:rsidR="004013C0">
        <w:trPr>
          <w:jc w:val="center"/>
        </w:trPr>
        <w:tc>
          <w:tcPr>
            <w:tcW w:w="5112" w:type="dxa"/>
            <w:vAlign w:val="center"/>
          </w:tcPr>
          <w:p w:rsidR="004013C0" w:rsidRDefault="009319B9">
            <w:r>
              <w:rPr>
                <w:sz w:val="17"/>
              </w:rPr>
              <w:t>Missing values</w:t>
            </w:r>
          </w:p>
        </w:tc>
        <w:tc>
          <w:tcPr>
            <w:tcW w:w="5112" w:type="dxa"/>
            <w:vAlign w:val="center"/>
          </w:tcPr>
          <w:p w:rsidR="004013C0" w:rsidRDefault="009319B9">
            <w:r>
              <w:rPr>
                <w:sz w:val="17"/>
              </w:rPr>
              <w:t>0 across all 14 columns</w:t>
            </w:r>
          </w:p>
        </w:tc>
      </w:tr>
      <w:tr w:rsidR="004013C0">
        <w:trPr>
          <w:jc w:val="center"/>
        </w:trPr>
        <w:tc>
          <w:tcPr>
            <w:tcW w:w="5112" w:type="dxa"/>
            <w:vAlign w:val="center"/>
          </w:tcPr>
          <w:p w:rsidR="004013C0" w:rsidRDefault="009319B9">
            <w:r>
              <w:rPr>
                <w:sz w:val="17"/>
              </w:rPr>
              <w:t>Duplicate rows</w:t>
            </w:r>
          </w:p>
        </w:tc>
        <w:tc>
          <w:tcPr>
            <w:tcW w:w="5112" w:type="dxa"/>
            <w:vAlign w:val="center"/>
          </w:tcPr>
          <w:p w:rsidR="004013C0" w:rsidRDefault="009319B9">
            <w:r>
              <w:rPr>
                <w:sz w:val="17"/>
              </w:rPr>
              <w:t>0</w:t>
            </w:r>
          </w:p>
        </w:tc>
      </w:tr>
      <w:tr w:rsidR="004013C0">
        <w:trPr>
          <w:jc w:val="center"/>
        </w:trPr>
        <w:tc>
          <w:tcPr>
            <w:tcW w:w="5112" w:type="dxa"/>
            <w:vAlign w:val="center"/>
          </w:tcPr>
          <w:p w:rsidR="004013C0" w:rsidRDefault="009319B9">
            <w:r>
              <w:rPr>
                <w:sz w:val="17"/>
              </w:rPr>
              <w:t>Product categories</w:t>
            </w:r>
          </w:p>
        </w:tc>
        <w:tc>
          <w:tcPr>
            <w:tcW w:w="5112" w:type="dxa"/>
            <w:vAlign w:val="center"/>
          </w:tcPr>
          <w:p w:rsidR="004013C0" w:rsidRDefault="009319B9">
            <w:r>
              <w:rPr>
                <w:sz w:val="17"/>
              </w:rPr>
              <w:t>5 unique categories</w:t>
            </w:r>
          </w:p>
        </w:tc>
      </w:tr>
      <w:tr w:rsidR="004013C0">
        <w:trPr>
          <w:jc w:val="center"/>
        </w:trPr>
        <w:tc>
          <w:tcPr>
            <w:tcW w:w="5112" w:type="dxa"/>
            <w:vAlign w:val="center"/>
          </w:tcPr>
          <w:p w:rsidR="004013C0" w:rsidRDefault="009319B9">
            <w:r>
              <w:rPr>
                <w:sz w:val="17"/>
              </w:rPr>
              <w:t>Origin ports</w:t>
            </w:r>
          </w:p>
        </w:tc>
        <w:tc>
          <w:tcPr>
            <w:tcW w:w="5112" w:type="dxa"/>
            <w:vAlign w:val="center"/>
          </w:tcPr>
          <w:p w:rsidR="004013C0" w:rsidRDefault="009319B9">
            <w:r>
              <w:rPr>
                <w:sz w:val="17"/>
              </w:rPr>
              <w:t>9 ports</w:t>
            </w:r>
          </w:p>
        </w:tc>
      </w:tr>
      <w:tr w:rsidR="004013C0">
        <w:trPr>
          <w:jc w:val="center"/>
        </w:trPr>
        <w:tc>
          <w:tcPr>
            <w:tcW w:w="5112" w:type="dxa"/>
            <w:vAlign w:val="center"/>
          </w:tcPr>
          <w:p w:rsidR="004013C0" w:rsidRDefault="009319B9">
            <w:r>
              <w:rPr>
                <w:sz w:val="17"/>
              </w:rPr>
              <w:t>Weather conditions</w:t>
            </w:r>
          </w:p>
        </w:tc>
        <w:tc>
          <w:tcPr>
            <w:tcW w:w="5112" w:type="dxa"/>
            <w:vAlign w:val="center"/>
          </w:tcPr>
          <w:p w:rsidR="004013C0" w:rsidRDefault="009319B9">
            <w:r>
              <w:rPr>
                <w:sz w:val="17"/>
              </w:rPr>
              <w:t>5 categories</w:t>
            </w:r>
          </w:p>
        </w:tc>
      </w:tr>
      <w:tr w:rsidR="004013C0">
        <w:trPr>
          <w:jc w:val="center"/>
        </w:trPr>
        <w:tc>
          <w:tcPr>
            <w:tcW w:w="5112" w:type="dxa"/>
            <w:vAlign w:val="center"/>
          </w:tcPr>
          <w:p w:rsidR="004013C0" w:rsidRDefault="009319B9">
            <w:r>
              <w:rPr>
                <w:sz w:val="17"/>
              </w:rPr>
              <w:t>Date handling</w:t>
            </w:r>
          </w:p>
        </w:tc>
        <w:tc>
          <w:tcPr>
            <w:tcW w:w="5112" w:type="dxa"/>
            <w:vAlign w:val="center"/>
          </w:tcPr>
          <w:p w:rsidR="004013C0" w:rsidRDefault="009319B9">
            <w:r>
              <w:rPr>
                <w:sz w:val="17"/>
              </w:rPr>
              <w:t>Converted to datetime before monthly trend analysis</w:t>
            </w:r>
          </w:p>
        </w:tc>
      </w:tr>
    </w:tbl>
    <w:p w:rsidR="004013C0" w:rsidRDefault="009319B9">
      <w:pPr>
        <w:pStyle w:val="Heading2"/>
      </w:pPr>
      <w:r>
        <w:t>3.2 Descriptive Statistics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4013C0">
        <w:trPr>
          <w:jc w:val="center"/>
        </w:trPr>
        <w:tc>
          <w:tcPr>
            <w:tcW w:w="2045" w:type="dxa"/>
            <w:shd w:val="clear" w:color="auto" w:fill="17365D"/>
            <w:vAlign w:val="center"/>
          </w:tcPr>
          <w:p w:rsidR="004013C0" w:rsidRDefault="009319B9">
            <w:r>
              <w:rPr>
                <w:b/>
                <w:color w:val="FFFFFF"/>
                <w:sz w:val="18"/>
              </w:rPr>
              <w:t>Variable</w:t>
            </w:r>
          </w:p>
        </w:tc>
        <w:tc>
          <w:tcPr>
            <w:tcW w:w="2045" w:type="dxa"/>
            <w:shd w:val="clear" w:color="auto" w:fill="17365D"/>
            <w:vAlign w:val="center"/>
          </w:tcPr>
          <w:p w:rsidR="004013C0" w:rsidRDefault="009319B9">
            <w:r>
              <w:rPr>
                <w:b/>
                <w:color w:val="FFFFFF"/>
                <w:sz w:val="18"/>
              </w:rPr>
              <w:t>Mean</w:t>
            </w:r>
          </w:p>
        </w:tc>
        <w:tc>
          <w:tcPr>
            <w:tcW w:w="2045" w:type="dxa"/>
            <w:shd w:val="clear" w:color="auto" w:fill="17365D"/>
            <w:vAlign w:val="center"/>
          </w:tcPr>
          <w:p w:rsidR="004013C0" w:rsidRDefault="009319B9">
            <w:r>
              <w:rPr>
                <w:b/>
                <w:color w:val="FFFFFF"/>
                <w:sz w:val="18"/>
              </w:rPr>
              <w:t>Std. Dev.</w:t>
            </w:r>
          </w:p>
        </w:tc>
        <w:tc>
          <w:tcPr>
            <w:tcW w:w="2045" w:type="dxa"/>
            <w:shd w:val="clear" w:color="auto" w:fill="17365D"/>
            <w:vAlign w:val="center"/>
          </w:tcPr>
          <w:p w:rsidR="004013C0" w:rsidRDefault="009319B9">
            <w:r>
              <w:rPr>
                <w:b/>
                <w:color w:val="FFFFFF"/>
                <w:sz w:val="18"/>
              </w:rPr>
              <w:t>Minimum</w:t>
            </w:r>
          </w:p>
        </w:tc>
        <w:tc>
          <w:tcPr>
            <w:tcW w:w="2045" w:type="dxa"/>
            <w:shd w:val="clear" w:color="auto" w:fill="17365D"/>
            <w:vAlign w:val="center"/>
          </w:tcPr>
          <w:p w:rsidR="004013C0" w:rsidRDefault="009319B9">
            <w:r>
              <w:rPr>
                <w:b/>
                <w:color w:val="FFFFFF"/>
                <w:sz w:val="18"/>
              </w:rPr>
              <w:t>Maximum</w:t>
            </w:r>
          </w:p>
        </w:tc>
      </w:tr>
      <w:tr w:rsidR="004013C0">
        <w:trPr>
          <w:jc w:val="center"/>
        </w:trPr>
        <w:tc>
          <w:tcPr>
            <w:tcW w:w="2045" w:type="dxa"/>
            <w:vAlign w:val="center"/>
          </w:tcPr>
          <w:p w:rsidR="004013C0" w:rsidRDefault="009319B9">
            <w:r>
              <w:rPr>
                <w:sz w:val="17"/>
              </w:rPr>
              <w:t>Distance_km</w:t>
            </w:r>
          </w:p>
        </w:tc>
        <w:tc>
          <w:tcPr>
            <w:tcW w:w="2045" w:type="dxa"/>
            <w:vAlign w:val="center"/>
          </w:tcPr>
          <w:p w:rsidR="004013C0" w:rsidRDefault="009319B9">
            <w:r>
              <w:rPr>
                <w:sz w:val="17"/>
              </w:rPr>
              <w:t>7,704.06</w:t>
            </w:r>
          </w:p>
        </w:tc>
        <w:tc>
          <w:tcPr>
            <w:tcW w:w="2045" w:type="dxa"/>
            <w:vAlign w:val="center"/>
          </w:tcPr>
          <w:p w:rsidR="004013C0" w:rsidRDefault="009319B9">
            <w:r>
              <w:rPr>
                <w:sz w:val="17"/>
              </w:rPr>
              <w:t>4,199.69</w:t>
            </w:r>
          </w:p>
        </w:tc>
        <w:tc>
          <w:tcPr>
            <w:tcW w:w="2045" w:type="dxa"/>
            <w:vAlign w:val="center"/>
          </w:tcPr>
          <w:p w:rsidR="004013C0" w:rsidRDefault="009319B9">
            <w:r>
              <w:rPr>
                <w:sz w:val="17"/>
              </w:rPr>
              <w:t>500.17</w:t>
            </w:r>
          </w:p>
        </w:tc>
        <w:tc>
          <w:tcPr>
            <w:tcW w:w="2045" w:type="dxa"/>
            <w:vAlign w:val="center"/>
          </w:tcPr>
          <w:p w:rsidR="004013C0" w:rsidRDefault="009319B9">
            <w:r>
              <w:rPr>
                <w:sz w:val="17"/>
              </w:rPr>
              <w:t>14,995.91</w:t>
            </w:r>
          </w:p>
        </w:tc>
      </w:tr>
      <w:tr w:rsidR="004013C0">
        <w:trPr>
          <w:jc w:val="center"/>
        </w:trPr>
        <w:tc>
          <w:tcPr>
            <w:tcW w:w="2045" w:type="dxa"/>
            <w:vAlign w:val="center"/>
          </w:tcPr>
          <w:p w:rsidR="004013C0" w:rsidRDefault="009319B9">
            <w:r>
              <w:rPr>
                <w:sz w:val="17"/>
              </w:rPr>
              <w:t>Weight_MT</w:t>
            </w:r>
          </w:p>
        </w:tc>
        <w:tc>
          <w:tcPr>
            <w:tcW w:w="2045" w:type="dxa"/>
            <w:vAlign w:val="center"/>
          </w:tcPr>
          <w:p w:rsidR="004013C0" w:rsidRDefault="009319B9">
            <w:r>
              <w:rPr>
                <w:sz w:val="17"/>
              </w:rPr>
              <w:t>246.25</w:t>
            </w:r>
          </w:p>
        </w:tc>
        <w:tc>
          <w:tcPr>
            <w:tcW w:w="2045" w:type="dxa"/>
            <w:vAlign w:val="center"/>
          </w:tcPr>
          <w:p w:rsidR="004013C0" w:rsidRDefault="009319B9">
            <w:r>
              <w:rPr>
                <w:sz w:val="17"/>
              </w:rPr>
              <w:t>142.52</w:t>
            </w:r>
          </w:p>
        </w:tc>
        <w:tc>
          <w:tcPr>
            <w:tcW w:w="2045" w:type="dxa"/>
            <w:vAlign w:val="center"/>
          </w:tcPr>
          <w:p w:rsidR="004013C0" w:rsidRDefault="009319B9">
            <w:r>
              <w:rPr>
                <w:sz w:val="17"/>
              </w:rPr>
              <w:t>1.03</w:t>
            </w:r>
          </w:p>
        </w:tc>
        <w:tc>
          <w:tcPr>
            <w:tcW w:w="2045" w:type="dxa"/>
            <w:vAlign w:val="center"/>
          </w:tcPr>
          <w:p w:rsidR="004013C0" w:rsidRDefault="009319B9">
            <w:r>
              <w:rPr>
                <w:sz w:val="17"/>
              </w:rPr>
              <w:t>499.75</w:t>
            </w:r>
          </w:p>
        </w:tc>
      </w:tr>
      <w:tr w:rsidR="004013C0">
        <w:trPr>
          <w:jc w:val="center"/>
        </w:trPr>
        <w:tc>
          <w:tcPr>
            <w:tcW w:w="2045" w:type="dxa"/>
            <w:vAlign w:val="center"/>
          </w:tcPr>
          <w:p w:rsidR="004013C0" w:rsidRDefault="009319B9">
            <w:r>
              <w:rPr>
                <w:sz w:val="17"/>
              </w:rPr>
              <w:t>Fuel_Price_Index</w:t>
            </w:r>
          </w:p>
        </w:tc>
        <w:tc>
          <w:tcPr>
            <w:tcW w:w="2045" w:type="dxa"/>
            <w:vAlign w:val="center"/>
          </w:tcPr>
          <w:p w:rsidR="004013C0" w:rsidRDefault="009319B9">
            <w:r>
              <w:rPr>
                <w:sz w:val="17"/>
              </w:rPr>
              <w:t>2.85</w:t>
            </w:r>
          </w:p>
        </w:tc>
        <w:tc>
          <w:tcPr>
            <w:tcW w:w="2045" w:type="dxa"/>
            <w:vAlign w:val="center"/>
          </w:tcPr>
          <w:p w:rsidR="004013C0" w:rsidRDefault="009319B9">
            <w:r>
              <w:rPr>
                <w:sz w:val="17"/>
              </w:rPr>
              <w:t>0.96</w:t>
            </w:r>
          </w:p>
        </w:tc>
        <w:tc>
          <w:tcPr>
            <w:tcW w:w="2045" w:type="dxa"/>
            <w:vAlign w:val="center"/>
          </w:tcPr>
          <w:p w:rsidR="004013C0" w:rsidRDefault="009319B9">
            <w:r>
              <w:rPr>
                <w:sz w:val="17"/>
              </w:rPr>
              <w:t>1.20</w:t>
            </w:r>
          </w:p>
        </w:tc>
        <w:tc>
          <w:tcPr>
            <w:tcW w:w="2045" w:type="dxa"/>
            <w:vAlign w:val="center"/>
          </w:tcPr>
          <w:p w:rsidR="004013C0" w:rsidRDefault="009319B9">
            <w:r>
              <w:rPr>
                <w:sz w:val="17"/>
              </w:rPr>
              <w:t>4.50</w:t>
            </w:r>
          </w:p>
        </w:tc>
      </w:tr>
      <w:tr w:rsidR="004013C0">
        <w:trPr>
          <w:jc w:val="center"/>
        </w:trPr>
        <w:tc>
          <w:tcPr>
            <w:tcW w:w="2045" w:type="dxa"/>
            <w:vAlign w:val="center"/>
          </w:tcPr>
          <w:p w:rsidR="004013C0" w:rsidRDefault="009319B9">
            <w:r>
              <w:rPr>
                <w:sz w:val="17"/>
              </w:rPr>
              <w:t>Geopolitical_Risk_Score</w:t>
            </w:r>
          </w:p>
        </w:tc>
        <w:tc>
          <w:tcPr>
            <w:tcW w:w="2045" w:type="dxa"/>
            <w:vAlign w:val="center"/>
          </w:tcPr>
          <w:p w:rsidR="004013C0" w:rsidRDefault="009319B9">
            <w:r>
              <w:rPr>
                <w:sz w:val="17"/>
              </w:rPr>
              <w:t>5.08</w:t>
            </w:r>
          </w:p>
        </w:tc>
        <w:tc>
          <w:tcPr>
            <w:tcW w:w="2045" w:type="dxa"/>
            <w:vAlign w:val="center"/>
          </w:tcPr>
          <w:p w:rsidR="004013C0" w:rsidRDefault="009319B9">
            <w:r>
              <w:rPr>
                <w:sz w:val="17"/>
              </w:rPr>
              <w:t>2.88</w:t>
            </w:r>
          </w:p>
        </w:tc>
        <w:tc>
          <w:tcPr>
            <w:tcW w:w="2045" w:type="dxa"/>
            <w:vAlign w:val="center"/>
          </w:tcPr>
          <w:p w:rsidR="004013C0" w:rsidRDefault="009319B9">
            <w:r>
              <w:rPr>
                <w:sz w:val="17"/>
              </w:rPr>
              <w:t>0.00</w:t>
            </w:r>
          </w:p>
        </w:tc>
        <w:tc>
          <w:tcPr>
            <w:tcW w:w="2045" w:type="dxa"/>
            <w:vAlign w:val="center"/>
          </w:tcPr>
          <w:p w:rsidR="004013C0" w:rsidRDefault="009319B9">
            <w:r>
              <w:rPr>
                <w:sz w:val="17"/>
              </w:rPr>
              <w:t>10.00</w:t>
            </w:r>
          </w:p>
        </w:tc>
      </w:tr>
      <w:tr w:rsidR="004013C0">
        <w:trPr>
          <w:jc w:val="center"/>
        </w:trPr>
        <w:tc>
          <w:tcPr>
            <w:tcW w:w="2045" w:type="dxa"/>
            <w:vAlign w:val="center"/>
          </w:tcPr>
          <w:p w:rsidR="004013C0" w:rsidRDefault="009319B9">
            <w:r>
              <w:rPr>
                <w:sz w:val="17"/>
              </w:rPr>
              <w:t>Carrier_Reliability_Score</w:t>
            </w:r>
          </w:p>
        </w:tc>
        <w:tc>
          <w:tcPr>
            <w:tcW w:w="2045" w:type="dxa"/>
            <w:vAlign w:val="center"/>
          </w:tcPr>
          <w:p w:rsidR="004013C0" w:rsidRDefault="009319B9">
            <w:r>
              <w:rPr>
                <w:sz w:val="17"/>
              </w:rPr>
              <w:t>0.754</w:t>
            </w:r>
          </w:p>
        </w:tc>
        <w:tc>
          <w:tcPr>
            <w:tcW w:w="2045" w:type="dxa"/>
            <w:vAlign w:val="center"/>
          </w:tcPr>
          <w:p w:rsidR="004013C0" w:rsidRDefault="009319B9">
            <w:r>
              <w:rPr>
                <w:sz w:val="17"/>
              </w:rPr>
              <w:t>0.144</w:t>
            </w:r>
          </w:p>
        </w:tc>
        <w:tc>
          <w:tcPr>
            <w:tcW w:w="2045" w:type="dxa"/>
            <w:vAlign w:val="center"/>
          </w:tcPr>
          <w:p w:rsidR="004013C0" w:rsidRDefault="009319B9">
            <w:r>
              <w:rPr>
                <w:sz w:val="17"/>
              </w:rPr>
              <w:t>0.50</w:t>
            </w:r>
          </w:p>
        </w:tc>
        <w:tc>
          <w:tcPr>
            <w:tcW w:w="2045" w:type="dxa"/>
            <w:vAlign w:val="center"/>
          </w:tcPr>
          <w:p w:rsidR="004013C0" w:rsidRDefault="009319B9">
            <w:r>
              <w:rPr>
                <w:sz w:val="17"/>
              </w:rPr>
              <w:t>1.00</w:t>
            </w:r>
          </w:p>
        </w:tc>
      </w:tr>
      <w:tr w:rsidR="004013C0">
        <w:trPr>
          <w:jc w:val="center"/>
        </w:trPr>
        <w:tc>
          <w:tcPr>
            <w:tcW w:w="2045" w:type="dxa"/>
            <w:vAlign w:val="center"/>
          </w:tcPr>
          <w:p w:rsidR="004013C0" w:rsidRDefault="009319B9">
            <w:r>
              <w:rPr>
                <w:sz w:val="17"/>
              </w:rPr>
              <w:t>Lead_Time_Days</w:t>
            </w:r>
          </w:p>
        </w:tc>
        <w:tc>
          <w:tcPr>
            <w:tcW w:w="2045" w:type="dxa"/>
            <w:vAlign w:val="center"/>
          </w:tcPr>
          <w:p w:rsidR="004013C0" w:rsidRDefault="009319B9">
            <w:r>
              <w:rPr>
                <w:sz w:val="17"/>
              </w:rPr>
              <w:t>19.36</w:t>
            </w:r>
          </w:p>
        </w:tc>
        <w:tc>
          <w:tcPr>
            <w:tcW w:w="2045" w:type="dxa"/>
            <w:vAlign w:val="center"/>
          </w:tcPr>
          <w:p w:rsidR="004013C0" w:rsidRDefault="009319B9">
            <w:r>
              <w:rPr>
                <w:sz w:val="17"/>
              </w:rPr>
              <w:t>31.41</w:t>
            </w:r>
          </w:p>
        </w:tc>
        <w:tc>
          <w:tcPr>
            <w:tcW w:w="2045" w:type="dxa"/>
            <w:vAlign w:val="center"/>
          </w:tcPr>
          <w:p w:rsidR="004013C0" w:rsidRDefault="009319B9">
            <w:r>
              <w:rPr>
                <w:sz w:val="17"/>
              </w:rPr>
              <w:t>0.50</w:t>
            </w:r>
          </w:p>
        </w:tc>
        <w:tc>
          <w:tcPr>
            <w:tcW w:w="2045" w:type="dxa"/>
            <w:vAlign w:val="center"/>
          </w:tcPr>
          <w:p w:rsidR="004013C0" w:rsidRDefault="009319B9">
            <w:r>
              <w:rPr>
                <w:sz w:val="17"/>
              </w:rPr>
              <w:t>236.39</w:t>
            </w:r>
          </w:p>
        </w:tc>
      </w:tr>
      <w:tr w:rsidR="004013C0">
        <w:trPr>
          <w:jc w:val="center"/>
        </w:trPr>
        <w:tc>
          <w:tcPr>
            <w:tcW w:w="2045" w:type="dxa"/>
            <w:vAlign w:val="center"/>
          </w:tcPr>
          <w:p w:rsidR="004013C0" w:rsidRDefault="009319B9">
            <w:r>
              <w:rPr>
                <w:sz w:val="17"/>
              </w:rPr>
              <w:t>Disruption_Occurred</w:t>
            </w:r>
          </w:p>
        </w:tc>
        <w:tc>
          <w:tcPr>
            <w:tcW w:w="2045" w:type="dxa"/>
            <w:vAlign w:val="center"/>
          </w:tcPr>
          <w:p w:rsidR="004013C0" w:rsidRDefault="009319B9">
            <w:r>
              <w:rPr>
                <w:sz w:val="17"/>
              </w:rPr>
              <w:t>0.613</w:t>
            </w:r>
          </w:p>
        </w:tc>
        <w:tc>
          <w:tcPr>
            <w:tcW w:w="2045" w:type="dxa"/>
            <w:vAlign w:val="center"/>
          </w:tcPr>
          <w:p w:rsidR="004013C0" w:rsidRDefault="009319B9">
            <w:r>
              <w:rPr>
                <w:sz w:val="17"/>
              </w:rPr>
              <w:t>0.487</w:t>
            </w:r>
          </w:p>
        </w:tc>
        <w:tc>
          <w:tcPr>
            <w:tcW w:w="2045" w:type="dxa"/>
            <w:vAlign w:val="center"/>
          </w:tcPr>
          <w:p w:rsidR="004013C0" w:rsidRDefault="009319B9">
            <w:r>
              <w:rPr>
                <w:sz w:val="17"/>
              </w:rPr>
              <w:t>0</w:t>
            </w:r>
          </w:p>
        </w:tc>
        <w:tc>
          <w:tcPr>
            <w:tcW w:w="2045" w:type="dxa"/>
            <w:vAlign w:val="center"/>
          </w:tcPr>
          <w:p w:rsidR="004013C0" w:rsidRDefault="009319B9">
            <w:r>
              <w:rPr>
                <w:sz w:val="17"/>
              </w:rPr>
              <w:t>1</w:t>
            </w:r>
          </w:p>
        </w:tc>
      </w:tr>
    </w:tbl>
    <w:p w:rsidR="004013C0" w:rsidRDefault="009319B9">
      <w:r>
        <w:t>The lead-time distribution</w:t>
      </w:r>
      <w:r>
        <w:t xml:space="preserve"> is notably variable: the mean is 19.36 days while the median is 8.25 days and the maximum is 236.39 days. This difference indicates that some shipments have substantially longer lead times than the central portion of the dataset.</w:t>
      </w:r>
    </w:p>
    <w:p w:rsidR="004013C0" w:rsidRDefault="009319B9">
      <w:pPr>
        <w:pStyle w:val="Heading1"/>
      </w:pPr>
      <w:r>
        <w:t>4. Exploratory Data Analy</w:t>
      </w:r>
      <w:r>
        <w:t>sis (Python)</w:t>
      </w:r>
    </w:p>
    <w:p w:rsidR="004013C0" w:rsidRDefault="009319B9">
      <w:r>
        <w:t>The supplied notebook uses NumPy, Pandas, Matplotlib, and Seaborn. The workflow moves from data loading and inspection to quality checks, grouping, categorical exploration, visualization, relationship analysis, correlation analysis, and monthl</w:t>
      </w:r>
      <w:r>
        <w:t>y trends.</w:t>
      </w:r>
    </w:p>
    <w:p w:rsidR="004013C0" w:rsidRDefault="009319B9">
      <w:pPr>
        <w:pStyle w:val="Heading2"/>
      </w:pPr>
      <w:r>
        <w:t>4.1 EDA Visualizations Included</w:t>
      </w:r>
    </w:p>
    <w:tbl>
      <w:tblPr>
        <w:tblStyle w:val="TableGrid"/>
        <w:tblW w:w="0" w:type="auto"/>
        <w:jc w:val="center"/>
        <w:tblLook w:val="04A0" w:firstRow="1" w:lastRow="0" w:firstColumn="1" w:lastColumn="0" w:noHBand="0" w:noVBand="1"/>
      </w:tblPr>
      <w:tblGrid>
        <w:gridCol w:w="5112"/>
        <w:gridCol w:w="5112"/>
      </w:tblGrid>
      <w:tr w:rsidR="004013C0">
        <w:trPr>
          <w:jc w:val="center"/>
        </w:trPr>
        <w:tc>
          <w:tcPr>
            <w:tcW w:w="5112" w:type="dxa"/>
            <w:shd w:val="clear" w:color="auto" w:fill="17365D"/>
            <w:vAlign w:val="center"/>
          </w:tcPr>
          <w:p w:rsidR="004013C0" w:rsidRDefault="009319B9">
            <w:r>
              <w:rPr>
                <w:b/>
                <w:color w:val="FFFFFF"/>
                <w:sz w:val="18"/>
              </w:rPr>
              <w:t>Visualization</w:t>
            </w:r>
          </w:p>
        </w:tc>
        <w:tc>
          <w:tcPr>
            <w:tcW w:w="5112" w:type="dxa"/>
            <w:shd w:val="clear" w:color="auto" w:fill="17365D"/>
            <w:vAlign w:val="center"/>
          </w:tcPr>
          <w:p w:rsidR="004013C0" w:rsidRDefault="009319B9">
            <w:r>
              <w:rPr>
                <w:b/>
                <w:color w:val="FFFFFF"/>
                <w:sz w:val="18"/>
              </w:rPr>
              <w:t>Variables / Purpose</w:t>
            </w:r>
          </w:p>
        </w:tc>
      </w:tr>
      <w:tr w:rsidR="004013C0">
        <w:trPr>
          <w:jc w:val="center"/>
        </w:trPr>
        <w:tc>
          <w:tcPr>
            <w:tcW w:w="5112" w:type="dxa"/>
            <w:vAlign w:val="center"/>
          </w:tcPr>
          <w:p w:rsidR="004013C0" w:rsidRDefault="009319B9">
            <w:r>
              <w:rPr>
                <w:sz w:val="17"/>
              </w:rPr>
              <w:t>Shipments by Transport Mode</w:t>
            </w:r>
          </w:p>
        </w:tc>
        <w:tc>
          <w:tcPr>
            <w:tcW w:w="5112" w:type="dxa"/>
            <w:vAlign w:val="center"/>
          </w:tcPr>
          <w:p w:rsidR="004013C0" w:rsidRDefault="009319B9">
            <w:r>
              <w:rPr>
                <w:sz w:val="17"/>
              </w:rPr>
              <w:t>Distribution of shipments across Air, Rail, Road, and Sea</w:t>
            </w:r>
          </w:p>
        </w:tc>
      </w:tr>
      <w:tr w:rsidR="004013C0">
        <w:trPr>
          <w:jc w:val="center"/>
        </w:trPr>
        <w:tc>
          <w:tcPr>
            <w:tcW w:w="5112" w:type="dxa"/>
            <w:vAlign w:val="center"/>
          </w:tcPr>
          <w:p w:rsidR="004013C0" w:rsidRDefault="009319B9">
            <w:r>
              <w:rPr>
                <w:sz w:val="17"/>
              </w:rPr>
              <w:t>Shipments by Product Category</w:t>
            </w:r>
          </w:p>
        </w:tc>
        <w:tc>
          <w:tcPr>
            <w:tcW w:w="5112" w:type="dxa"/>
            <w:vAlign w:val="center"/>
          </w:tcPr>
          <w:p w:rsidR="004013C0" w:rsidRDefault="009319B9">
            <w:r>
              <w:rPr>
                <w:sz w:val="17"/>
              </w:rPr>
              <w:t>Shipment distribution across five product categories</w:t>
            </w:r>
          </w:p>
        </w:tc>
      </w:tr>
      <w:tr w:rsidR="004013C0">
        <w:trPr>
          <w:jc w:val="center"/>
        </w:trPr>
        <w:tc>
          <w:tcPr>
            <w:tcW w:w="5112" w:type="dxa"/>
            <w:vAlign w:val="center"/>
          </w:tcPr>
          <w:p w:rsidR="004013C0" w:rsidRDefault="009319B9">
            <w:r>
              <w:rPr>
                <w:sz w:val="17"/>
              </w:rPr>
              <w:t xml:space="preserve">Weather </w:t>
            </w:r>
            <w:r>
              <w:rPr>
                <w:sz w:val="17"/>
              </w:rPr>
              <w:t>Condition Distribution</w:t>
            </w:r>
          </w:p>
        </w:tc>
        <w:tc>
          <w:tcPr>
            <w:tcW w:w="5112" w:type="dxa"/>
            <w:vAlign w:val="center"/>
          </w:tcPr>
          <w:p w:rsidR="004013C0" w:rsidRDefault="009319B9">
            <w:r>
              <w:rPr>
                <w:sz w:val="17"/>
              </w:rPr>
              <w:t>Shipment counts across Clear, Fog, Hurricane, Rain, and Storm</w:t>
            </w:r>
          </w:p>
        </w:tc>
      </w:tr>
      <w:tr w:rsidR="004013C0">
        <w:trPr>
          <w:jc w:val="center"/>
        </w:trPr>
        <w:tc>
          <w:tcPr>
            <w:tcW w:w="5112" w:type="dxa"/>
            <w:vAlign w:val="center"/>
          </w:tcPr>
          <w:p w:rsidR="004013C0" w:rsidRDefault="009319B9">
            <w:r>
              <w:rPr>
                <w:sz w:val="17"/>
              </w:rPr>
              <w:t>Carrier Reliability by Transport Mode</w:t>
            </w:r>
          </w:p>
        </w:tc>
        <w:tc>
          <w:tcPr>
            <w:tcW w:w="5112" w:type="dxa"/>
            <w:vAlign w:val="center"/>
          </w:tcPr>
          <w:p w:rsidR="004013C0" w:rsidRDefault="009319B9">
            <w:r>
              <w:rPr>
                <w:sz w:val="17"/>
              </w:rPr>
              <w:t>Boxplot comparing reliability scores across transport modes</w:t>
            </w:r>
          </w:p>
        </w:tc>
      </w:tr>
      <w:tr w:rsidR="004013C0">
        <w:trPr>
          <w:jc w:val="center"/>
        </w:trPr>
        <w:tc>
          <w:tcPr>
            <w:tcW w:w="5112" w:type="dxa"/>
            <w:vAlign w:val="center"/>
          </w:tcPr>
          <w:p w:rsidR="004013C0" w:rsidRDefault="009319B9">
            <w:r>
              <w:rPr>
                <w:sz w:val="17"/>
              </w:rPr>
              <w:t>Shipment Distance Distribution</w:t>
            </w:r>
          </w:p>
        </w:tc>
        <w:tc>
          <w:tcPr>
            <w:tcW w:w="5112" w:type="dxa"/>
            <w:vAlign w:val="center"/>
          </w:tcPr>
          <w:p w:rsidR="004013C0" w:rsidRDefault="009319B9">
            <w:r>
              <w:rPr>
                <w:sz w:val="17"/>
              </w:rPr>
              <w:t xml:space="preserve">Histogram/KDE showing distance </w:t>
            </w:r>
            <w:r>
              <w:rPr>
                <w:sz w:val="17"/>
              </w:rPr>
              <w:t>distribution</w:t>
            </w:r>
          </w:p>
        </w:tc>
      </w:tr>
      <w:tr w:rsidR="004013C0">
        <w:trPr>
          <w:jc w:val="center"/>
        </w:trPr>
        <w:tc>
          <w:tcPr>
            <w:tcW w:w="5112" w:type="dxa"/>
            <w:vAlign w:val="center"/>
          </w:tcPr>
          <w:p w:rsidR="004013C0" w:rsidRDefault="009319B9">
            <w:r>
              <w:rPr>
                <w:sz w:val="17"/>
              </w:rPr>
              <w:t>Geopolitical Risk vs Lead Time</w:t>
            </w:r>
          </w:p>
        </w:tc>
        <w:tc>
          <w:tcPr>
            <w:tcW w:w="5112" w:type="dxa"/>
            <w:vAlign w:val="center"/>
          </w:tcPr>
          <w:p w:rsidR="004013C0" w:rsidRDefault="009319B9">
            <w:r>
              <w:rPr>
                <w:sz w:val="17"/>
              </w:rPr>
              <w:t>Scatterplot with disruption status</w:t>
            </w:r>
          </w:p>
        </w:tc>
      </w:tr>
      <w:tr w:rsidR="004013C0">
        <w:trPr>
          <w:jc w:val="center"/>
        </w:trPr>
        <w:tc>
          <w:tcPr>
            <w:tcW w:w="5112" w:type="dxa"/>
            <w:vAlign w:val="center"/>
          </w:tcPr>
          <w:p w:rsidR="004013C0" w:rsidRDefault="009319B9">
            <w:r>
              <w:rPr>
                <w:sz w:val="17"/>
              </w:rPr>
              <w:t>Fuel Price Index vs Lead Time</w:t>
            </w:r>
          </w:p>
        </w:tc>
        <w:tc>
          <w:tcPr>
            <w:tcW w:w="5112" w:type="dxa"/>
            <w:vAlign w:val="center"/>
          </w:tcPr>
          <w:p w:rsidR="004013C0" w:rsidRDefault="009319B9">
            <w:r>
              <w:rPr>
                <w:sz w:val="17"/>
              </w:rPr>
              <w:t>Scatterplot coloured by transport mode</w:t>
            </w:r>
          </w:p>
        </w:tc>
      </w:tr>
      <w:tr w:rsidR="004013C0">
        <w:trPr>
          <w:jc w:val="center"/>
        </w:trPr>
        <w:tc>
          <w:tcPr>
            <w:tcW w:w="5112" w:type="dxa"/>
            <w:vAlign w:val="center"/>
          </w:tcPr>
          <w:p w:rsidR="004013C0" w:rsidRDefault="009319B9">
            <w:r>
              <w:rPr>
                <w:sz w:val="17"/>
              </w:rPr>
              <w:t>Distance vs Lead Time</w:t>
            </w:r>
          </w:p>
        </w:tc>
        <w:tc>
          <w:tcPr>
            <w:tcW w:w="5112" w:type="dxa"/>
            <w:vAlign w:val="center"/>
          </w:tcPr>
          <w:p w:rsidR="004013C0" w:rsidRDefault="009319B9">
            <w:r>
              <w:rPr>
                <w:sz w:val="17"/>
              </w:rPr>
              <w:t>Scatterplot with disruption status</w:t>
            </w:r>
          </w:p>
        </w:tc>
      </w:tr>
      <w:tr w:rsidR="004013C0">
        <w:trPr>
          <w:jc w:val="center"/>
        </w:trPr>
        <w:tc>
          <w:tcPr>
            <w:tcW w:w="5112" w:type="dxa"/>
            <w:vAlign w:val="center"/>
          </w:tcPr>
          <w:p w:rsidR="004013C0" w:rsidRDefault="009319B9">
            <w:r>
              <w:rPr>
                <w:sz w:val="17"/>
              </w:rPr>
              <w:t>Correlation Heatmap</w:t>
            </w:r>
          </w:p>
        </w:tc>
        <w:tc>
          <w:tcPr>
            <w:tcW w:w="5112" w:type="dxa"/>
            <w:vAlign w:val="center"/>
          </w:tcPr>
          <w:p w:rsidR="004013C0" w:rsidRDefault="009319B9">
            <w:r>
              <w:rPr>
                <w:sz w:val="17"/>
              </w:rPr>
              <w:t xml:space="preserve">Correlation structure of </w:t>
            </w:r>
            <w:r>
              <w:rPr>
                <w:sz w:val="17"/>
              </w:rPr>
              <w:t>numeric variables</w:t>
            </w:r>
          </w:p>
        </w:tc>
      </w:tr>
      <w:tr w:rsidR="004013C0">
        <w:trPr>
          <w:jc w:val="center"/>
        </w:trPr>
        <w:tc>
          <w:tcPr>
            <w:tcW w:w="5112" w:type="dxa"/>
            <w:vAlign w:val="center"/>
          </w:tcPr>
          <w:p w:rsidR="004013C0" w:rsidRDefault="009319B9">
            <w:r>
              <w:rPr>
                <w:sz w:val="17"/>
              </w:rPr>
              <w:t>Monthly Shipment Trend</w:t>
            </w:r>
          </w:p>
        </w:tc>
        <w:tc>
          <w:tcPr>
            <w:tcW w:w="5112" w:type="dxa"/>
            <w:vAlign w:val="center"/>
          </w:tcPr>
          <w:p w:rsidR="004013C0" w:rsidRDefault="009319B9">
            <w:r>
              <w:rPr>
                <w:sz w:val="17"/>
              </w:rPr>
              <w:t>Monthly shipment count</w:t>
            </w:r>
          </w:p>
        </w:tc>
      </w:tr>
      <w:tr w:rsidR="004013C0">
        <w:trPr>
          <w:jc w:val="center"/>
        </w:trPr>
        <w:tc>
          <w:tcPr>
            <w:tcW w:w="5112" w:type="dxa"/>
            <w:vAlign w:val="center"/>
          </w:tcPr>
          <w:p w:rsidR="004013C0" w:rsidRDefault="009319B9">
            <w:r>
              <w:rPr>
                <w:sz w:val="17"/>
              </w:rPr>
              <w:t>Monthly Disruption Trend</w:t>
            </w:r>
          </w:p>
        </w:tc>
        <w:tc>
          <w:tcPr>
            <w:tcW w:w="5112" w:type="dxa"/>
            <w:vAlign w:val="center"/>
          </w:tcPr>
          <w:p w:rsidR="004013C0" w:rsidRDefault="009319B9">
            <w:r>
              <w:rPr>
                <w:sz w:val="17"/>
              </w:rPr>
              <w:t>Monthly sum of disruption indicator</w:t>
            </w:r>
          </w:p>
        </w:tc>
      </w:tr>
    </w:tbl>
    <w:p w:rsidR="004013C0" w:rsidRDefault="009319B9">
      <w:pPr>
        <w:pStyle w:val="Heading2"/>
      </w:pPr>
      <w:r>
        <w:t>4.2 EDA Findings Supported by the Notebook</w:t>
      </w:r>
    </w:p>
    <w:p w:rsidR="004013C0" w:rsidRDefault="009319B9">
      <w:pPr>
        <w:pStyle w:val="ListBullet"/>
        <w:spacing w:after="40"/>
      </w:pPr>
      <w:r>
        <w:t>The dataset contains 5,000 shipment records with no null values reported by the noteb</w:t>
      </w:r>
      <w:r>
        <w:t>ook.</w:t>
      </w:r>
    </w:p>
    <w:p w:rsidR="004013C0" w:rsidRDefault="009319B9">
      <w:pPr>
        <w:pStyle w:val="ListBullet"/>
        <w:spacing w:after="40"/>
      </w:pPr>
      <w:r>
        <w:t>No duplicate rows were detected.</w:t>
      </w:r>
    </w:p>
    <w:p w:rsidR="004013C0" w:rsidRDefault="009319B9">
      <w:pPr>
        <w:pStyle w:val="ListBullet"/>
        <w:spacing w:after="40"/>
      </w:pPr>
      <w:r>
        <w:t>The five product categories are Textiles, Automotive, Perishables, Electronics, and Pharmaceuticals.</w:t>
      </w:r>
    </w:p>
    <w:p w:rsidR="004013C0" w:rsidRDefault="009319B9">
      <w:pPr>
        <w:pStyle w:val="ListBullet"/>
        <w:spacing w:after="40"/>
      </w:pPr>
      <w:r>
        <w:t>The five weather categories are Clear, Fog, Hurricane, Rain, and Storm.</w:t>
      </w:r>
    </w:p>
    <w:p w:rsidR="004013C0" w:rsidRDefault="009319B9">
      <w:pPr>
        <w:pStyle w:val="ListBullet"/>
        <w:spacing w:after="40"/>
      </w:pPr>
      <w:r>
        <w:t>Origin-port counts are distributed across nin</w:t>
      </w:r>
      <w:r>
        <w:t>e ports; Busan has the largest count in the notebook's value-count output (667), followed by Rotterdam (646) and Shanghai (644).</w:t>
      </w:r>
    </w:p>
    <w:p w:rsidR="004013C0" w:rsidRDefault="009319B9">
      <w:pPr>
        <w:pStyle w:val="ListBullet"/>
        <w:spacing w:after="40"/>
      </w:pPr>
      <w:r>
        <w:t>The average lead time is 19.36 days, with a median of 8.25 days and a maximum of 236.39 days.</w:t>
      </w:r>
    </w:p>
    <w:p w:rsidR="004013C0" w:rsidRDefault="009319B9">
      <w:pPr>
        <w:pStyle w:val="ListBullet"/>
        <w:spacing w:after="40"/>
      </w:pPr>
      <w:r>
        <w:t xml:space="preserve">The average disruption indicator </w:t>
      </w:r>
      <w:r>
        <w:t>is 0.6126, meaning the supplied binary field is 1 for approximately 61.26% of records.</w:t>
      </w:r>
    </w:p>
    <w:p w:rsidR="004013C0" w:rsidRDefault="009319B9">
      <w:pPr>
        <w:pStyle w:val="ListBullet"/>
        <w:spacing w:after="40"/>
      </w:pPr>
      <w:r>
        <w:lastRenderedPageBreak/>
        <w:t>The notebook explicitly investigates relationships between lead time and geopolitical risk, fuel price index, and distance.</w:t>
      </w:r>
    </w:p>
    <w:p w:rsidR="004013C0" w:rsidRDefault="009319B9">
      <w:pPr>
        <w:pStyle w:val="Heading1"/>
      </w:pPr>
      <w:r>
        <w:t>5. Excel Dashboard Analysis</w:t>
      </w:r>
    </w:p>
    <w:p w:rsidR="004013C0" w:rsidRDefault="009319B9">
      <w:r>
        <w:t>The supplied Exce</w:t>
      </w:r>
      <w:r>
        <w:t>l-style dashboard screenshot presents a compact management dashboard. It places KPI cards at the top and combines monthly trends, transport mode analysis, weather-related disruptions, product-category distribution, origin-port disruptions, and fuel price/l</w:t>
      </w:r>
      <w:r>
        <w:t>ead-time analysis on a single page.</w:t>
      </w:r>
    </w:p>
    <w:p w:rsidR="004013C0" w:rsidRDefault="009319B9">
      <w:r>
        <w:rPr>
          <w:noProof/>
        </w:rPr>
        <w:drawing>
          <wp:inline distT="0" distB="0" distL="0" distR="0">
            <wp:extent cx="6126480" cy="2707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 supply chain risk .png"/>
                    <pic:cNvPicPr/>
                  </pic:nvPicPr>
                  <pic:blipFill>
                    <a:blip r:embed="rId6"/>
                    <a:stretch>
                      <a:fillRect/>
                    </a:stretch>
                  </pic:blipFill>
                  <pic:spPr>
                    <a:xfrm>
                      <a:off x="0" y="0"/>
                      <a:ext cx="6126480" cy="2707049"/>
                    </a:xfrm>
                    <a:prstGeom prst="rect">
                      <a:avLst/>
                    </a:prstGeom>
                  </pic:spPr>
                </pic:pic>
              </a:graphicData>
            </a:graphic>
          </wp:inline>
        </w:drawing>
      </w:r>
    </w:p>
    <w:p w:rsidR="004013C0" w:rsidRDefault="009319B9">
      <w:pPr>
        <w:pStyle w:val="Heading2"/>
      </w:pPr>
      <w:r>
        <w:t>5.1 Excel Dashboard Components</w:t>
      </w:r>
    </w:p>
    <w:p w:rsidR="004013C0" w:rsidRDefault="009319B9">
      <w:pPr>
        <w:pStyle w:val="ListBullet"/>
        <w:spacing w:after="40"/>
      </w:pPr>
      <w:r>
        <w:t>KPI cards: Total Shipments = 5,000; Total Disruptions = 3,063; Avg. Lead Time = 19.355386 days.</w:t>
      </w:r>
    </w:p>
    <w:p w:rsidR="004013C0" w:rsidRDefault="009319B9">
      <w:pPr>
        <w:pStyle w:val="ListBullet"/>
        <w:spacing w:after="40"/>
      </w:pPr>
      <w:r>
        <w:t>Monthly Shipments Trends showing shipment activit</w:t>
      </w:r>
      <w:r>
        <w:t>y and disruption activity across the year.</w:t>
      </w:r>
    </w:p>
    <w:p w:rsidR="004013C0" w:rsidRDefault="009319B9">
      <w:pPr>
        <w:pStyle w:val="ListBullet"/>
        <w:spacing w:after="40"/>
      </w:pPr>
      <w:r>
        <w:t>Shipments by Transport Mode.</w:t>
      </w:r>
    </w:p>
    <w:p w:rsidR="004013C0" w:rsidRDefault="009319B9">
      <w:pPr>
        <w:pStyle w:val="ListBullet"/>
        <w:spacing w:after="40"/>
      </w:pPr>
      <w:r>
        <w:t>Disruptions by Weather Condition.</w:t>
      </w:r>
    </w:p>
    <w:p w:rsidR="004013C0" w:rsidRDefault="009319B9">
      <w:pPr>
        <w:pStyle w:val="ListBullet"/>
        <w:spacing w:after="40"/>
      </w:pPr>
      <w:r>
        <w:t>Average Lead Time by Transport Mode.</w:t>
      </w:r>
    </w:p>
    <w:p w:rsidR="004013C0" w:rsidRDefault="009319B9">
      <w:pPr>
        <w:pStyle w:val="ListBullet"/>
        <w:spacing w:after="40"/>
      </w:pPr>
      <w:r>
        <w:t>Shipments by Product Category.</w:t>
      </w:r>
    </w:p>
    <w:p w:rsidR="004013C0" w:rsidRDefault="009319B9">
      <w:pPr>
        <w:pStyle w:val="ListBullet"/>
        <w:spacing w:after="40"/>
      </w:pPr>
      <w:r>
        <w:t>Disruptions by Origin Port.</w:t>
      </w:r>
    </w:p>
    <w:p w:rsidR="004013C0" w:rsidRDefault="009319B9">
      <w:pPr>
        <w:pStyle w:val="ListBullet"/>
        <w:spacing w:after="40"/>
      </w:pPr>
      <w:r>
        <w:t>Fuel Price Index vs Average Lead Time by month.</w:t>
      </w:r>
    </w:p>
    <w:p w:rsidR="004013C0" w:rsidRDefault="009319B9">
      <w:pPr>
        <w:pStyle w:val="ListBullet"/>
        <w:spacing w:after="40"/>
      </w:pPr>
      <w:r>
        <w:t>Intera</w:t>
      </w:r>
      <w:r>
        <w:t>ctive month, transport mode, and product filters are shown in the supplied view.</w:t>
      </w:r>
    </w:p>
    <w:p w:rsidR="004013C0" w:rsidRDefault="009319B9">
      <w:pPr>
        <w:pStyle w:val="Heading1"/>
      </w:pPr>
      <w:r>
        <w:t>6. Tableau Dashboard Analysis</w:t>
      </w:r>
    </w:p>
    <w:p w:rsidR="004013C0" w:rsidRDefault="009319B9">
      <w:r>
        <w:t>The supplied Tableau screenshot presents the same supply-chain dataset in an interactive dashboard format. The design emphasizes filtering and vi</w:t>
      </w:r>
      <w:r>
        <w:t>sual comparison through KPI cards, slicer/filter controls, and multiple chart types.</w:t>
      </w:r>
    </w:p>
    <w:p w:rsidR="004013C0" w:rsidRDefault="009319B9">
      <w:r>
        <w:rPr>
          <w:noProof/>
        </w:rPr>
        <w:lastRenderedPageBreak/>
        <w:drawing>
          <wp:inline distT="0" distB="0" distL="0" distR="0">
            <wp:extent cx="6126480" cy="268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 global supply .png"/>
                    <pic:cNvPicPr/>
                  </pic:nvPicPr>
                  <pic:blipFill>
                    <a:blip r:embed="rId7"/>
                    <a:stretch>
                      <a:fillRect/>
                    </a:stretch>
                  </pic:blipFill>
                  <pic:spPr>
                    <a:xfrm>
                      <a:off x="0" y="0"/>
                      <a:ext cx="6126480" cy="2682656"/>
                    </a:xfrm>
                    <a:prstGeom prst="rect">
                      <a:avLst/>
                    </a:prstGeom>
                  </pic:spPr>
                </pic:pic>
              </a:graphicData>
            </a:graphic>
          </wp:inline>
        </w:drawing>
      </w:r>
    </w:p>
    <w:p w:rsidR="004013C0" w:rsidRDefault="009319B9">
      <w:pPr>
        <w:pStyle w:val="Heading2"/>
      </w:pPr>
      <w:r>
        <w:t>6.1 Tableau Dashboard Components</w:t>
      </w:r>
    </w:p>
    <w:p w:rsidR="004013C0" w:rsidRDefault="009319B9">
      <w:pPr>
        <w:pStyle w:val="ListBullet"/>
        <w:spacing w:after="40"/>
      </w:pPr>
      <w:r>
        <w:t>KPI cards for total shipments, total disruptions, and average lead time.</w:t>
      </w:r>
    </w:p>
    <w:p w:rsidR="004013C0" w:rsidRDefault="009319B9">
      <w:pPr>
        <w:pStyle w:val="ListBullet"/>
        <w:spacing w:after="40"/>
      </w:pPr>
      <w:r>
        <w:t xml:space="preserve">Date/month filtering and </w:t>
      </w:r>
      <w:r>
        <w:t>transport-mode filtering.</w:t>
      </w:r>
    </w:p>
    <w:p w:rsidR="004013C0" w:rsidRDefault="009319B9">
      <w:pPr>
        <w:pStyle w:val="ListBullet"/>
        <w:spacing w:after="40"/>
      </w:pPr>
      <w:r>
        <w:t>Shipment trend by month.</w:t>
      </w:r>
    </w:p>
    <w:p w:rsidR="004013C0" w:rsidRDefault="009319B9">
      <w:pPr>
        <w:pStyle w:val="ListBullet"/>
        <w:spacing w:after="40"/>
      </w:pPr>
      <w:r>
        <w:t>Shipment counts by transport mode.</w:t>
      </w:r>
    </w:p>
    <w:p w:rsidR="004013C0" w:rsidRDefault="009319B9">
      <w:pPr>
        <w:pStyle w:val="ListBullet"/>
        <w:spacing w:after="40"/>
      </w:pPr>
      <w:r>
        <w:t>Shipment distribution by product category.</w:t>
      </w:r>
    </w:p>
    <w:p w:rsidR="004013C0" w:rsidRDefault="009319B9">
      <w:pPr>
        <w:pStyle w:val="ListBullet"/>
        <w:spacing w:after="40"/>
      </w:pPr>
      <w:r>
        <w:t>Average lead time by transport mode.</w:t>
      </w:r>
    </w:p>
    <w:p w:rsidR="004013C0" w:rsidRDefault="009319B9">
      <w:pPr>
        <w:pStyle w:val="ListBullet"/>
        <w:spacing w:after="40"/>
      </w:pPr>
      <w:r>
        <w:t>Disruptions by weather condition.</w:t>
      </w:r>
    </w:p>
    <w:p w:rsidR="004013C0" w:rsidRDefault="009319B9">
      <w:pPr>
        <w:pStyle w:val="ListBullet"/>
        <w:spacing w:after="40"/>
      </w:pPr>
      <w:r>
        <w:t>Disruptions by origin port.</w:t>
      </w:r>
    </w:p>
    <w:p w:rsidR="004013C0" w:rsidRDefault="009319B9">
      <w:pPr>
        <w:pStyle w:val="ListBullet"/>
        <w:spacing w:after="40"/>
      </w:pPr>
      <w:r>
        <w:t xml:space="preserve">Fuel Price Index versus </w:t>
      </w:r>
      <w:r>
        <w:t>Average Lead Time by month.</w:t>
      </w:r>
    </w:p>
    <w:p w:rsidR="004013C0" w:rsidRDefault="009319B9">
      <w:r>
        <w:t>The screenshot shows 5,000 shipments, 3,063 disruptions, and an average lead time displayed as 19.36 days. These values are consistent with the EDA notebook's dataset size and lead-time average.</w:t>
      </w:r>
    </w:p>
    <w:p w:rsidR="004013C0" w:rsidRDefault="009319B9">
      <w:pPr>
        <w:pStyle w:val="Heading1"/>
      </w:pPr>
      <w:r>
        <w:t>7. Power BI Dashboard Analysis</w:t>
      </w:r>
    </w:p>
    <w:p w:rsidR="004013C0" w:rsidRDefault="009319B9">
      <w:r>
        <w:t>Th</w:t>
      </w:r>
      <w:r>
        <w:t>e supplied Power BI dashboard provides a business-intelligence style single-page view. It combines slicers, KPI cards, trend charts, category analysis, weather disruption analysis, origin-port analysis, fuel-price analysis, and transport-mode lead-time ana</w:t>
      </w:r>
      <w:r>
        <w:t>lysis.</w:t>
      </w:r>
    </w:p>
    <w:p w:rsidR="004013C0" w:rsidRDefault="009319B9">
      <w:r>
        <w:rPr>
          <w:noProof/>
        </w:rPr>
        <w:lastRenderedPageBreak/>
        <w:drawing>
          <wp:inline distT="0" distB="0" distL="0" distR="0">
            <wp:extent cx="6126480" cy="3301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 global supply .png"/>
                    <pic:cNvPicPr/>
                  </pic:nvPicPr>
                  <pic:blipFill>
                    <a:blip r:embed="rId8"/>
                    <a:stretch>
                      <a:fillRect/>
                    </a:stretch>
                  </pic:blipFill>
                  <pic:spPr>
                    <a:xfrm>
                      <a:off x="0" y="0"/>
                      <a:ext cx="6126480" cy="3301892"/>
                    </a:xfrm>
                    <a:prstGeom prst="rect">
                      <a:avLst/>
                    </a:prstGeom>
                  </pic:spPr>
                </pic:pic>
              </a:graphicData>
            </a:graphic>
          </wp:inline>
        </w:drawing>
      </w:r>
    </w:p>
    <w:p w:rsidR="004013C0" w:rsidRDefault="009319B9">
      <w:pPr>
        <w:pStyle w:val="Heading2"/>
      </w:pPr>
      <w:r>
        <w:t>7.1 Power BI Dashboard Components</w:t>
      </w:r>
    </w:p>
    <w:p w:rsidR="004013C0" w:rsidRDefault="009319B9">
      <w:pPr>
        <w:pStyle w:val="ListBullet"/>
        <w:spacing w:after="40"/>
      </w:pPr>
      <w:r>
        <w:t>Slicers for Month, Transport Mode, Product Category, and Weather Condition.</w:t>
      </w:r>
    </w:p>
    <w:p w:rsidR="004013C0" w:rsidRDefault="009319B9">
      <w:pPr>
        <w:pStyle w:val="ListBullet"/>
        <w:spacing w:after="40"/>
      </w:pPr>
      <w:r>
        <w:t>KPI cards for Total Shipments, Total Disruption, Disruption Rate, and Avg Lead Time.</w:t>
      </w:r>
    </w:p>
    <w:p w:rsidR="004013C0" w:rsidRDefault="009319B9">
      <w:pPr>
        <w:pStyle w:val="ListBullet"/>
        <w:spacing w:after="40"/>
      </w:pPr>
      <w:r>
        <w:t>Monthly Shipm</w:t>
      </w:r>
      <w:r>
        <w:t>ents Trends with shipment and disruption series.</w:t>
      </w:r>
    </w:p>
    <w:p w:rsidR="004013C0" w:rsidRDefault="009319B9">
      <w:pPr>
        <w:pStyle w:val="ListBullet"/>
        <w:spacing w:after="40"/>
      </w:pPr>
      <w:r>
        <w:t>Total Shipments by Transport Mode.</w:t>
      </w:r>
    </w:p>
    <w:p w:rsidR="004013C0" w:rsidRDefault="009319B9">
      <w:pPr>
        <w:pStyle w:val="ListBullet"/>
        <w:spacing w:after="40"/>
      </w:pPr>
      <w:r>
        <w:t>Total Shipments by Product Category.</w:t>
      </w:r>
    </w:p>
    <w:p w:rsidR="004013C0" w:rsidRDefault="009319B9">
      <w:pPr>
        <w:pStyle w:val="ListBullet"/>
        <w:spacing w:after="40"/>
      </w:pPr>
      <w:r>
        <w:t>Total Disruption by Weather Category.</w:t>
      </w:r>
    </w:p>
    <w:p w:rsidR="004013C0" w:rsidRDefault="009319B9">
      <w:pPr>
        <w:pStyle w:val="ListBullet"/>
        <w:spacing w:after="40"/>
      </w:pPr>
      <w:r>
        <w:t>Total Disruption by Origin Port.</w:t>
      </w:r>
    </w:p>
    <w:p w:rsidR="004013C0" w:rsidRDefault="009319B9">
      <w:pPr>
        <w:pStyle w:val="ListBullet"/>
        <w:spacing w:after="40"/>
      </w:pPr>
      <w:r>
        <w:t>Fuel Price Index and Average Lead Time by month.</w:t>
      </w:r>
    </w:p>
    <w:p w:rsidR="004013C0" w:rsidRDefault="009319B9">
      <w:pPr>
        <w:pStyle w:val="ListBullet"/>
        <w:spacing w:after="40"/>
      </w:pPr>
      <w:r>
        <w:t>Average Lead Ti</w:t>
      </w:r>
      <w:r>
        <w:t>me by Transport Mode.</w:t>
      </w:r>
    </w:p>
    <w:p w:rsidR="004013C0" w:rsidRDefault="009319B9">
      <w:r>
        <w:t>The Power BI screenshot displays approximately 5K shipments, 3K disruptions, a disruption indicator of 0.61, and average lead time of 19.36 days.</w:t>
      </w:r>
    </w:p>
    <w:p w:rsidR="004013C0" w:rsidRDefault="009319B9">
      <w:pPr>
        <w:pStyle w:val="Heading1"/>
      </w:pPr>
      <w:r>
        <w:t>8. EDA, Excel, Tableau and Power BI: Integrated Workflow</w:t>
      </w:r>
    </w:p>
    <w:p w:rsidR="004013C0" w:rsidRDefault="009319B9">
      <w:r>
        <w:t>The project follows a clear ana</w:t>
      </w:r>
      <w:r>
        <w:t>lytical pipeline: raw shipment data → Python EDA → business-oriented dashboarding → visual communication. EDA is used to understand the data and relationships; Excel, Tableau, and Power BI present the findings in different interactive formats.</w:t>
      </w:r>
    </w:p>
    <w:tbl>
      <w:tblPr>
        <w:tblStyle w:val="TableGrid"/>
        <w:tblW w:w="0" w:type="auto"/>
        <w:jc w:val="center"/>
        <w:tblLook w:val="04A0" w:firstRow="1" w:lastRow="0" w:firstColumn="1" w:lastColumn="0" w:noHBand="0" w:noVBand="1"/>
      </w:tblPr>
      <w:tblGrid>
        <w:gridCol w:w="3408"/>
        <w:gridCol w:w="3408"/>
        <w:gridCol w:w="3408"/>
      </w:tblGrid>
      <w:tr w:rsidR="004013C0">
        <w:trPr>
          <w:jc w:val="center"/>
        </w:trPr>
        <w:tc>
          <w:tcPr>
            <w:tcW w:w="3408" w:type="dxa"/>
            <w:shd w:val="clear" w:color="auto" w:fill="17365D"/>
            <w:vAlign w:val="center"/>
          </w:tcPr>
          <w:p w:rsidR="004013C0" w:rsidRDefault="009319B9">
            <w:r>
              <w:rPr>
                <w:b/>
                <w:color w:val="FFFFFF"/>
                <w:sz w:val="18"/>
              </w:rPr>
              <w:t>Stage</w:t>
            </w:r>
          </w:p>
        </w:tc>
        <w:tc>
          <w:tcPr>
            <w:tcW w:w="3408" w:type="dxa"/>
            <w:shd w:val="clear" w:color="auto" w:fill="17365D"/>
            <w:vAlign w:val="center"/>
          </w:tcPr>
          <w:p w:rsidR="004013C0" w:rsidRDefault="009319B9">
            <w:r>
              <w:rPr>
                <w:b/>
                <w:color w:val="FFFFFF"/>
                <w:sz w:val="18"/>
              </w:rPr>
              <w:t>Primar</w:t>
            </w:r>
            <w:r>
              <w:rPr>
                <w:b/>
                <w:color w:val="FFFFFF"/>
                <w:sz w:val="18"/>
              </w:rPr>
              <w:t>y Role</w:t>
            </w:r>
          </w:p>
        </w:tc>
        <w:tc>
          <w:tcPr>
            <w:tcW w:w="3408" w:type="dxa"/>
            <w:shd w:val="clear" w:color="auto" w:fill="17365D"/>
            <w:vAlign w:val="center"/>
          </w:tcPr>
          <w:p w:rsidR="004013C0" w:rsidRDefault="009319B9">
            <w:r>
              <w:rPr>
                <w:b/>
                <w:color w:val="FFFFFF"/>
                <w:sz w:val="18"/>
              </w:rPr>
              <w:t>Main Output</w:t>
            </w:r>
          </w:p>
        </w:tc>
      </w:tr>
      <w:tr w:rsidR="004013C0">
        <w:trPr>
          <w:jc w:val="center"/>
        </w:trPr>
        <w:tc>
          <w:tcPr>
            <w:tcW w:w="3408" w:type="dxa"/>
            <w:vAlign w:val="center"/>
          </w:tcPr>
          <w:p w:rsidR="004013C0" w:rsidRDefault="009319B9">
            <w:r>
              <w:rPr>
                <w:sz w:val="17"/>
              </w:rPr>
              <w:t>Python EDA</w:t>
            </w:r>
          </w:p>
        </w:tc>
        <w:tc>
          <w:tcPr>
            <w:tcW w:w="3408" w:type="dxa"/>
            <w:vAlign w:val="center"/>
          </w:tcPr>
          <w:p w:rsidR="004013C0" w:rsidRDefault="009319B9">
            <w:r>
              <w:rPr>
                <w:sz w:val="17"/>
              </w:rPr>
              <w:t>Data inspection, quality checks, descriptive and relationship analysis</w:t>
            </w:r>
          </w:p>
        </w:tc>
        <w:tc>
          <w:tcPr>
            <w:tcW w:w="3408" w:type="dxa"/>
            <w:vAlign w:val="center"/>
          </w:tcPr>
          <w:p w:rsidR="004013C0" w:rsidRDefault="009319B9">
            <w:r>
              <w:rPr>
                <w:sz w:val="17"/>
              </w:rPr>
              <w:t>Statistical summaries and analytical charts</w:t>
            </w:r>
          </w:p>
        </w:tc>
      </w:tr>
      <w:tr w:rsidR="004013C0">
        <w:trPr>
          <w:jc w:val="center"/>
        </w:trPr>
        <w:tc>
          <w:tcPr>
            <w:tcW w:w="3408" w:type="dxa"/>
            <w:vAlign w:val="center"/>
          </w:tcPr>
          <w:p w:rsidR="004013C0" w:rsidRDefault="009319B9">
            <w:r>
              <w:rPr>
                <w:sz w:val="17"/>
              </w:rPr>
              <w:t>Excel</w:t>
            </w:r>
          </w:p>
        </w:tc>
        <w:tc>
          <w:tcPr>
            <w:tcW w:w="3408" w:type="dxa"/>
            <w:vAlign w:val="center"/>
          </w:tcPr>
          <w:p w:rsidR="004013C0" w:rsidRDefault="009319B9">
            <w:r>
              <w:rPr>
                <w:sz w:val="17"/>
              </w:rPr>
              <w:t>Familiar spreadsheet reporting and filtering</w:t>
            </w:r>
          </w:p>
        </w:tc>
        <w:tc>
          <w:tcPr>
            <w:tcW w:w="3408" w:type="dxa"/>
            <w:vAlign w:val="center"/>
          </w:tcPr>
          <w:p w:rsidR="004013C0" w:rsidRDefault="009319B9">
            <w:r>
              <w:rPr>
                <w:sz w:val="17"/>
              </w:rPr>
              <w:t>KPI + chart dashboard</w:t>
            </w:r>
          </w:p>
        </w:tc>
      </w:tr>
      <w:tr w:rsidR="004013C0">
        <w:trPr>
          <w:jc w:val="center"/>
        </w:trPr>
        <w:tc>
          <w:tcPr>
            <w:tcW w:w="3408" w:type="dxa"/>
            <w:vAlign w:val="center"/>
          </w:tcPr>
          <w:p w:rsidR="004013C0" w:rsidRDefault="009319B9">
            <w:r>
              <w:rPr>
                <w:sz w:val="17"/>
              </w:rPr>
              <w:t>Tableau</w:t>
            </w:r>
          </w:p>
        </w:tc>
        <w:tc>
          <w:tcPr>
            <w:tcW w:w="3408" w:type="dxa"/>
            <w:vAlign w:val="center"/>
          </w:tcPr>
          <w:p w:rsidR="004013C0" w:rsidRDefault="009319B9">
            <w:r>
              <w:rPr>
                <w:sz w:val="17"/>
              </w:rPr>
              <w:t xml:space="preserve">Interactive visual </w:t>
            </w:r>
            <w:r>
              <w:rPr>
                <w:sz w:val="17"/>
              </w:rPr>
              <w:t>exploration</w:t>
            </w:r>
          </w:p>
        </w:tc>
        <w:tc>
          <w:tcPr>
            <w:tcW w:w="3408" w:type="dxa"/>
            <w:vAlign w:val="center"/>
          </w:tcPr>
          <w:p w:rsidR="004013C0" w:rsidRDefault="009319B9">
            <w:r>
              <w:rPr>
                <w:sz w:val="17"/>
              </w:rPr>
              <w:t>Filter-driven visual dashboard</w:t>
            </w:r>
          </w:p>
        </w:tc>
      </w:tr>
      <w:tr w:rsidR="004013C0">
        <w:trPr>
          <w:jc w:val="center"/>
        </w:trPr>
        <w:tc>
          <w:tcPr>
            <w:tcW w:w="3408" w:type="dxa"/>
            <w:vAlign w:val="center"/>
          </w:tcPr>
          <w:p w:rsidR="004013C0" w:rsidRDefault="009319B9">
            <w:r>
              <w:rPr>
                <w:sz w:val="17"/>
              </w:rPr>
              <w:t>Power BI</w:t>
            </w:r>
          </w:p>
        </w:tc>
        <w:tc>
          <w:tcPr>
            <w:tcW w:w="3408" w:type="dxa"/>
            <w:vAlign w:val="center"/>
          </w:tcPr>
          <w:p w:rsidR="004013C0" w:rsidRDefault="009319B9">
            <w:r>
              <w:rPr>
                <w:sz w:val="17"/>
              </w:rPr>
              <w:t>Business intelligence and KPI reporting</w:t>
            </w:r>
          </w:p>
        </w:tc>
        <w:tc>
          <w:tcPr>
            <w:tcW w:w="3408" w:type="dxa"/>
            <w:vAlign w:val="center"/>
          </w:tcPr>
          <w:p w:rsidR="004013C0" w:rsidRDefault="009319B9">
            <w:r>
              <w:rPr>
                <w:sz w:val="17"/>
              </w:rPr>
              <w:t>Interactive single-page BI dashboard</w:t>
            </w:r>
          </w:p>
        </w:tc>
      </w:tr>
    </w:tbl>
    <w:p w:rsidR="004013C0" w:rsidRDefault="009319B9">
      <w:pPr>
        <w:pStyle w:val="Heading2"/>
      </w:pPr>
      <w:r>
        <w:t>8.1 Visual Comparison</w:t>
      </w:r>
    </w:p>
    <w:tbl>
      <w:tblPr>
        <w:tblStyle w:val="TableGrid"/>
        <w:tblW w:w="0" w:type="auto"/>
        <w:jc w:val="center"/>
        <w:tblLook w:val="04A0" w:firstRow="1" w:lastRow="0" w:firstColumn="1" w:lastColumn="0" w:noHBand="0" w:noVBand="1"/>
      </w:tblPr>
      <w:tblGrid>
        <w:gridCol w:w="2556"/>
        <w:gridCol w:w="2556"/>
        <w:gridCol w:w="2556"/>
        <w:gridCol w:w="2556"/>
      </w:tblGrid>
      <w:tr w:rsidR="004013C0">
        <w:trPr>
          <w:jc w:val="center"/>
        </w:trPr>
        <w:tc>
          <w:tcPr>
            <w:tcW w:w="2556" w:type="dxa"/>
            <w:shd w:val="clear" w:color="auto" w:fill="17365D"/>
            <w:vAlign w:val="center"/>
          </w:tcPr>
          <w:p w:rsidR="004013C0" w:rsidRDefault="009319B9">
            <w:r>
              <w:rPr>
                <w:b/>
                <w:color w:val="FFFFFF"/>
                <w:sz w:val="18"/>
              </w:rPr>
              <w:t>Area</w:t>
            </w:r>
          </w:p>
        </w:tc>
        <w:tc>
          <w:tcPr>
            <w:tcW w:w="2556" w:type="dxa"/>
            <w:shd w:val="clear" w:color="auto" w:fill="17365D"/>
            <w:vAlign w:val="center"/>
          </w:tcPr>
          <w:p w:rsidR="004013C0" w:rsidRDefault="009319B9">
            <w:r>
              <w:rPr>
                <w:b/>
                <w:color w:val="FFFFFF"/>
                <w:sz w:val="18"/>
              </w:rPr>
              <w:t>Excel</w:t>
            </w:r>
          </w:p>
        </w:tc>
        <w:tc>
          <w:tcPr>
            <w:tcW w:w="2556" w:type="dxa"/>
            <w:shd w:val="clear" w:color="auto" w:fill="17365D"/>
            <w:vAlign w:val="center"/>
          </w:tcPr>
          <w:p w:rsidR="004013C0" w:rsidRDefault="009319B9">
            <w:r>
              <w:rPr>
                <w:b/>
                <w:color w:val="FFFFFF"/>
                <w:sz w:val="18"/>
              </w:rPr>
              <w:t>Tableau</w:t>
            </w:r>
          </w:p>
        </w:tc>
        <w:tc>
          <w:tcPr>
            <w:tcW w:w="2556" w:type="dxa"/>
            <w:shd w:val="clear" w:color="auto" w:fill="17365D"/>
            <w:vAlign w:val="center"/>
          </w:tcPr>
          <w:p w:rsidR="004013C0" w:rsidRDefault="009319B9">
            <w:r>
              <w:rPr>
                <w:b/>
                <w:color w:val="FFFFFF"/>
                <w:sz w:val="18"/>
              </w:rPr>
              <w:t>Power BI</w:t>
            </w:r>
          </w:p>
        </w:tc>
      </w:tr>
      <w:tr w:rsidR="004013C0">
        <w:trPr>
          <w:jc w:val="center"/>
        </w:trPr>
        <w:tc>
          <w:tcPr>
            <w:tcW w:w="2556" w:type="dxa"/>
            <w:vAlign w:val="center"/>
          </w:tcPr>
          <w:p w:rsidR="004013C0" w:rsidRDefault="009319B9">
            <w:r>
              <w:rPr>
                <w:sz w:val="17"/>
              </w:rPr>
              <w:t>KPIs</w:t>
            </w:r>
          </w:p>
        </w:tc>
        <w:tc>
          <w:tcPr>
            <w:tcW w:w="2556" w:type="dxa"/>
            <w:vAlign w:val="center"/>
          </w:tcPr>
          <w:p w:rsidR="004013C0" w:rsidRDefault="009319B9">
            <w:r>
              <w:rPr>
                <w:sz w:val="17"/>
              </w:rPr>
              <w:t>Present</w:t>
            </w:r>
          </w:p>
        </w:tc>
        <w:tc>
          <w:tcPr>
            <w:tcW w:w="2556" w:type="dxa"/>
            <w:vAlign w:val="center"/>
          </w:tcPr>
          <w:p w:rsidR="004013C0" w:rsidRDefault="009319B9">
            <w:r>
              <w:rPr>
                <w:sz w:val="17"/>
              </w:rPr>
              <w:t>Present</w:t>
            </w:r>
          </w:p>
        </w:tc>
        <w:tc>
          <w:tcPr>
            <w:tcW w:w="2556" w:type="dxa"/>
            <w:vAlign w:val="center"/>
          </w:tcPr>
          <w:p w:rsidR="004013C0" w:rsidRDefault="009319B9">
            <w:r>
              <w:rPr>
                <w:sz w:val="17"/>
              </w:rPr>
              <w:t>Present</w:t>
            </w:r>
          </w:p>
        </w:tc>
      </w:tr>
      <w:tr w:rsidR="004013C0">
        <w:trPr>
          <w:jc w:val="center"/>
        </w:trPr>
        <w:tc>
          <w:tcPr>
            <w:tcW w:w="2556" w:type="dxa"/>
            <w:vAlign w:val="center"/>
          </w:tcPr>
          <w:p w:rsidR="004013C0" w:rsidRDefault="009319B9">
            <w:r>
              <w:rPr>
                <w:sz w:val="17"/>
              </w:rPr>
              <w:t>Filters / slicers</w:t>
            </w:r>
          </w:p>
        </w:tc>
        <w:tc>
          <w:tcPr>
            <w:tcW w:w="2556" w:type="dxa"/>
            <w:vAlign w:val="center"/>
          </w:tcPr>
          <w:p w:rsidR="004013C0" w:rsidRDefault="009319B9">
            <w:r>
              <w:rPr>
                <w:sz w:val="17"/>
              </w:rPr>
              <w:t xml:space="preserve">Month and category/mode </w:t>
            </w:r>
            <w:r>
              <w:rPr>
                <w:sz w:val="17"/>
              </w:rPr>
              <w:lastRenderedPageBreak/>
              <w:t>controls shown</w:t>
            </w:r>
          </w:p>
        </w:tc>
        <w:tc>
          <w:tcPr>
            <w:tcW w:w="2556" w:type="dxa"/>
            <w:vAlign w:val="center"/>
          </w:tcPr>
          <w:p w:rsidR="004013C0" w:rsidRDefault="009319B9">
            <w:r>
              <w:rPr>
                <w:sz w:val="17"/>
              </w:rPr>
              <w:lastRenderedPageBreak/>
              <w:t>Interactive filters shown</w:t>
            </w:r>
          </w:p>
        </w:tc>
        <w:tc>
          <w:tcPr>
            <w:tcW w:w="2556" w:type="dxa"/>
            <w:vAlign w:val="center"/>
          </w:tcPr>
          <w:p w:rsidR="004013C0" w:rsidRDefault="009319B9">
            <w:r>
              <w:rPr>
                <w:sz w:val="17"/>
              </w:rPr>
              <w:t>Multiple slicers shown</w:t>
            </w:r>
          </w:p>
        </w:tc>
      </w:tr>
      <w:tr w:rsidR="004013C0">
        <w:trPr>
          <w:jc w:val="center"/>
        </w:trPr>
        <w:tc>
          <w:tcPr>
            <w:tcW w:w="2556" w:type="dxa"/>
            <w:vAlign w:val="center"/>
          </w:tcPr>
          <w:p w:rsidR="004013C0" w:rsidRDefault="009319B9">
            <w:r>
              <w:rPr>
                <w:sz w:val="17"/>
              </w:rPr>
              <w:t>Trend analysis</w:t>
            </w:r>
          </w:p>
        </w:tc>
        <w:tc>
          <w:tcPr>
            <w:tcW w:w="2556" w:type="dxa"/>
            <w:vAlign w:val="center"/>
          </w:tcPr>
          <w:p w:rsidR="004013C0" w:rsidRDefault="009319B9">
            <w:r>
              <w:rPr>
                <w:sz w:val="17"/>
              </w:rPr>
              <w:t>Monthly shipment/disruption trend</w:t>
            </w:r>
          </w:p>
        </w:tc>
        <w:tc>
          <w:tcPr>
            <w:tcW w:w="2556" w:type="dxa"/>
            <w:vAlign w:val="center"/>
          </w:tcPr>
          <w:p w:rsidR="004013C0" w:rsidRDefault="009319B9">
            <w:r>
              <w:rPr>
                <w:sz w:val="17"/>
              </w:rPr>
              <w:t>Monthly trend</w:t>
            </w:r>
          </w:p>
        </w:tc>
        <w:tc>
          <w:tcPr>
            <w:tcW w:w="2556" w:type="dxa"/>
            <w:vAlign w:val="center"/>
          </w:tcPr>
          <w:p w:rsidR="004013C0" w:rsidRDefault="009319B9">
            <w:r>
              <w:rPr>
                <w:sz w:val="17"/>
              </w:rPr>
              <w:t>Monthly shipment/disruption trend</w:t>
            </w:r>
          </w:p>
        </w:tc>
      </w:tr>
      <w:tr w:rsidR="004013C0">
        <w:trPr>
          <w:jc w:val="center"/>
        </w:trPr>
        <w:tc>
          <w:tcPr>
            <w:tcW w:w="2556" w:type="dxa"/>
            <w:vAlign w:val="center"/>
          </w:tcPr>
          <w:p w:rsidR="004013C0" w:rsidRDefault="009319B9">
            <w:r>
              <w:rPr>
                <w:sz w:val="17"/>
              </w:rPr>
              <w:t>Transport analysis</w:t>
            </w:r>
          </w:p>
        </w:tc>
        <w:tc>
          <w:tcPr>
            <w:tcW w:w="2556" w:type="dxa"/>
            <w:vAlign w:val="center"/>
          </w:tcPr>
          <w:p w:rsidR="004013C0" w:rsidRDefault="009319B9">
            <w:r>
              <w:rPr>
                <w:sz w:val="17"/>
              </w:rPr>
              <w:t>Shipment count + lead time</w:t>
            </w:r>
          </w:p>
        </w:tc>
        <w:tc>
          <w:tcPr>
            <w:tcW w:w="2556" w:type="dxa"/>
            <w:vAlign w:val="center"/>
          </w:tcPr>
          <w:p w:rsidR="004013C0" w:rsidRDefault="009319B9">
            <w:r>
              <w:rPr>
                <w:sz w:val="17"/>
              </w:rPr>
              <w:t>Shipment count + lead time</w:t>
            </w:r>
          </w:p>
        </w:tc>
        <w:tc>
          <w:tcPr>
            <w:tcW w:w="2556" w:type="dxa"/>
            <w:vAlign w:val="center"/>
          </w:tcPr>
          <w:p w:rsidR="004013C0" w:rsidRDefault="009319B9">
            <w:r>
              <w:rPr>
                <w:sz w:val="17"/>
              </w:rPr>
              <w:t xml:space="preserve">Shipment count + </w:t>
            </w:r>
            <w:r>
              <w:rPr>
                <w:sz w:val="17"/>
              </w:rPr>
              <w:t>lead time</w:t>
            </w:r>
          </w:p>
        </w:tc>
      </w:tr>
      <w:tr w:rsidR="004013C0">
        <w:trPr>
          <w:jc w:val="center"/>
        </w:trPr>
        <w:tc>
          <w:tcPr>
            <w:tcW w:w="2556" w:type="dxa"/>
            <w:vAlign w:val="center"/>
          </w:tcPr>
          <w:p w:rsidR="004013C0" w:rsidRDefault="009319B9">
            <w:r>
              <w:rPr>
                <w:sz w:val="17"/>
              </w:rPr>
              <w:t>Risk/disruption analysis</w:t>
            </w:r>
          </w:p>
        </w:tc>
        <w:tc>
          <w:tcPr>
            <w:tcW w:w="2556" w:type="dxa"/>
            <w:vAlign w:val="center"/>
          </w:tcPr>
          <w:p w:rsidR="004013C0" w:rsidRDefault="009319B9">
            <w:r>
              <w:rPr>
                <w:sz w:val="17"/>
              </w:rPr>
              <w:t>Weather + origin port</w:t>
            </w:r>
          </w:p>
        </w:tc>
        <w:tc>
          <w:tcPr>
            <w:tcW w:w="2556" w:type="dxa"/>
            <w:vAlign w:val="center"/>
          </w:tcPr>
          <w:p w:rsidR="004013C0" w:rsidRDefault="009319B9">
            <w:r>
              <w:rPr>
                <w:sz w:val="17"/>
              </w:rPr>
              <w:t>Weather + origin port</w:t>
            </w:r>
          </w:p>
        </w:tc>
        <w:tc>
          <w:tcPr>
            <w:tcW w:w="2556" w:type="dxa"/>
            <w:vAlign w:val="center"/>
          </w:tcPr>
          <w:p w:rsidR="004013C0" w:rsidRDefault="009319B9">
            <w:r>
              <w:rPr>
                <w:sz w:val="17"/>
              </w:rPr>
              <w:t>Weather + origin port</w:t>
            </w:r>
          </w:p>
        </w:tc>
      </w:tr>
      <w:tr w:rsidR="004013C0">
        <w:trPr>
          <w:jc w:val="center"/>
        </w:trPr>
        <w:tc>
          <w:tcPr>
            <w:tcW w:w="2556" w:type="dxa"/>
            <w:vAlign w:val="center"/>
          </w:tcPr>
          <w:p w:rsidR="004013C0" w:rsidRDefault="009319B9">
            <w:r>
              <w:rPr>
                <w:sz w:val="17"/>
              </w:rPr>
              <w:t>Fuel/lead-time view</w:t>
            </w:r>
          </w:p>
        </w:tc>
        <w:tc>
          <w:tcPr>
            <w:tcW w:w="2556" w:type="dxa"/>
            <w:vAlign w:val="center"/>
          </w:tcPr>
          <w:p w:rsidR="004013C0" w:rsidRDefault="009319B9">
            <w:r>
              <w:rPr>
                <w:sz w:val="17"/>
              </w:rPr>
              <w:t>Present</w:t>
            </w:r>
          </w:p>
        </w:tc>
        <w:tc>
          <w:tcPr>
            <w:tcW w:w="2556" w:type="dxa"/>
            <w:vAlign w:val="center"/>
          </w:tcPr>
          <w:p w:rsidR="004013C0" w:rsidRDefault="009319B9">
            <w:r>
              <w:rPr>
                <w:sz w:val="17"/>
              </w:rPr>
              <w:t>Present</w:t>
            </w:r>
          </w:p>
        </w:tc>
        <w:tc>
          <w:tcPr>
            <w:tcW w:w="2556" w:type="dxa"/>
            <w:vAlign w:val="center"/>
          </w:tcPr>
          <w:p w:rsidR="004013C0" w:rsidRDefault="009319B9">
            <w:r>
              <w:rPr>
                <w:sz w:val="17"/>
              </w:rPr>
              <w:t>Present</w:t>
            </w:r>
          </w:p>
        </w:tc>
      </w:tr>
      <w:tr w:rsidR="004013C0">
        <w:trPr>
          <w:jc w:val="center"/>
        </w:trPr>
        <w:tc>
          <w:tcPr>
            <w:tcW w:w="2556" w:type="dxa"/>
            <w:vAlign w:val="center"/>
          </w:tcPr>
          <w:p w:rsidR="004013C0" w:rsidRDefault="009319B9">
            <w:r>
              <w:rPr>
                <w:sz w:val="17"/>
              </w:rPr>
              <w:t>Overall focus</w:t>
            </w:r>
          </w:p>
        </w:tc>
        <w:tc>
          <w:tcPr>
            <w:tcW w:w="2556" w:type="dxa"/>
            <w:vAlign w:val="center"/>
          </w:tcPr>
          <w:p w:rsidR="004013C0" w:rsidRDefault="009319B9">
            <w:r>
              <w:rPr>
                <w:sz w:val="17"/>
              </w:rPr>
              <w:t>Spreadsheet reporting</w:t>
            </w:r>
          </w:p>
        </w:tc>
        <w:tc>
          <w:tcPr>
            <w:tcW w:w="2556" w:type="dxa"/>
            <w:vAlign w:val="center"/>
          </w:tcPr>
          <w:p w:rsidR="004013C0" w:rsidRDefault="009319B9">
            <w:r>
              <w:rPr>
                <w:sz w:val="17"/>
              </w:rPr>
              <w:t>Visual exploration</w:t>
            </w:r>
          </w:p>
        </w:tc>
        <w:tc>
          <w:tcPr>
            <w:tcW w:w="2556" w:type="dxa"/>
            <w:vAlign w:val="center"/>
          </w:tcPr>
          <w:p w:rsidR="004013C0" w:rsidRDefault="009319B9">
            <w:r>
              <w:rPr>
                <w:sz w:val="17"/>
              </w:rPr>
              <w:t>BI dashboard and KPI monitoring</w:t>
            </w:r>
          </w:p>
        </w:tc>
      </w:tr>
    </w:tbl>
    <w:p w:rsidR="004013C0" w:rsidRDefault="009319B9">
      <w:pPr>
        <w:pStyle w:val="Heading1"/>
      </w:pPr>
      <w:r>
        <w:t xml:space="preserve">9. Key Analytical </w:t>
      </w:r>
      <w:r>
        <w:t>Insights</w:t>
      </w:r>
    </w:p>
    <w:p w:rsidR="004013C0" w:rsidRDefault="009319B9">
      <w:r>
        <w:t>The following points are directly supported by the supplied EDA notebook and/or visible dashboard elements. Where the dashboard and notebook use slightly different display precision, the notebook's numeric value is retained in the text.</w:t>
      </w:r>
    </w:p>
    <w:p w:rsidR="004013C0" w:rsidRDefault="009319B9">
      <w:pPr>
        <w:pStyle w:val="ListBullet"/>
        <w:spacing w:after="40"/>
      </w:pPr>
      <w:r>
        <w:t>Scale: the</w:t>
      </w:r>
      <w:r>
        <w:t xml:space="preserve"> analysis covers 5,000 shipments.</w:t>
      </w:r>
    </w:p>
    <w:p w:rsidR="004013C0" w:rsidRDefault="009319B9">
      <w:pPr>
        <w:pStyle w:val="ListBullet"/>
        <w:spacing w:after="40"/>
      </w:pPr>
      <w:r>
        <w:t>Disruptions: 3,063 disruptions are displayed in the supplied dashboard views; the EDA binary disruption field has a mean of 0.6126.</w:t>
      </w:r>
    </w:p>
    <w:p w:rsidR="004013C0" w:rsidRDefault="009319B9">
      <w:pPr>
        <w:pStyle w:val="ListBullet"/>
        <w:spacing w:after="40"/>
      </w:pPr>
      <w:r>
        <w:t xml:space="preserve">Lead time: the mean is 19.355386 days, with substantial variation and a maximum of 236.39 </w:t>
      </w:r>
      <w:r>
        <w:t>days.</w:t>
      </w:r>
    </w:p>
    <w:p w:rsidR="004013C0" w:rsidRDefault="009319B9">
      <w:pPr>
        <w:pStyle w:val="ListBullet"/>
        <w:spacing w:after="40"/>
      </w:pPr>
      <w:r>
        <w:t>Data quality: the EDA notebook reports no missing values and zero duplicate rows.</w:t>
      </w:r>
    </w:p>
    <w:p w:rsidR="004013C0" w:rsidRDefault="009319B9">
      <w:pPr>
        <w:pStyle w:val="ListBullet"/>
        <w:spacing w:after="40"/>
      </w:pPr>
      <w:r>
        <w:t>Origin ports: nine origin ports are present, with Busan having the highest shipment count in the notebook's value-count output.</w:t>
      </w:r>
    </w:p>
    <w:p w:rsidR="004013C0" w:rsidRDefault="009319B9">
      <w:pPr>
        <w:pStyle w:val="ListBullet"/>
        <w:spacing w:after="40"/>
      </w:pPr>
      <w:r>
        <w:t>Weather: the dataset contains Clear, Fog</w:t>
      </w:r>
      <w:r>
        <w:t>, Hurricane, Rain, and Storm conditions, and the dashboards visualize disruption counts by weather category.</w:t>
      </w:r>
    </w:p>
    <w:p w:rsidR="004013C0" w:rsidRDefault="009319B9">
      <w:pPr>
        <w:pStyle w:val="ListBullet"/>
        <w:spacing w:after="40"/>
      </w:pPr>
      <w:r>
        <w:t>Transport: Air, Rail, Road, and Sea are represented and are compared through shipment volume and lead-time visuals.</w:t>
      </w:r>
    </w:p>
    <w:p w:rsidR="004013C0" w:rsidRDefault="009319B9">
      <w:pPr>
        <w:pStyle w:val="ListBullet"/>
        <w:spacing w:after="40"/>
      </w:pPr>
      <w:r>
        <w:t>Risk relationships: the EDA exp</w:t>
      </w:r>
      <w:r>
        <w:t>licitly examines geopolitical risk, fuel price index, distance, and their relationship with lead time/disruption.</w:t>
      </w:r>
    </w:p>
    <w:p w:rsidR="004013C0" w:rsidRDefault="009319B9">
      <w:pPr>
        <w:pStyle w:val="ListBullet"/>
        <w:spacing w:after="40"/>
      </w:pPr>
      <w:r>
        <w:t>Monthly monitoring: the project includes separate monthly shipment and monthly disruption trends, enabling time-based monitoring.</w:t>
      </w:r>
    </w:p>
    <w:p w:rsidR="004013C0" w:rsidRDefault="009319B9">
      <w:pPr>
        <w:pStyle w:val="Heading1"/>
      </w:pPr>
      <w:r>
        <w:t>10. Limitati</w:t>
      </w:r>
      <w:r>
        <w:t>ons and Data Interpretation Notes</w:t>
      </w:r>
    </w:p>
    <w:p w:rsidR="004013C0" w:rsidRDefault="009319B9">
      <w:pPr>
        <w:pStyle w:val="ListBullet"/>
        <w:spacing w:after="40"/>
      </w:pPr>
      <w:r>
        <w:t>The supplied EDA notebook contains analysis code and executed outputs, but the raw CSV/ZIP source file itself was not supplied as a separate file in this report package.</w:t>
      </w:r>
    </w:p>
    <w:p w:rsidR="004013C0" w:rsidRDefault="009319B9">
      <w:pPr>
        <w:pStyle w:val="ListBullet"/>
        <w:spacing w:after="40"/>
      </w:pPr>
      <w:r>
        <w:t xml:space="preserve">The Excel, Tableau, and Power BI sections are based </w:t>
      </w:r>
      <w:r>
        <w:t>on the supplied dashboard screenshots; the screenshots do not expose every underlying formula, calculated field, or filter configuration.</w:t>
      </w:r>
    </w:p>
    <w:p w:rsidR="004013C0" w:rsidRDefault="009319B9">
      <w:pPr>
        <w:pStyle w:val="ListBullet"/>
        <w:spacing w:after="40"/>
      </w:pPr>
      <w:r>
        <w:t>A disruption rate should be defined explicitly in the final implementation. The EDA binary field average is 0.6126, wh</w:t>
      </w:r>
      <w:r>
        <w:t>ile dashboard displays may round this to 0.61.</w:t>
      </w:r>
    </w:p>
    <w:p w:rsidR="004013C0" w:rsidRDefault="009319B9">
      <w:pPr>
        <w:pStyle w:val="ListBullet"/>
        <w:spacing w:after="40"/>
      </w:pPr>
      <w:r>
        <w:t>The large difference between average and median lead time indicates a highly variable lead-time distribution; average alone should therefore be interpreted with caution.</w:t>
      </w:r>
    </w:p>
    <w:p w:rsidR="004013C0" w:rsidRDefault="009319B9">
      <w:pPr>
        <w:pStyle w:val="ListBullet"/>
        <w:spacing w:after="40"/>
      </w:pPr>
      <w:r>
        <w:t>Correlation or visual association shoul</w:t>
      </w:r>
      <w:r>
        <w:t>d not be interpreted as proof of causation.</w:t>
      </w:r>
    </w:p>
    <w:p w:rsidR="004013C0" w:rsidRDefault="009319B9">
      <w:pPr>
        <w:pStyle w:val="ListBullet"/>
        <w:spacing w:after="40"/>
      </w:pPr>
      <w:r>
        <w:t>The dashboard screenshots use rounded labels such as 5K and 3K, while the EDA notebook provides more precise values.</w:t>
      </w:r>
    </w:p>
    <w:p w:rsidR="004013C0" w:rsidRDefault="009319B9">
      <w:pPr>
        <w:pStyle w:val="Heading1"/>
      </w:pPr>
      <w:r>
        <w:t>11. Future Scope</w:t>
      </w:r>
    </w:p>
    <w:p w:rsidR="004013C0" w:rsidRDefault="009319B9">
      <w:pPr>
        <w:pStyle w:val="ListBullet"/>
        <w:spacing w:after="40"/>
      </w:pPr>
      <w:r>
        <w:t>Add a clearly defined disruption-rate measure to the dashboard.</w:t>
      </w:r>
    </w:p>
    <w:p w:rsidR="004013C0" w:rsidRDefault="009319B9">
      <w:pPr>
        <w:pStyle w:val="ListBullet"/>
        <w:spacing w:after="40"/>
      </w:pPr>
      <w:r>
        <w:t>Create drill-t</w:t>
      </w:r>
      <w:r>
        <w:t>hrough pages for origin port, destination port, transport mode, and product category.</w:t>
      </w:r>
    </w:p>
    <w:p w:rsidR="004013C0" w:rsidRDefault="009319B9">
      <w:pPr>
        <w:pStyle w:val="ListBullet"/>
        <w:spacing w:after="40"/>
      </w:pPr>
      <w:r>
        <w:lastRenderedPageBreak/>
        <w:t>Add conditional formatting for high lead-time and high-risk shipments.</w:t>
      </w:r>
    </w:p>
    <w:p w:rsidR="004013C0" w:rsidRDefault="009319B9">
      <w:pPr>
        <w:pStyle w:val="ListBullet"/>
        <w:spacing w:after="40"/>
      </w:pPr>
      <w:r>
        <w:t xml:space="preserve">Create a dedicated risk segmentation view combining geopolitical risk, carrier reliability, </w:t>
      </w:r>
      <w:r>
        <w:t>weather, and disruption.</w:t>
      </w:r>
    </w:p>
    <w:p w:rsidR="004013C0" w:rsidRDefault="009319B9">
      <w:pPr>
        <w:pStyle w:val="ListBullet"/>
        <w:spacing w:after="40"/>
      </w:pPr>
      <w:r>
        <w:t>Add monthly and year-over-year comparisons if additional years of data become available.</w:t>
      </w:r>
    </w:p>
    <w:p w:rsidR="004013C0" w:rsidRDefault="009319B9">
      <w:pPr>
        <w:pStyle w:val="ListBullet"/>
        <w:spacing w:after="40"/>
      </w:pPr>
      <w:r>
        <w:t>Add anomaly detection for unusually high lead-time shipments.</w:t>
      </w:r>
    </w:p>
    <w:p w:rsidR="004013C0" w:rsidRDefault="009319B9">
      <w:pPr>
        <w:pStyle w:val="ListBullet"/>
        <w:spacing w:after="40"/>
      </w:pPr>
      <w:r>
        <w:t>Extend the analysis with predictive modeling only after clearly defining the pre</w:t>
      </w:r>
      <w:r>
        <w:t>diction target and validating data quality.</w:t>
      </w:r>
    </w:p>
    <w:p w:rsidR="004013C0" w:rsidRDefault="009319B9">
      <w:pPr>
        <w:pStyle w:val="ListBullet"/>
        <w:spacing w:after="40"/>
      </w:pPr>
      <w:r>
        <w:t>Document all calculated measures and dashboard formulas so the report can be reproduced.</w:t>
      </w:r>
    </w:p>
    <w:p w:rsidR="004013C0" w:rsidRDefault="009319B9">
      <w:pPr>
        <w:pStyle w:val="Heading1"/>
      </w:pPr>
      <w:r>
        <w:t>12. Conclusion</w:t>
      </w:r>
    </w:p>
    <w:p w:rsidR="004013C0" w:rsidRDefault="009319B9">
      <w:r>
        <w:t xml:space="preserve">The Global Supply Chain Risk Analysis project demonstrates a complete analytics workflow from data </w:t>
      </w:r>
      <w:r>
        <w:t>inspection and EDA to interactive business dashboards. The supplied notebook establishes the analytical foundation using Pandas, NumPy, Matplotlib, and Seaborn, while the Excel, Tableau, and Power BI views translate the results into accessible visual repor</w:t>
      </w:r>
      <w:r>
        <w:t>ting.</w:t>
      </w:r>
    </w:p>
    <w:p w:rsidR="004013C0" w:rsidRDefault="009319B9">
      <w:r>
        <w:t>The project covers shipment volume, disruptions, transport modes, product categories, weather conditions, origin ports, carrier reliability, distance, fuel price index, geopolitical risk, and lead time. The combined approach makes it possible to insp</w:t>
      </w:r>
      <w:r>
        <w:t>ect both data quality and operational patterns while providing multiple dashboard formats for reporting and exploration.</w:t>
      </w:r>
    </w:p>
    <w:p w:rsidR="004013C0" w:rsidRDefault="009319B9">
      <w:pPr>
        <w:pStyle w:val="Heading1"/>
      </w:pPr>
      <w:r>
        <w:t>13. Tools and Technologies Used</w:t>
      </w:r>
    </w:p>
    <w:tbl>
      <w:tblPr>
        <w:tblStyle w:val="TableGrid"/>
        <w:tblW w:w="0" w:type="auto"/>
        <w:jc w:val="center"/>
        <w:tblLook w:val="04A0" w:firstRow="1" w:lastRow="0" w:firstColumn="1" w:lastColumn="0" w:noHBand="0" w:noVBand="1"/>
      </w:tblPr>
      <w:tblGrid>
        <w:gridCol w:w="5112"/>
        <w:gridCol w:w="5112"/>
      </w:tblGrid>
      <w:tr w:rsidR="004013C0">
        <w:trPr>
          <w:jc w:val="center"/>
        </w:trPr>
        <w:tc>
          <w:tcPr>
            <w:tcW w:w="5112" w:type="dxa"/>
            <w:shd w:val="clear" w:color="auto" w:fill="17365D"/>
            <w:vAlign w:val="center"/>
          </w:tcPr>
          <w:p w:rsidR="004013C0" w:rsidRDefault="009319B9">
            <w:r>
              <w:rPr>
                <w:b/>
                <w:color w:val="FFFFFF"/>
                <w:sz w:val="18"/>
              </w:rPr>
              <w:t>Tool / Technology</w:t>
            </w:r>
          </w:p>
        </w:tc>
        <w:tc>
          <w:tcPr>
            <w:tcW w:w="5112" w:type="dxa"/>
            <w:shd w:val="clear" w:color="auto" w:fill="17365D"/>
            <w:vAlign w:val="center"/>
          </w:tcPr>
          <w:p w:rsidR="004013C0" w:rsidRDefault="009319B9">
            <w:r>
              <w:rPr>
                <w:b/>
                <w:color w:val="FFFFFF"/>
                <w:sz w:val="18"/>
              </w:rPr>
              <w:t>Purpose</w:t>
            </w:r>
          </w:p>
        </w:tc>
      </w:tr>
      <w:tr w:rsidR="004013C0">
        <w:trPr>
          <w:jc w:val="center"/>
        </w:trPr>
        <w:tc>
          <w:tcPr>
            <w:tcW w:w="5112" w:type="dxa"/>
            <w:vAlign w:val="center"/>
          </w:tcPr>
          <w:p w:rsidR="004013C0" w:rsidRDefault="009319B9">
            <w:r>
              <w:rPr>
                <w:sz w:val="17"/>
              </w:rPr>
              <w:t>Python</w:t>
            </w:r>
          </w:p>
        </w:tc>
        <w:tc>
          <w:tcPr>
            <w:tcW w:w="5112" w:type="dxa"/>
            <w:vAlign w:val="center"/>
          </w:tcPr>
          <w:p w:rsidR="004013C0" w:rsidRDefault="009319B9">
            <w:r>
              <w:rPr>
                <w:sz w:val="17"/>
              </w:rPr>
              <w:t>EDA and analytical workflow</w:t>
            </w:r>
          </w:p>
        </w:tc>
      </w:tr>
      <w:tr w:rsidR="004013C0">
        <w:trPr>
          <w:jc w:val="center"/>
        </w:trPr>
        <w:tc>
          <w:tcPr>
            <w:tcW w:w="5112" w:type="dxa"/>
            <w:vAlign w:val="center"/>
          </w:tcPr>
          <w:p w:rsidR="004013C0" w:rsidRDefault="009319B9">
            <w:r>
              <w:rPr>
                <w:sz w:val="17"/>
              </w:rPr>
              <w:t>Pandas</w:t>
            </w:r>
          </w:p>
        </w:tc>
        <w:tc>
          <w:tcPr>
            <w:tcW w:w="5112" w:type="dxa"/>
            <w:vAlign w:val="center"/>
          </w:tcPr>
          <w:p w:rsidR="004013C0" w:rsidRDefault="009319B9">
            <w:r>
              <w:rPr>
                <w:sz w:val="17"/>
              </w:rPr>
              <w:t>Data loading, cleaning checks, gr</w:t>
            </w:r>
            <w:r>
              <w:rPr>
                <w:sz w:val="17"/>
              </w:rPr>
              <w:t>ouping and aggregation</w:t>
            </w:r>
          </w:p>
        </w:tc>
      </w:tr>
      <w:tr w:rsidR="004013C0">
        <w:trPr>
          <w:jc w:val="center"/>
        </w:trPr>
        <w:tc>
          <w:tcPr>
            <w:tcW w:w="5112" w:type="dxa"/>
            <w:vAlign w:val="center"/>
          </w:tcPr>
          <w:p w:rsidR="004013C0" w:rsidRDefault="009319B9">
            <w:r>
              <w:rPr>
                <w:sz w:val="17"/>
              </w:rPr>
              <w:t>NumPy</w:t>
            </w:r>
          </w:p>
        </w:tc>
        <w:tc>
          <w:tcPr>
            <w:tcW w:w="5112" w:type="dxa"/>
            <w:vAlign w:val="center"/>
          </w:tcPr>
          <w:p w:rsidR="004013C0" w:rsidRDefault="009319B9">
            <w:r>
              <w:rPr>
                <w:sz w:val="17"/>
              </w:rPr>
              <w:t>Numerical analysis support</w:t>
            </w:r>
          </w:p>
        </w:tc>
      </w:tr>
      <w:tr w:rsidR="004013C0">
        <w:trPr>
          <w:jc w:val="center"/>
        </w:trPr>
        <w:tc>
          <w:tcPr>
            <w:tcW w:w="5112" w:type="dxa"/>
            <w:vAlign w:val="center"/>
          </w:tcPr>
          <w:p w:rsidR="004013C0" w:rsidRDefault="009319B9">
            <w:r>
              <w:rPr>
                <w:sz w:val="17"/>
              </w:rPr>
              <w:t>Matplotlib</w:t>
            </w:r>
          </w:p>
        </w:tc>
        <w:tc>
          <w:tcPr>
            <w:tcW w:w="5112" w:type="dxa"/>
            <w:vAlign w:val="center"/>
          </w:tcPr>
          <w:p w:rsidR="004013C0" w:rsidRDefault="009319B9">
            <w:r>
              <w:rPr>
                <w:sz w:val="17"/>
              </w:rPr>
              <w:t>Base plotting</w:t>
            </w:r>
          </w:p>
        </w:tc>
      </w:tr>
      <w:tr w:rsidR="004013C0">
        <w:trPr>
          <w:jc w:val="center"/>
        </w:trPr>
        <w:tc>
          <w:tcPr>
            <w:tcW w:w="5112" w:type="dxa"/>
            <w:vAlign w:val="center"/>
          </w:tcPr>
          <w:p w:rsidR="004013C0" w:rsidRDefault="009319B9">
            <w:r>
              <w:rPr>
                <w:sz w:val="17"/>
              </w:rPr>
              <w:t>Seaborn</w:t>
            </w:r>
          </w:p>
        </w:tc>
        <w:tc>
          <w:tcPr>
            <w:tcW w:w="5112" w:type="dxa"/>
            <w:vAlign w:val="center"/>
          </w:tcPr>
          <w:p w:rsidR="004013C0" w:rsidRDefault="009319B9">
            <w:r>
              <w:rPr>
                <w:sz w:val="17"/>
              </w:rPr>
              <w:t>Statistical visualizations</w:t>
            </w:r>
          </w:p>
        </w:tc>
      </w:tr>
      <w:tr w:rsidR="004013C0">
        <w:trPr>
          <w:jc w:val="center"/>
        </w:trPr>
        <w:tc>
          <w:tcPr>
            <w:tcW w:w="5112" w:type="dxa"/>
            <w:vAlign w:val="center"/>
          </w:tcPr>
          <w:p w:rsidR="004013C0" w:rsidRDefault="009319B9">
            <w:r>
              <w:rPr>
                <w:sz w:val="17"/>
              </w:rPr>
              <w:t>Microsoft Excel</w:t>
            </w:r>
          </w:p>
        </w:tc>
        <w:tc>
          <w:tcPr>
            <w:tcW w:w="5112" w:type="dxa"/>
            <w:vAlign w:val="center"/>
          </w:tcPr>
          <w:p w:rsidR="004013C0" w:rsidRDefault="009319B9">
            <w:r>
              <w:rPr>
                <w:sz w:val="17"/>
              </w:rPr>
              <w:t>Spreadsheet dashboard and reporting</w:t>
            </w:r>
          </w:p>
        </w:tc>
      </w:tr>
      <w:tr w:rsidR="004013C0">
        <w:trPr>
          <w:jc w:val="center"/>
        </w:trPr>
        <w:tc>
          <w:tcPr>
            <w:tcW w:w="5112" w:type="dxa"/>
            <w:vAlign w:val="center"/>
          </w:tcPr>
          <w:p w:rsidR="004013C0" w:rsidRDefault="009319B9">
            <w:r>
              <w:rPr>
                <w:sz w:val="17"/>
              </w:rPr>
              <w:t>Tableau</w:t>
            </w:r>
          </w:p>
        </w:tc>
        <w:tc>
          <w:tcPr>
            <w:tcW w:w="5112" w:type="dxa"/>
            <w:vAlign w:val="center"/>
          </w:tcPr>
          <w:p w:rsidR="004013C0" w:rsidRDefault="009319B9">
            <w:r>
              <w:rPr>
                <w:sz w:val="17"/>
              </w:rPr>
              <w:t>Interactive visual analytics</w:t>
            </w:r>
          </w:p>
        </w:tc>
      </w:tr>
      <w:tr w:rsidR="004013C0">
        <w:trPr>
          <w:jc w:val="center"/>
        </w:trPr>
        <w:tc>
          <w:tcPr>
            <w:tcW w:w="5112" w:type="dxa"/>
            <w:vAlign w:val="center"/>
          </w:tcPr>
          <w:p w:rsidR="004013C0" w:rsidRDefault="009319B9">
            <w:r>
              <w:rPr>
                <w:sz w:val="17"/>
              </w:rPr>
              <w:t>Power BI</w:t>
            </w:r>
          </w:p>
        </w:tc>
        <w:tc>
          <w:tcPr>
            <w:tcW w:w="5112" w:type="dxa"/>
            <w:vAlign w:val="center"/>
          </w:tcPr>
          <w:p w:rsidR="004013C0" w:rsidRDefault="009319B9">
            <w:r>
              <w:rPr>
                <w:sz w:val="17"/>
              </w:rPr>
              <w:t xml:space="preserve">Interactive BI dashboard and KPI </w:t>
            </w:r>
            <w:r>
              <w:rPr>
                <w:sz w:val="17"/>
              </w:rPr>
              <w:t>reporting</w:t>
            </w:r>
          </w:p>
        </w:tc>
      </w:tr>
    </w:tbl>
    <w:p w:rsidR="004013C0" w:rsidRDefault="009319B9">
      <w:pPr>
        <w:pStyle w:val="Heading1"/>
      </w:pPr>
      <w:r>
        <w:t>Appendix A – EDA Notebook Workflow</w:t>
      </w:r>
    </w:p>
    <w:p w:rsidR="004013C0" w:rsidRDefault="009319B9">
      <w:pPr>
        <w:pStyle w:val="ListNumber"/>
        <w:spacing w:after="40"/>
      </w:pPr>
      <w:r>
        <w:t>Import NumPy, Pandas, Matplotlib, and Seaborn.</w:t>
      </w:r>
    </w:p>
    <w:p w:rsidR="004013C0" w:rsidRDefault="009319B9">
      <w:pPr>
        <w:pStyle w:val="ListNumber"/>
        <w:spacing w:after="40"/>
      </w:pPr>
      <w:r>
        <w:t>Load the shipment dataset.</w:t>
      </w:r>
    </w:p>
    <w:p w:rsidR="004013C0" w:rsidRDefault="009319B9">
      <w:pPr>
        <w:pStyle w:val="ListNumber"/>
        <w:spacing w:after="40"/>
      </w:pPr>
      <w:r>
        <w:t>Inspect first, last, and random records.</w:t>
      </w:r>
    </w:p>
    <w:p w:rsidR="004013C0" w:rsidRDefault="009319B9">
      <w:pPr>
        <w:pStyle w:val="ListNumber"/>
        <w:spacing w:after="40"/>
      </w:pPr>
      <w:r>
        <w:t>Check shape, data types, and descriptive statistics.</w:t>
      </w:r>
    </w:p>
    <w:p w:rsidR="004013C0" w:rsidRDefault="009319B9">
      <w:pPr>
        <w:pStyle w:val="ListNumber"/>
        <w:spacing w:after="40"/>
      </w:pPr>
      <w:r>
        <w:t>Check null values and duplicates.</w:t>
      </w:r>
    </w:p>
    <w:p w:rsidR="004013C0" w:rsidRDefault="009319B9">
      <w:pPr>
        <w:pStyle w:val="ListNumber"/>
        <w:spacing w:after="40"/>
      </w:pPr>
      <w:r>
        <w:t xml:space="preserve">Analyze </w:t>
      </w:r>
      <w:r>
        <w:t>value counts, sorting, unique values, and grouped weather data.</w:t>
      </w:r>
    </w:p>
    <w:p w:rsidR="004013C0" w:rsidRDefault="009319B9">
      <w:pPr>
        <w:pStyle w:val="ListNumber"/>
        <w:spacing w:after="40"/>
      </w:pPr>
      <w:r>
        <w:t>Create categorical and distribution visualizations.</w:t>
      </w:r>
    </w:p>
    <w:p w:rsidR="004013C0" w:rsidRDefault="009319B9">
      <w:pPr>
        <w:pStyle w:val="ListNumber"/>
        <w:spacing w:after="40"/>
      </w:pPr>
      <w:r>
        <w:t>Analyze carrier reliability, distance, geopolitical risk, fuel price, and lead time.</w:t>
      </w:r>
    </w:p>
    <w:p w:rsidR="004013C0" w:rsidRDefault="009319B9">
      <w:pPr>
        <w:pStyle w:val="ListNumber"/>
        <w:spacing w:after="40"/>
      </w:pPr>
      <w:r>
        <w:t>Create a correlation heatmap for numeric variables.</w:t>
      </w:r>
    </w:p>
    <w:p w:rsidR="004013C0" w:rsidRDefault="009319B9">
      <w:pPr>
        <w:pStyle w:val="ListNumber"/>
        <w:spacing w:after="40"/>
      </w:pPr>
      <w:r>
        <w:t>Con</w:t>
      </w:r>
      <w:r>
        <w:t>vert Date to datetime.</w:t>
      </w:r>
    </w:p>
    <w:p w:rsidR="004013C0" w:rsidRDefault="009319B9">
      <w:pPr>
        <w:pStyle w:val="ListNumber"/>
        <w:spacing w:after="40"/>
      </w:pPr>
      <w:r>
        <w:t>Create monthly shipment and monthly disruption trends.</w:t>
      </w:r>
    </w:p>
    <w:p w:rsidR="004013C0" w:rsidRDefault="009319B9">
      <w:pPr>
        <w:pStyle w:val="Heading1"/>
      </w:pPr>
      <w:r>
        <w:lastRenderedPageBreak/>
        <w:t>Appendix B – Source Files Used for This Report</w:t>
      </w:r>
    </w:p>
    <w:p w:rsidR="004013C0" w:rsidRDefault="009319B9">
      <w:pPr>
        <w:pStyle w:val="ListBullet"/>
      </w:pPr>
      <w:r>
        <w:t>EDA ON GLOBAL SUPPLY CHAIN RISK DATA .ipynb</w:t>
      </w:r>
    </w:p>
    <w:p w:rsidR="004013C0" w:rsidRDefault="009319B9">
      <w:pPr>
        <w:pStyle w:val="ListBullet"/>
      </w:pPr>
      <w:r>
        <w:t>Global supply chain risk .png</w:t>
      </w:r>
    </w:p>
    <w:p w:rsidR="004013C0" w:rsidRDefault="009319B9">
      <w:pPr>
        <w:pStyle w:val="ListBullet"/>
      </w:pPr>
      <w:r>
        <w:t>tableau global supply .png</w:t>
      </w:r>
    </w:p>
    <w:p w:rsidR="004013C0" w:rsidRDefault="009319B9">
      <w:pPr>
        <w:pStyle w:val="ListBullet"/>
      </w:pPr>
      <w:r>
        <w:t>power bi global supply .png</w:t>
      </w:r>
      <w:bookmarkStart w:id="0" w:name="_GoBack"/>
      <w:bookmarkEnd w:id="0"/>
    </w:p>
    <w:sectPr w:rsidR="004013C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3C0"/>
    <w:rsid w:val="009319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43139"/>
  <w14:defaultImageDpi w14:val="300"/>
  <w15:docId w15:val="{CE2671F5-845B-422C-A0E3-17FC40860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Calibri" w:hAnsi="Calibri"/>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B075C-9097-4148-B035-5EF82BA00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2156</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3</cp:revision>
  <dcterms:created xsi:type="dcterms:W3CDTF">2013-12-23T23:15:00Z</dcterms:created>
  <dcterms:modified xsi:type="dcterms:W3CDTF">2026-09-22T13:50:00Z</dcterms:modified>
  <cp:category/>
</cp:coreProperties>
</file>