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A4A"/>
          <w:sz w:val="32"/>
          <w:szCs w:val="32"/>
        </w:rPr>
        <w:t xml:space="preserve">GULFTP WEBSITE: IT / DEV ACTION LIST</w:t>
      </w:r>
    </w:p>
    <w:p>
      <w:pPr>
        <w:spacing w:after="300"/>
      </w:pPr>
      <w:r>
        <w:rPr>
          <w:i/>
          <w:iCs/>
          <w:sz w:val="20"/>
          <w:szCs w:val="20"/>
        </w:rPr>
        <w:t xml:space="preserve">Site: https://gulftp.com  |  Compiled 18 August 2026  |  Companion to the marketing audit doc</w:t>
      </w:r>
    </w:p>
    <w:p>
      <w:pPr>
        <w:spacing w:after="120"/>
      </w:pPr>
      <w:r>
        <w:t xml:space="preserve">This is a build/QA checklist, not a copy or positioning document, content wording is being finalised separately by marketing. Where exact replacement copy is needed, placeholders are marked [COPY TBD] and marketing will supply final text before go-live. Items are grouped by ticket type so they can be split across devs.</w:t>
      </w:r>
    </w:p>
    <w:p>
      <w:pPr>
        <w:pStyle w:val="Heading2"/>
        <w:spacing w:after="120" w:before="240"/>
      </w:pPr>
      <w:r>
        <w:t xml:space="preserve">A. BUGS (FIX REGARDLESS OF CONTENT CHANGES)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B2A4A" w:color="auto" w:val="clear"/>
          </w:tcPr>
          <w:p>
            <w:r>
              <w:rPr>
                <w:b/>
                <w:bCs/>
                <w:color w:val="FFFFFF"/>
              </w:rPr>
              <w:t xml:space="preserve">#</w:t>
            </w:r>
          </w:p>
        </w:tc>
        <w:tc>
          <w:tcPr>
            <w:tcW w:type="dxa" w:w="3200"/>
            <w:shd w:fill="1B2A4A" w:color="auto" w:val="clear"/>
          </w:tcPr>
          <w:p>
            <w:r>
              <w:rPr>
                <w:b/>
                <w:bCs/>
                <w:color w:val="FFFFFF"/>
              </w:rPr>
              <w:t xml:space="preserve">Task</w:t>
            </w:r>
          </w:p>
        </w:tc>
        <w:tc>
          <w:tcPr>
            <w:tcW w:type="dxa" w:w="2800"/>
            <w:shd w:fill="1B2A4A" w:color="auto" w:val="clear"/>
          </w:tcPr>
          <w:p>
            <w:r>
              <w:rPr>
                <w:b/>
                <w:bCs/>
                <w:color w:val="FFFFFF"/>
              </w:rPr>
              <w:t xml:space="preserve">Where</w:t>
            </w:r>
          </w:p>
        </w:tc>
        <w:tc>
          <w:tcPr>
            <w:tcW w:type="dxa" w:w="3100"/>
            <w:shd w:fill="1B2A4A" w:color="auto" w:val="clear"/>
          </w:tcPr>
          <w:p>
            <w:r>
              <w:rPr>
                <w:b/>
                <w:bCs/>
                <w:color w:val="FFFFFF"/>
              </w:rPr>
              <w:t xml:space="preserve">What to do</w:t>
            </w:r>
          </w:p>
        </w:tc>
      </w:tr>
      <w:tr>
        <w:tc>
          <w:tcPr>
            <w:tcW w:type="dxa" w:w="500"/>
            <w:shd w:fill="FFFFFF" w:color="auto" w:val="clear"/>
          </w:tcPr>
          <w:p>
            <w:r>
              <w:rPr>
                <w:b w:val="false"/>
                <w:bCs w:val="false"/>
              </w:rPr>
              <w:t xml:space="preserve">A1</w:t>
            </w:r>
          </w:p>
        </w:tc>
        <w:tc>
          <w:tcPr>
            <w:tcW w:type="dxa" w:w="3200"/>
            <w:shd w:fill="FFFFFF" w:color="auto" w:val="clear"/>
          </w:tcPr>
          <w:p>
            <w:r>
              <w:rPr>
                <w:b w:val="false"/>
                <w:bCs w:val="false"/>
              </w:rPr>
              <w:t xml:space="preserve">Contact form shows raw template placeholders instead of rendering success/error messages</w:t>
            </w:r>
          </w:p>
        </w:tc>
        <w:tc>
          <w:tcPr>
            <w:tcW w:type="dxa" w:w="2800"/>
            <w:shd w:fill="FFFFFF" w:color="auto" w:val="clear"/>
          </w:tcPr>
          <w:p>
            <w:r>
              <w:rPr>
                <w:b w:val="false"/>
                <w:bCs w:val="false"/>
              </w:rPr>
              <w:t xml:space="preserve">gulftp.com/contact.html</w:t>
            </w:r>
          </w:p>
        </w:tc>
        <w:tc>
          <w:tcPr>
            <w:tcW w:type="dxa" w:w="3100"/>
            <w:shd w:fill="FFFFFF" w:color="auto" w:val="clear"/>
          </w:tcPr>
          <w:p>
            <w:r>
              <w:rPr>
                <w:b w:val="false"/>
                <w:bCs w:val="false"/>
              </w:rPr>
              <w:t xml:space="preserve">Form is outputting the literal strings {{ successMessage }} and {{ errorMessage }} to the page instead of the templating engine resolving them. Check the form's submit handler / template binding, likely a broken variable reference or the template engine not being invoked on that block. Test: submit with valid data (expect success message, no raw braces) and with invalid data (expect real validation error, no raw braces).</w:t>
            </w:r>
          </w:p>
        </w:tc>
      </w:tr>
      <w:tr>
        <w:tc>
          <w:tcPr>
            <w:tcW w:type="dxa" w:w="500"/>
            <w:shd w:fill="F2F2F2" w:color="auto" w:val="clear"/>
          </w:tcPr>
          <w:p>
            <w:r>
              <w:rPr>
                <w:b w:val="false"/>
                <w:bCs w:val="false"/>
              </w:rPr>
              <w:t xml:space="preserve">A2</w:t>
            </w:r>
          </w:p>
        </w:tc>
        <w:tc>
          <w:tcPr>
            <w:tcW w:type="dxa" w:w="3200"/>
            <w:shd w:fill="F2F2F2" w:color="auto" w:val="clear"/>
          </w:tcPr>
          <w:p>
            <w:r>
              <w:rPr>
                <w:b w:val="false"/>
                <w:bCs w:val="false"/>
              </w:rPr>
              <w:t xml:space="preserve">Verify no other forms have the same templating bug</w:t>
            </w:r>
          </w:p>
        </w:tc>
        <w:tc>
          <w:tcPr>
            <w:tcW w:type="dxa" w:w="2800"/>
            <w:shd w:fill="F2F2F2" w:color="auto" w:val="clear"/>
          </w:tcPr>
          <w:p>
            <w:r>
              <w:rPr>
                <w:b w:val="false"/>
                <w:bCs w:val="false"/>
              </w:rPr>
              <w:t xml:space="preserve">book-search.html, book-a-demo.html, book-an-appointment.html, update-a-search.html, buy-subscription.html, newsletter signup (footer, sitewide)</w:t>
            </w:r>
          </w:p>
        </w:tc>
        <w:tc>
          <w:tcPr>
            <w:tcW w:type="dxa" w:w="3100"/>
            <w:shd w:fill="F2F2F2" w:color="auto" w:val="clear"/>
          </w:tcPr>
          <w:p>
            <w:r>
              <w:rPr>
                <w:b w:val="false"/>
                <w:bCs w:val="false"/>
              </w:rPr>
              <w:t xml:space="preserve">Same root cause as A1 may exist on any form using the same template component. Submit a test entry on each and confirm no raw {{ }} placeholders render anywhere, on both success and error paths.</w:t>
            </w:r>
          </w:p>
        </w:tc>
      </w:tr>
      <w:tr>
        <w:tc>
          <w:tcPr>
            <w:tcW w:type="dxa" w:w="500"/>
            <w:shd w:fill="FFFFFF" w:color="auto" w:val="clear"/>
          </w:tcPr>
          <w:p>
            <w:r>
              <w:rPr>
                <w:b w:val="false"/>
                <w:bCs w:val="false"/>
              </w:rPr>
              <w:t xml:space="preserve">A3</w:t>
            </w:r>
          </w:p>
        </w:tc>
        <w:tc>
          <w:tcPr>
            <w:tcW w:type="dxa" w:w="3200"/>
            <w:shd w:fill="FFFFFF" w:color="auto" w:val="clear"/>
          </w:tcPr>
          <w:p>
            <w:r>
              <w:rPr>
                <w:b w:val="false"/>
                <w:bCs w:val="false"/>
              </w:rPr>
              <w:t xml:space="preserve">Confirm post-submit flow end to end</w:t>
            </w:r>
          </w:p>
        </w:tc>
        <w:tc>
          <w:tcPr>
            <w:tcW w:type="dxa" w:w="2800"/>
            <w:shd w:fill="FFFFFF" w:color="auto" w:val="clear"/>
          </w:tcPr>
          <w:p>
            <w:r>
              <w:rPr>
                <w:b w:val="false"/>
                <w:bCs w:val="false"/>
              </w:rPr>
              <w:t xml:space="preserve">All forms above</w:t>
            </w:r>
          </w:p>
        </w:tc>
        <w:tc>
          <w:tcPr>
            <w:tcW w:type="dxa" w:w="3100"/>
            <w:shd w:fill="FFFFFF" w:color="auto" w:val="clear"/>
          </w:tcPr>
          <w:p>
            <w:r>
              <w:rPr>
                <w:b w:val="false"/>
                <w:bCs w:val="false"/>
              </w:rPr>
              <w:t xml:space="preserve">For each form: confirm the submission actually reaches wherever it's supposed to (CRM/email/DB, confirm with marketing which), confirm the user-facing confirmation state, and confirm no duplicate submissions on double-click/slow network.</w:t>
            </w:r>
          </w:p>
        </w:tc>
      </w:tr>
    </w:tbl>
    <w:p>
      <w:pPr>
        <w:pStyle w:val="Heading2"/>
        <w:spacing w:after="120" w:before="240"/>
      </w:pPr>
      <w:r>
        <w:t xml:space="preserve">B. SITEWIDE FIND-AND-REPLACE (CONTENT IS LOCKED, JUST NEEDS PROPAGATING)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B2A4A" w:color="auto" w:val="clear"/>
          </w:tcPr>
          <w:p>
            <w:r>
              <w:rPr>
                <w:b/>
                <w:bCs/>
                <w:color w:val="FFFFFF"/>
              </w:rPr>
              <w:t xml:space="preserve">#</w:t>
            </w:r>
          </w:p>
        </w:tc>
        <w:tc>
          <w:tcPr>
            <w:tcW w:type="dxa" w:w="3200"/>
            <w:shd w:fill="1B2A4A" w:color="auto" w:val="clear"/>
          </w:tcPr>
          <w:p>
            <w:r>
              <w:rPr>
                <w:b/>
                <w:bCs/>
                <w:color w:val="FFFFFF"/>
              </w:rPr>
              <w:t xml:space="preserve">Task</w:t>
            </w:r>
          </w:p>
        </w:tc>
        <w:tc>
          <w:tcPr>
            <w:tcW w:type="dxa" w:w="2800"/>
            <w:shd w:fill="1B2A4A" w:color="auto" w:val="clear"/>
          </w:tcPr>
          <w:p>
            <w:r>
              <w:rPr>
                <w:b/>
                <w:bCs/>
                <w:color w:val="FFFFFF"/>
              </w:rPr>
              <w:t xml:space="preserve">Where</w:t>
            </w:r>
          </w:p>
        </w:tc>
        <w:tc>
          <w:tcPr>
            <w:tcW w:type="dxa" w:w="3100"/>
            <w:shd w:fill="1B2A4A" w:color="auto" w:val="clear"/>
          </w:tcPr>
          <w:p>
            <w:r>
              <w:rPr>
                <w:b/>
                <w:bCs/>
                <w:color w:val="FFFFFF"/>
              </w:rPr>
              <w:t xml:space="preserve">What to do</w:t>
            </w:r>
          </w:p>
        </w:tc>
      </w:tr>
      <w:tr>
        <w:tc>
          <w:tcPr>
            <w:tcW w:type="dxa" w:w="500"/>
            <w:shd w:fill="FFFFFF" w:color="auto" w:val="clear"/>
          </w:tcPr>
          <w:p>
            <w:r>
              <w:rPr>
                <w:b w:val="false"/>
                <w:bCs w:val="false"/>
              </w:rPr>
              <w:t xml:space="preserve">B1</w:t>
            </w:r>
          </w:p>
        </w:tc>
        <w:tc>
          <w:tcPr>
            <w:tcW w:type="dxa" w:w="3200"/>
            <w:shd w:fill="FFFFFF" w:color="auto" w:val="clear"/>
          </w:tcPr>
          <w:p>
            <w:r>
              <w:rPr>
                <w:b w:val="false"/>
                <w:bCs w:val="false"/>
              </w:rPr>
              <w:t xml:space="preserve">Add Kuwait to the GCC list everywhere; separate Egypt out</w:t>
            </w:r>
          </w:p>
        </w:tc>
        <w:tc>
          <w:tcPr>
            <w:tcW w:type="dxa" w:w="2800"/>
            <w:shd w:fill="FFFFFF" w:color="auto" w:val="clear"/>
          </w:tcPr>
          <w:p>
            <w:r>
              <w:rPr>
                <w:b w:val="false"/>
                <w:bCs w:val="false"/>
              </w:rPr>
              <w:t xml:space="preserve">Main nav (Regulation dropdown), footer nav, contact form country dropdown, About page body copy, homepage copy (if referencing GCC list), any admin data / filters behind the booking and search forms</w:t>
            </w:r>
          </w:p>
        </w:tc>
        <w:tc>
          <w:tcPr>
            <w:tcW w:type="dxa" w:w="3100"/>
            <w:shd w:fill="FFFFFF" w:color="auto" w:val="clear"/>
          </w:tcPr>
          <w:p>
            <w:r>
              <w:rPr>
                <w:b w:val="false"/>
                <w:bCs w:val="false"/>
              </w:rPr>
              <w:t xml:space="preserve">Canonical GCC list (6): UAE, Saudi Arabia, Kuwait, Qatar, Bahrain, Oman. Egypt should NOT appear inside this list, it goes in a separate "Wider Middle East" grouping if kept at all. Currently the nav/footer/contact-form dropdown all show 5 GCC countries + Egypt with no Kuwait, this needs to become 6 GCC + Egypt separated. Note: the About page's own country-coverage widget already lists Kuwait correctly among 15 countries, use that as the reference for which countries actually have data, then fix the inconsistent lists to match reality.</w:t>
            </w:r>
          </w:p>
        </w:tc>
      </w:tr>
      <w:tr>
        <w:tc>
          <w:tcPr>
            <w:tcW w:type="dxa" w:w="500"/>
            <w:shd w:fill="F2F2F2" w:color="auto" w:val="clear"/>
          </w:tcPr>
          <w:p>
            <w:r>
              <w:rPr>
                <w:b w:val="false"/>
                <w:bCs w:val="false"/>
              </w:rPr>
              <w:t xml:space="preserve">B2</w:t>
            </w:r>
          </w:p>
        </w:tc>
        <w:tc>
          <w:tcPr>
            <w:tcW w:type="dxa" w:w="3200"/>
            <w:shd w:fill="F2F2F2" w:color="auto" w:val="clear"/>
          </w:tcPr>
          <w:p>
            <w:r>
              <w:rPr>
                <w:b w:val="false"/>
                <w:bCs w:val="false"/>
              </w:rPr>
              <w:t xml:space="preserve">Create/link a Kuwait Transfer Pricing regulation page if one doesn't exist</w:t>
            </w:r>
          </w:p>
        </w:tc>
        <w:tc>
          <w:tcPr>
            <w:tcW w:type="dxa" w:w="2800"/>
            <w:shd w:fill="F2F2F2" w:color="auto" w:val="clear"/>
          </w:tcPr>
          <w:p>
            <w:r>
              <w:rPr>
                <w:b w:val="false"/>
                <w:bCs w:val="false"/>
              </w:rPr>
              <w:t xml:space="preserve">URL pattern matches existing pages, e.g. gulftp.com/kuwait-transfer-pricing.html</w:t>
            </w:r>
          </w:p>
        </w:tc>
        <w:tc>
          <w:tcPr>
            <w:tcW w:type="dxa" w:w="3100"/>
            <w:shd w:fill="F2F2F2" w:color="auto" w:val="clear"/>
          </w:tcPr>
          <w:p>
            <w:r>
              <w:rPr>
                <w:b w:val="false"/>
                <w:bCs w:val="false"/>
              </w:rPr>
              <w:t xml:space="preserve">Check whether a Kuwait page exists at any URL first (it may exist but simply not be linked from nav). If it doesn't exist, flag back to marketing, page content needs to come from them, but the URL slot and nav/footer link should be wired up ready to receive it.</w:t>
            </w:r>
          </w:p>
        </w:tc>
      </w:tr>
      <w:tr>
        <w:tc>
          <w:tcPr>
            <w:tcW w:type="dxa" w:w="500"/>
            <w:shd w:fill="FFFFFF" w:color="auto" w:val="clear"/>
          </w:tcPr>
          <w:p>
            <w:r>
              <w:rPr>
                <w:b w:val="false"/>
                <w:bCs w:val="false"/>
              </w:rPr>
              <w:t xml:space="preserve">B3</w:t>
            </w:r>
          </w:p>
        </w:tc>
        <w:tc>
          <w:tcPr>
            <w:tcW w:type="dxa" w:w="3200"/>
            <w:shd w:fill="FFFFFF" w:color="auto" w:val="clear"/>
          </w:tcPr>
          <w:p>
            <w:r>
              <w:rPr>
                <w:b w:val="false"/>
                <w:bCs w:val="false"/>
              </w:rPr>
              <w:t xml:space="preserve">Remove absolute accuracy/coverage claims</w:t>
            </w:r>
          </w:p>
        </w:tc>
        <w:tc>
          <w:tcPr>
            <w:tcW w:type="dxa" w:w="2800"/>
            <w:shd w:fill="FFFFFF" w:color="auto" w:val="clear"/>
          </w:tcPr>
          <w:p>
            <w:r>
              <w:rPr>
                <w:b w:val="false"/>
                <w:bCs w:val="false"/>
              </w:rPr>
              <w:t xml:space="preserve">Homepage hero stats block ("100% Data Accuracy", "100% GCC Coverage"), "About Our Company" section ("Data Accuracy 100%", "Regional Coverage 100%")</w:t>
            </w:r>
          </w:p>
        </w:tc>
        <w:tc>
          <w:tcPr>
            <w:tcW w:type="dxa" w:w="3100"/>
            <w:shd w:fill="FFFFFF" w:color="auto" w:val="clear"/>
          </w:tcPr>
          <w:p>
            <w:r>
              <w:rPr>
                <w:b w:val="false"/>
                <w:bCs w:val="false"/>
              </w:rPr>
              <w:t xml:space="preserve">Swap the two hero stat tiles and the two About-section stat lines for [COPY TBD] replacement text from marketing. Keep the same visual stat-tile component, just the label/value text changes, not the layout.</w:t>
            </w:r>
          </w:p>
        </w:tc>
      </w:tr>
      <w:tr>
        <w:tc>
          <w:tcPr>
            <w:tcW w:type="dxa" w:w="500"/>
            <w:shd w:fill="F2F2F2" w:color="auto" w:val="clear"/>
          </w:tcPr>
          <w:p>
            <w:r>
              <w:rPr>
                <w:b w:val="false"/>
                <w:bCs w:val="false"/>
              </w:rPr>
              <w:t xml:space="preserve">B4</w:t>
            </w:r>
          </w:p>
        </w:tc>
        <w:tc>
          <w:tcPr>
            <w:tcW w:type="dxa" w:w="3200"/>
            <w:shd w:fill="F2F2F2" w:color="auto" w:val="clear"/>
          </w:tcPr>
          <w:p>
            <w:r>
              <w:rPr>
                <w:b w:val="false"/>
                <w:bCs w:val="false"/>
              </w:rPr>
              <w:t xml:space="preserve">Reconcile all company/comparable count figures sitewide</w:t>
            </w:r>
          </w:p>
        </w:tc>
        <w:tc>
          <w:tcPr>
            <w:tcW w:type="dxa" w:w="2800"/>
            <w:shd w:fill="F2F2F2" w:color="auto" w:val="clear"/>
          </w:tcPr>
          <w:p>
            <w:r>
              <w:rPr>
                <w:b w:val="false"/>
                <w:bCs w:val="false"/>
              </w:rPr>
              <w:t xml:space="preserve">Homepage stats bar ("100,000+ Companies Profiled" vs "100+ Comparable Companies" shown together), About page ("100,000+ Comparable Companies"), any other page displaying a count</w:t>
            </w:r>
          </w:p>
        </w:tc>
        <w:tc>
          <w:tcPr>
            <w:tcW w:type="dxa" w:w="3100"/>
            <w:shd w:fill="F2F2F2" w:color="auto" w:val="clear"/>
          </w:tcPr>
          <w:p>
            <w:r>
              <w:rPr>
                <w:b w:val="false"/>
                <w:bCs w:val="false"/>
              </w:rPr>
              <w:t xml:space="preserve">Grep/search the codebase or CMS for every instance of a hardcoded count number (100,000+, 100+, etc.) and list them for marketing to review. Once marketing confirms the final substantiated numbers, replace all instances consistently, do not let any two pages show different figures for what should be the same metric.</w:t>
            </w:r>
          </w:p>
        </w:tc>
      </w:tr>
    </w:tbl>
    <w:p>
      <w:pPr>
        <w:pStyle w:val="Heading2"/>
        <w:spacing w:after="120" w:before="240"/>
      </w:pPr>
      <w:r>
        <w:t xml:space="preserve">C. NEW PAGE BUILD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B2A4A" w:color="auto" w:val="clear"/>
          </w:tcPr>
          <w:p>
            <w:r>
              <w:rPr>
                <w:b/>
                <w:bCs/>
                <w:color w:val="FFFFFF"/>
              </w:rPr>
              <w:t xml:space="preserve">#</w:t>
            </w:r>
          </w:p>
        </w:tc>
        <w:tc>
          <w:tcPr>
            <w:tcW w:type="dxa" w:w="3200"/>
            <w:shd w:fill="1B2A4A" w:color="auto" w:val="clear"/>
          </w:tcPr>
          <w:p>
            <w:r>
              <w:rPr>
                <w:b/>
                <w:bCs/>
                <w:color w:val="FFFFFF"/>
              </w:rPr>
              <w:t xml:space="preserve">Task</w:t>
            </w:r>
          </w:p>
        </w:tc>
        <w:tc>
          <w:tcPr>
            <w:tcW w:type="dxa" w:w="2800"/>
            <w:shd w:fill="1B2A4A" w:color="auto" w:val="clear"/>
          </w:tcPr>
          <w:p>
            <w:r>
              <w:rPr>
                <w:b/>
                <w:bCs/>
                <w:color w:val="FFFFFF"/>
              </w:rPr>
              <w:t xml:space="preserve">Where</w:t>
            </w:r>
          </w:p>
        </w:tc>
        <w:tc>
          <w:tcPr>
            <w:tcW w:type="dxa" w:w="3100"/>
            <w:shd w:fill="1B2A4A" w:color="auto" w:val="clear"/>
          </w:tcPr>
          <w:p>
            <w:r>
              <w:rPr>
                <w:b/>
                <w:bCs/>
                <w:color w:val="FFFFFF"/>
              </w:rPr>
              <w:t xml:space="preserve">What to do</w:t>
            </w:r>
          </w:p>
        </w:tc>
      </w:tr>
      <w:tr>
        <w:tc>
          <w:tcPr>
            <w:tcW w:type="dxa" w:w="500"/>
            <w:shd w:fill="FFFFFF" w:color="auto" w:val="clear"/>
          </w:tcPr>
          <w:p>
            <w:r>
              <w:rPr>
                <w:b w:val="false"/>
                <w:bCs w:val="false"/>
              </w:rPr>
              <w:t xml:space="preserve">C1</w:t>
            </w:r>
          </w:p>
        </w:tc>
        <w:tc>
          <w:tcPr>
            <w:tcW w:type="dxa" w:w="3200"/>
            <w:shd w:fill="FFFFFF" w:color="auto" w:val="clear"/>
          </w:tcPr>
          <w:p>
            <w:r>
              <w:rPr>
                <w:b w:val="false"/>
                <w:bCs w:val="false"/>
              </w:rPr>
              <w:t xml:space="preserve">Build "Our Data &amp; Methodology" page</w:t>
            </w:r>
          </w:p>
        </w:tc>
        <w:tc>
          <w:tcPr>
            <w:tcW w:type="dxa" w:w="2800"/>
            <w:shd w:fill="FFFFFF" w:color="auto" w:val="clear"/>
          </w:tcPr>
          <w:p>
            <w:r>
              <w:rPr>
                <w:b w:val="false"/>
                <w:bCs w:val="false"/>
              </w:rPr>
              <w:t xml:space="preserve">New page, add to main nav (Solutions or a new top-level item) and to "Why GulfTP" section if one exists</w:t>
            </w:r>
          </w:p>
        </w:tc>
        <w:tc>
          <w:tcPr>
            <w:tcW w:type="dxa" w:w="3100"/>
            <w:shd w:fill="FFFFFF" w:color="auto" w:val="clear"/>
          </w:tcPr>
          <w:p>
            <w:r>
              <w:rPr>
                <w:b w:val="false"/>
                <w:bCs w:val="false"/>
              </w:rPr>
              <w:t xml:space="preserve">Structure: 4 subsections (Company Database, Royalty/IP Database, Loan/Interest Rate Database, Services Database), each covering sourcing, coverage, update cadence, and validation process. [COPY TBD from marketing]. Once live, link to it from the trust/credibility section of every product page (Gulf Company Database, Interest Rates, Services, IP Licensing), not just from the main nav.</w:t>
            </w:r>
          </w:p>
        </w:tc>
      </w:tr>
    </w:tbl>
    <w:p>
      <w:pPr>
        <w:pStyle w:val="Heading2"/>
        <w:spacing w:after="120" w:before="240"/>
      </w:pPr>
      <w:r>
        <w:t xml:space="preserve">D. CONTENT/ASSET SWAPS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B2A4A" w:color="auto" w:val="clear"/>
          </w:tcPr>
          <w:p>
            <w:r>
              <w:rPr>
                <w:b/>
                <w:bCs/>
                <w:color w:val="FFFFFF"/>
              </w:rPr>
              <w:t xml:space="preserve">#</w:t>
            </w:r>
          </w:p>
        </w:tc>
        <w:tc>
          <w:tcPr>
            <w:tcW w:type="dxa" w:w="3200"/>
            <w:shd w:fill="1B2A4A" w:color="auto" w:val="clear"/>
          </w:tcPr>
          <w:p>
            <w:r>
              <w:rPr>
                <w:b/>
                <w:bCs/>
                <w:color w:val="FFFFFF"/>
              </w:rPr>
              <w:t xml:space="preserve">Task</w:t>
            </w:r>
          </w:p>
        </w:tc>
        <w:tc>
          <w:tcPr>
            <w:tcW w:type="dxa" w:w="2800"/>
            <w:shd w:fill="1B2A4A" w:color="auto" w:val="clear"/>
          </w:tcPr>
          <w:p>
            <w:r>
              <w:rPr>
                <w:b/>
                <w:bCs/>
                <w:color w:val="FFFFFF"/>
              </w:rPr>
              <w:t xml:space="preserve">Where</w:t>
            </w:r>
          </w:p>
        </w:tc>
        <w:tc>
          <w:tcPr>
            <w:tcW w:type="dxa" w:w="3100"/>
            <w:shd w:fill="1B2A4A" w:color="auto" w:val="clear"/>
          </w:tcPr>
          <w:p>
            <w:r>
              <w:rPr>
                <w:b/>
                <w:bCs/>
                <w:color w:val="FFFFFF"/>
              </w:rPr>
              <w:t xml:space="preserve">What to do</w:t>
            </w:r>
          </w:p>
        </w:tc>
      </w:tr>
      <w:tr>
        <w:tc>
          <w:tcPr>
            <w:tcW w:type="dxa" w:w="500"/>
            <w:shd w:fill="FFFFFF" w:color="auto" w:val="clear"/>
          </w:tcPr>
          <w:p>
            <w:r>
              <w:rPr>
                <w:b w:val="false"/>
                <w:bCs w:val="false"/>
              </w:rPr>
              <w:t xml:space="preserve">D1</w:t>
            </w:r>
          </w:p>
        </w:tc>
        <w:tc>
          <w:tcPr>
            <w:tcW w:type="dxa" w:w="3200"/>
            <w:shd w:fill="FFFFFF" w:color="auto" w:val="clear"/>
          </w:tcPr>
          <w:p>
            <w:r>
              <w:rPr>
                <w:b w:val="false"/>
                <w:bCs w:val="false"/>
              </w:rPr>
              <w:t xml:space="preserve">Replace stock imagery with real product screenshots</w:t>
            </w:r>
          </w:p>
        </w:tc>
        <w:tc>
          <w:tcPr>
            <w:tcW w:type="dxa" w:w="2800"/>
            <w:shd w:fill="FFFFFF" w:color="auto" w:val="clear"/>
          </w:tcPr>
          <w:p>
            <w:r>
              <w:rPr>
                <w:b w:val="false"/>
                <w:bCs w:val="false"/>
              </w:rPr>
              <w:t xml:space="preserve">gulf-company-database.html (currently uses Unsplash stock photos of a calculator and a generic office)</w:t>
            </w:r>
          </w:p>
        </w:tc>
        <w:tc>
          <w:tcPr>
            <w:tcW w:type="dxa" w:w="3100"/>
            <w:shd w:fill="FFFFFF" w:color="auto" w:val="clear"/>
          </w:tcPr>
          <w:p>
            <w:r>
              <w:rPr>
                <w:b w:val="false"/>
                <w:bCs w:val="false"/>
              </w:rPr>
              <w:t xml:space="preserve">Marketing/product to supply real screenshots of the search tool UI and a sample output report. Swap the two Unsplash &lt;img&gt; sources for the new assets; keep existing sizing/aspect ratio or adjust the container if the new assets differ significantly.</w:t>
            </w:r>
          </w:p>
        </w:tc>
      </w:tr>
      <w:tr>
        <w:tc>
          <w:tcPr>
            <w:tcW w:type="dxa" w:w="500"/>
            <w:shd w:fill="F2F2F2" w:color="auto" w:val="clear"/>
          </w:tcPr>
          <w:p>
            <w:r>
              <w:rPr>
                <w:b w:val="false"/>
                <w:bCs w:val="false"/>
              </w:rPr>
              <w:t xml:space="preserve">D2</w:t>
            </w:r>
          </w:p>
        </w:tc>
        <w:tc>
          <w:tcPr>
            <w:tcW w:type="dxa" w:w="3200"/>
            <w:shd w:fill="F2F2F2" w:color="auto" w:val="clear"/>
          </w:tcPr>
          <w:p>
            <w:r>
              <w:rPr>
                <w:b w:val="false"/>
                <w:bCs w:val="false"/>
              </w:rPr>
              <w:t xml:space="preserve">Rebuild About page "Why Choose GulfTP" and "Our Values" sections</w:t>
            </w:r>
          </w:p>
        </w:tc>
        <w:tc>
          <w:tcPr>
            <w:tcW w:type="dxa" w:w="2800"/>
            <w:shd w:fill="F2F2F2" w:color="auto" w:val="clear"/>
          </w:tcPr>
          <w:p>
            <w:r>
              <w:rPr>
                <w:b w:val="false"/>
                <w:bCs w:val="false"/>
              </w:rPr>
              <w:t xml:space="preserve">gulftp.com/about.html</w:t>
            </w:r>
          </w:p>
        </w:tc>
        <w:tc>
          <w:tcPr>
            <w:tcW w:type="dxa" w:w="3100"/>
            <w:shd w:fill="F2F2F2" w:color="auto" w:val="clear"/>
          </w:tcPr>
          <w:p>
            <w:r>
              <w:rPr>
                <w:b w:val="false"/>
                <w:bCs w:val="false"/>
              </w:rPr>
              <w:t xml:space="preserve">Current copy in these two sections is leftover template content from an unrelated business type (company-formation/free-zone boilerplate, e.g. "100% Control Of Your Business", "Fast Company Setup"). [COPY TBD from marketing], this is a content swap only, same section layout/component.</w:t>
            </w:r>
          </w:p>
        </w:tc>
      </w:tr>
      <w:tr>
        <w:tc>
          <w:tcPr>
            <w:tcW w:type="dxa" w:w="500"/>
            <w:shd w:fill="FFFFFF" w:color="auto" w:val="clear"/>
          </w:tcPr>
          <w:p>
            <w:r>
              <w:rPr>
                <w:b w:val="false"/>
                <w:bCs w:val="false"/>
              </w:rPr>
              <w:t xml:space="preserve">D3</w:t>
            </w:r>
          </w:p>
        </w:tc>
        <w:tc>
          <w:tcPr>
            <w:tcW w:type="dxa" w:w="3200"/>
            <w:shd w:fill="FFFFFF" w:color="auto" w:val="clear"/>
          </w:tcPr>
          <w:p>
            <w:r>
              <w:rPr>
                <w:b w:val="false"/>
                <w:bCs w:val="false"/>
              </w:rPr>
              <w:t xml:space="preserve">Replace homepage testimonials with real case studies</w:t>
            </w:r>
          </w:p>
        </w:tc>
        <w:tc>
          <w:tcPr>
            <w:tcW w:type="dxa" w:w="2800"/>
            <w:shd w:fill="FFFFFF" w:color="auto" w:val="clear"/>
          </w:tcPr>
          <w:p>
            <w:r>
              <w:rPr>
                <w:b w:val="false"/>
                <w:bCs w:val="false"/>
              </w:rPr>
              <w:t xml:space="preserve">Homepage "What Our Clients Say" section (currently 8 generic/anonymous quote cards)</w:t>
            </w:r>
          </w:p>
        </w:tc>
        <w:tc>
          <w:tcPr>
            <w:tcW w:type="dxa" w:w="3100"/>
            <w:shd w:fill="FFFFFF" w:color="auto" w:val="clear"/>
          </w:tcPr>
          <w:p>
            <w:r>
              <w:rPr>
                <w:b w:val="false"/>
                <w:bCs w:val="false"/>
              </w:rPr>
              <w:t xml:space="preserve">Marketing will supply 2-3 case study write-ups to replace the current 8 testimonial cards. Confirm whether the case-study format needs a different card layout (more content per card) than the current short-quote cards, flag back to marketing/design if so.</w:t>
            </w:r>
          </w:p>
        </w:tc>
      </w:tr>
      <w:tr>
        <w:tc>
          <w:tcPr>
            <w:tcW w:type="dxa" w:w="500"/>
            <w:shd w:fill="F2F2F2" w:color="auto" w:val="clear"/>
          </w:tcPr>
          <w:p>
            <w:r>
              <w:rPr>
                <w:b w:val="false"/>
                <w:bCs w:val="false"/>
              </w:rPr>
              <w:t xml:space="preserve">D4</w:t>
            </w:r>
          </w:p>
        </w:tc>
        <w:tc>
          <w:tcPr>
            <w:tcW w:type="dxa" w:w="3200"/>
            <w:shd w:fill="F2F2F2" w:color="auto" w:val="clear"/>
          </w:tcPr>
          <w:p>
            <w:r>
              <w:rPr>
                <w:b w:val="false"/>
                <w:bCs w:val="false"/>
              </w:rPr>
              <w:t xml:space="preserve">Set all section/page headings to uppercase styling</w:t>
            </w:r>
          </w:p>
        </w:tc>
        <w:tc>
          <w:tcPr>
            <w:tcW w:type="dxa" w:w="2800"/>
            <w:shd w:fill="F2F2F2" w:color="auto" w:val="clear"/>
          </w:tcPr>
          <w:p>
            <w:r>
              <w:rPr>
                <w:b w:val="false"/>
                <w:bCs w:val="false"/>
              </w:rPr>
              <w:t xml:space="preserve">Sitewide, all H1/H2/H3 heading elements across every page (homepage, About, product pages, country regulation pages, etc.)</w:t>
            </w:r>
          </w:p>
        </w:tc>
        <w:tc>
          <w:tcPr>
            <w:tcW w:type="dxa" w:w="3100"/>
            <w:shd w:fill="F2F2F2" w:color="auto" w:val="clear"/>
          </w:tcPr>
          <w:p>
            <w:r>
              <w:rPr>
                <w:b w:val="false"/>
                <w:bCs w:val="false"/>
              </w:rPr>
              <w:t xml:space="preserve">Apply text-transform: uppercase (or equivalent) to the heading style classes so section headings render in caps sitewide, matching the cleaner, more confident look of finance/data-product sites. Use this as a design reference for the overall heading and section styling direction: https://dribbble.com/shots/21792718-Finance-Banking-Landing-Page-Design. Coordinate with design on letter-spacing and font-weight adjustments if straight uppercase looks cramped at current font sizes.</w:t>
            </w:r>
          </w:p>
        </w:tc>
      </w:tr>
    </w:tbl>
    <w:p>
      <w:pPr>
        <w:pStyle w:val="Heading2"/>
        <w:spacing w:after="120" w:before="240"/>
      </w:pPr>
      <w:r>
        <w:t xml:space="preserve">E. QA PASS (RUN AFTER A–D ARE COMPLETE)</w:t>
      </w:r>
    </w:p>
    <w:p>
      <w:pPr>
        <w:pStyle w:val="ListParagraph"/>
        <w:numPr>
          <w:ilvl w:val="0"/>
          <w:numId w:val="1"/>
        </w:numPr>
        <w:spacing w:after="40"/>
      </w:pPr>
      <w:r>
        <w:t xml:space="preserve">Test every CTA sitewide: Book Demo, Buy Benchmark, Contact, Subscribe, WhatsApp, confirm each goes to the right destination and works on both desktop and mobile.</w:t>
      </w:r>
    </w:p>
    <w:p>
      <w:pPr>
        <w:pStyle w:val="ListParagraph"/>
        <w:numPr>
          <w:ilvl w:val="0"/>
          <w:numId w:val="1"/>
        </w:numPr>
        <w:spacing w:after="40"/>
      </w:pPr>
      <w:r>
        <w:t xml:space="preserve">Test payment flow and post-payment confirmation end to end.</w:t>
      </w:r>
    </w:p>
    <w:p>
      <w:pPr>
        <w:pStyle w:val="ListParagraph"/>
        <w:numPr>
          <w:ilvl w:val="0"/>
          <w:numId w:val="1"/>
        </w:numPr>
        <w:spacing w:after="40"/>
      </w:pPr>
      <w:r>
        <w:t xml:space="preserve">Test all forms on desktop and mobile, including field validation and error states.</w:t>
      </w:r>
    </w:p>
    <w:p>
      <w:pPr>
        <w:pStyle w:val="ListParagraph"/>
        <w:numPr>
          <w:ilvl w:val="0"/>
          <w:numId w:val="1"/>
        </w:numPr>
        <w:spacing w:after="40"/>
      </w:pPr>
      <w:r>
        <w:t xml:space="preserve">Check every footer link resolves (no 404s).</w:t>
      </w:r>
    </w:p>
    <w:p>
      <w:pPr>
        <w:pStyle w:val="ListParagraph"/>
        <w:numPr>
          <w:ilvl w:val="0"/>
          <w:numId w:val="1"/>
        </w:numPr>
        <w:spacing w:after="40"/>
      </w:pPr>
      <w:r>
        <w:t xml:space="preserve">Check every country regulation page link and every database-product link resolves.</w:t>
      </w:r>
    </w:p>
    <w:p>
      <w:pPr>
        <w:pStyle w:val="ListParagraph"/>
        <w:numPr>
          <w:ilvl w:val="0"/>
          <w:numId w:val="1"/>
        </w:numPr>
        <w:spacing w:after="40"/>
      </w:pPr>
      <w:r>
        <w:t xml:space="preserve">Search for and remove any remaining dead pages or placeholder content.</w:t>
      </w:r>
    </w:p>
    <w:p>
      <w:pPr>
        <w:pStyle w:val="ListParagraph"/>
        <w:numPr>
          <w:ilvl w:val="0"/>
          <w:numId w:val="1"/>
        </w:numPr>
        <w:spacing w:after="40"/>
      </w:pPr>
      <w:r>
        <w:t xml:space="preserve">Confirm page titles and meta descriptions are unique per page (no duplicates).</w:t>
      </w:r>
    </w:p>
    <w:p>
      <w:pPr>
        <w:pStyle w:val="ListParagraph"/>
        <w:numPr>
          <w:ilvl w:val="0"/>
          <w:numId w:val="1"/>
        </w:numPr>
        <w:spacing w:after="40"/>
      </w:pPr>
      <w:r>
        <w:t xml:space="preserve">Run a final spelling/grammar pass across all changed pages.</w:t>
      </w:r>
    </w:p>
    <w:p>
      <w:pPr>
        <w:pStyle w:val="ListParagraph"/>
        <w:numPr>
          <w:ilvl w:val="0"/>
          <w:numId w:val="1"/>
        </w:numPr>
        <w:spacing w:after="40"/>
      </w:pPr>
      <w:r>
        <w:t xml:space="preserve">Re-verify items A1–A3 (forms) and B1–B4 (consistency) one more time after all other changes ship, since new copy changes can reintroduce the same template/placeholder bugs.</w:t>
      </w:r>
    </w:p>
    <w:p>
      <w:pPr>
        <w:pStyle w:val="Heading2"/>
        <w:spacing w:after="120" w:before="240"/>
      </w:pPr>
      <w:r>
        <w:t xml:space="preserve">F. SEO / METADATA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B2A4A" w:color="auto" w:val="clear"/>
          </w:tcPr>
          <w:p>
            <w:r>
              <w:rPr>
                <w:b/>
                <w:bCs/>
                <w:color w:val="FFFFFF"/>
              </w:rPr>
              <w:t xml:space="preserve">#</w:t>
            </w:r>
          </w:p>
        </w:tc>
        <w:tc>
          <w:tcPr>
            <w:tcW w:type="dxa" w:w="3200"/>
            <w:shd w:fill="1B2A4A" w:color="auto" w:val="clear"/>
          </w:tcPr>
          <w:p>
            <w:r>
              <w:rPr>
                <w:b/>
                <w:bCs/>
                <w:color w:val="FFFFFF"/>
              </w:rPr>
              <w:t xml:space="preserve">Task</w:t>
            </w:r>
          </w:p>
        </w:tc>
        <w:tc>
          <w:tcPr>
            <w:tcW w:type="dxa" w:w="2800"/>
            <w:shd w:fill="1B2A4A" w:color="auto" w:val="clear"/>
          </w:tcPr>
          <w:p>
            <w:r>
              <w:rPr>
                <w:b/>
                <w:bCs/>
                <w:color w:val="FFFFFF"/>
              </w:rPr>
              <w:t xml:space="preserve">Where</w:t>
            </w:r>
          </w:p>
        </w:tc>
        <w:tc>
          <w:tcPr>
            <w:tcW w:type="dxa" w:w="3100"/>
            <w:shd w:fill="1B2A4A" w:color="auto" w:val="clear"/>
          </w:tcPr>
          <w:p>
            <w:r>
              <w:rPr>
                <w:b/>
                <w:bCs/>
                <w:color w:val="FFFFFF"/>
              </w:rPr>
              <w:t xml:space="preserve">What to do</w:t>
            </w:r>
          </w:p>
        </w:tc>
      </w:tr>
      <w:tr>
        <w:tc>
          <w:tcPr>
            <w:tcW w:type="dxa" w:w="500"/>
            <w:shd w:fill="FFFFFF" w:color="auto" w:val="clear"/>
          </w:tcPr>
          <w:p>
            <w:r>
              <w:rPr>
                <w:b w:val="false"/>
                <w:bCs w:val="false"/>
              </w:rPr>
              <w:t xml:space="preserve">F1</w:t>
            </w:r>
          </w:p>
        </w:tc>
        <w:tc>
          <w:tcPr>
            <w:tcW w:type="dxa" w:w="3200"/>
            <w:shd w:fill="FFFFFF" w:color="auto" w:val="clear"/>
          </w:tcPr>
          <w:p>
            <w:r>
              <w:rPr>
                <w:b w:val="false"/>
                <w:bCs w:val="false"/>
              </w:rPr>
              <w:t xml:space="preserve">Homepage &lt;title&gt; tag doesn't match intended brand name in Google results</w:t>
            </w:r>
          </w:p>
        </w:tc>
        <w:tc>
          <w:tcPr>
            <w:tcW w:type="dxa" w:w="2800"/>
            <w:shd w:fill="FFFFFF" w:color="auto" w:val="clear"/>
          </w:tcPr>
          <w:p>
            <w:r>
              <w:rPr>
                <w:b w:val="false"/>
                <w:bCs w:val="false"/>
              </w:rPr>
              <w:t xml:space="preserve">Google currently shows the homepage result as "GulfTP Transfer Pricing", the live &lt;title&gt; tag is "GulfTP - Transfer Pricing Data", so Google is truncating/rewriting it rather than showing it as-is.</w:t>
            </w:r>
          </w:p>
        </w:tc>
        <w:tc>
          <w:tcPr>
            <w:tcW w:type="dxa" w:w="3100"/>
            <w:shd w:fill="FFFFFF" w:color="auto" w:val="clear"/>
          </w:tcPr>
          <w:p>
            <w:r>
              <w:rPr>
                <w:b w:val="false"/>
                <w:bCs w:val="false"/>
              </w:rPr>
              <w:t xml:space="preserve">Check the exact &lt;title&gt; element on index.html plus any WebSite structured data (schema.org JSON-LD) and og:site_name tag, Google increasingly pulls the SERP site name from structured data over the raw &lt;title&gt; when they diverge. Confirm with marketing the exact desired brand string, set it consistently in &lt;title&gt;, og:site_name, and structured data, then request re-indexing via Search Console. Note this can take days to weeks to reflect in search results even after the fix ships.</w:t>
            </w:r>
          </w:p>
        </w:tc>
      </w:tr>
      <w:tr>
        <w:tc>
          <w:tcPr>
            <w:tcW w:type="dxa" w:w="500"/>
            <w:shd w:fill="F2F2F2" w:color="auto" w:val="clear"/>
          </w:tcPr>
          <w:p>
            <w:r>
              <w:rPr>
                <w:b w:val="false"/>
                <w:bCs w:val="false"/>
              </w:rPr>
              <w:t xml:space="preserve">F2</w:t>
            </w:r>
          </w:p>
        </w:tc>
        <w:tc>
          <w:tcPr>
            <w:tcW w:type="dxa" w:w="3200"/>
            <w:shd w:fill="F2F2F2" w:color="auto" w:val="clear"/>
          </w:tcPr>
          <w:p>
            <w:r>
              <w:rPr>
                <w:b w:val="false"/>
                <w:bCs w:val="false"/>
              </w:rPr>
              <w:t xml:space="preserve">Audit &lt;title&gt; and meta description on every page for uniqueness</w:t>
            </w:r>
          </w:p>
        </w:tc>
        <w:tc>
          <w:tcPr>
            <w:tcW w:type="dxa" w:w="2800"/>
            <w:shd w:fill="F2F2F2" w:color="auto" w:val="clear"/>
          </w:tcPr>
          <w:p>
            <w:r>
              <w:rPr>
                <w:b w:val="false"/>
                <w:bCs w:val="false"/>
              </w:rPr>
              <w:t xml:space="preserve">Sitewide</w:t>
            </w:r>
          </w:p>
        </w:tc>
        <w:tc>
          <w:tcPr>
            <w:tcW w:type="dxa" w:w="3100"/>
            <w:shd w:fill="F2F2F2" w:color="auto" w:val="clear"/>
          </w:tcPr>
          <w:p>
            <w:r>
              <w:rPr>
                <w:b w:val="false"/>
                <w:bCs w:val="false"/>
              </w:rPr>
              <w:t xml:space="preserve">Pull a list of every page's current &lt;title&gt; and meta description into a spreadsheet and flag duplicates or missing values, ties into item E's "unique titles" QA check but needs to happen as its own pass since it affects SEO ranking, not just on-page QA.</w:t>
            </w:r>
          </w:p>
        </w:tc>
      </w:tr>
    </w:tbl>
    <w:p>
      <w:pPr>
        <w:pStyle w:val="Heading2"/>
        <w:spacing w:after="120" w:before="240"/>
      </w:pPr>
      <w:r>
        <w:t xml:space="preserve">SUGGESTED SEQUENCING</w:t>
      </w:r>
    </w:p>
    <w:p>
      <w:pPr>
        <w:spacing w:after="120"/>
      </w:pPr>
      <w:r>
        <w:t xml:space="preserve">A (bugs) → B (find-replace) can run in parallel with C/D once copy is ready → F (SEO/metadata) can run in parallel with B → E (QA) last, and only after marketing confirms all [COPY TBD] items are filled in. Do not let the outreach/marketing team resume aggressive campaigns until section E is signed 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2026-08-18T09:36:44.917Z</dcterms:created>
  <dcterms:modified xsi:type="dcterms:W3CDTF">2026-08-18T09:36:44.932Z</dcterms:modified>
</cp:coreProperties>
</file>

<file path=docProps/custom.xml><?xml version="1.0" encoding="utf-8"?>
<Properties xmlns="http://schemas.openxmlformats.org/officeDocument/2006/custom-properties" xmlns:vt="http://schemas.openxmlformats.org/officeDocument/2006/docPropsVTypes"/>
</file>