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both"/>
      </w:pPr>
      <w:r>
        <w:rPr>
          <w:b w:val="0"/>
          <w:i w:val="0"/>
        </w:rPr>
      </w:r>
    </w:p>
    <w:p>
      <w:pPr>
        <w:spacing w:after="120"/>
        <w:jc w:val="both"/>
      </w:pPr>
      <w:r>
        <w:rPr>
          <w:b w:val="0"/>
          <w:i w:val="0"/>
        </w:rPr>
      </w:r>
    </w:p>
    <w:p>
      <w:pPr>
        <w:spacing w:after="120"/>
        <w:jc w:val="both"/>
      </w:pPr>
      <w:r>
        <w:rPr>
          <w:b w:val="0"/>
          <w:i w:val="0"/>
        </w:rPr>
      </w:r>
    </w:p>
    <w:p>
      <w:pPr>
        <w:spacing w:after="120"/>
        <w:jc w:val="center"/>
      </w:pPr>
      <w:r>
        <w:rPr>
          <w:b/>
          <w:i w:val="0"/>
          <w:color w:val="1F3864"/>
          <w:sz w:val="28"/>
        </w:rPr>
        <w:t>IBM SkillsBuild National Cybersecurity Bootcamp 2026</w:t>
      </w:r>
    </w:p>
    <w:p>
      <w:pPr>
        <w:spacing w:after="120"/>
        <w:jc w:val="center"/>
      </w:pPr>
      <w:r>
        <w:rPr>
          <w:b w:val="0"/>
          <w:i w:val="0"/>
          <w:sz w:val="24"/>
        </w:rPr>
        <w:t>Conducted by BharatCares (CSRBOX Group)</w:t>
      </w:r>
    </w:p>
    <w:p>
      <w:pPr>
        <w:spacing w:after="120"/>
        <w:jc w:val="both"/>
      </w:pPr>
      <w:r>
        <w:rPr>
          <w:b w:val="0"/>
          <w:i w:val="0"/>
        </w:rPr>
      </w:r>
    </w:p>
    <w:p>
      <w:pPr>
        <w:spacing w:after="120"/>
        <w:jc w:val="both"/>
      </w:pPr>
      <w:r>
        <w:rPr>
          <w:b w:val="0"/>
          <w:i w:val="0"/>
        </w:rPr>
      </w:r>
    </w:p>
    <w:p>
      <w:pPr>
        <w:spacing w:after="120"/>
        <w:jc w:val="both"/>
      </w:pPr>
      <w:r>
        <w:rPr>
          <w:b w:val="0"/>
          <w:i w:val="0"/>
        </w:rPr>
      </w:r>
    </w:p>
    <w:p>
      <w:pPr>
        <w:spacing w:after="120"/>
        <w:jc w:val="center"/>
      </w:pPr>
      <w:r>
        <w:rPr>
          <w:b/>
          <w:i w:val="0"/>
          <w:sz w:val="36"/>
        </w:rPr>
        <w:t>FINAL PROJECT REPORT</w:t>
      </w:r>
    </w:p>
    <w:p>
      <w:pPr>
        <w:spacing w:after="120"/>
        <w:jc w:val="center"/>
      </w:pPr>
      <w:r>
        <w:rPr>
          <w:b/>
          <w:i w:val="0"/>
          <w:color w:val="7F1D1D"/>
          <w:sz w:val="48"/>
        </w:rPr>
        <w:t>Explainable ML-Based Network Intrusion Detection System (NIDS)</w:t>
      </w:r>
    </w:p>
    <w:p>
      <w:pPr>
        <w:spacing w:after="120"/>
        <w:jc w:val="both"/>
      </w:pPr>
      <w:r>
        <w:rPr>
          <w:b w:val="0"/>
          <w:i w:val="0"/>
        </w:rPr>
      </w:r>
    </w:p>
    <w:p>
      <w:pPr>
        <w:spacing w:after="120"/>
        <w:jc w:val="both"/>
      </w:pPr>
      <w:r>
        <w:rPr>
          <w:b w:val="0"/>
          <w:i w:val="0"/>
        </w:rPr>
      </w:r>
    </w:p>
    <w:p>
      <w:pPr>
        <w:spacing w:after="120"/>
        <w:jc w:val="both"/>
      </w:pPr>
      <w:r>
        <w:rPr>
          <w:b w:val="0"/>
          <w:i w:val="0"/>
        </w:rPr>
      </w:r>
    </w:p>
    <w:p>
      <w:pPr>
        <w:spacing w:after="120"/>
        <w:jc w:val="center"/>
      </w:pPr>
      <w:r>
        <w:rPr>
          <w:b/>
          <w:i w:val="0"/>
          <w:sz w:val="26"/>
        </w:rPr>
        <w:t>Submitted by: Sakshi vinod mankar</w:t>
      </w:r>
    </w:p>
    <w:p>
      <w:pPr>
        <w:spacing w:after="120"/>
        <w:jc w:val="center"/>
      </w:pPr>
      <w:r>
        <w:rPr>
          <w:b w:val="0"/>
          <w:i w:val="0"/>
          <w:sz w:val="24"/>
        </w:rPr>
        <w:t>Bsc forensic science</w:t>
      </w:r>
    </w:p>
    <w:p>
      <w:pPr>
        <w:spacing w:after="120"/>
        <w:jc w:val="center"/>
      </w:pPr>
      <w:r>
        <w:rPr>
          <w:b w:val="0"/>
          <w:i w:val="0"/>
          <w:sz w:val="24"/>
        </w:rPr>
        <w:t>sandip university nashik</w:t>
      </w:r>
    </w:p>
    <w:p>
      <w:pPr>
        <w:spacing w:after="120"/>
        <w:jc w:val="center"/>
      </w:pPr>
      <w:r>
        <w:rPr>
          <w:b w:val="0"/>
          <w:i w:val="0"/>
          <w:sz w:val="24"/>
        </w:rPr>
        <w:t>Date: 23 October 2026</w:t>
      </w:r>
    </w:p>
    <w:p>
      <w:pPr>
        <w:spacing w:after="120"/>
        <w:jc w:val="center"/>
      </w:pPr>
      <w:r>
        <w:rPr>
          <w:b w:val="0"/>
          <w:i w:val="0"/>
          <w:sz w:val="22"/>
        </w:rPr>
        <w:t>GitHub: https://github.com/sakshimankar23/ML-Network-Intrusion-Detector.git</w:t>
      </w:r>
    </w:p>
    <w:p>
      <w:r>
        <w:br w:type="page"/>
      </w:r>
    </w:p>
    <w:p>
      <w:pPr>
        <w:pStyle w:val="Heading1"/>
      </w:pPr>
      <w:r>
        <w:t>Abstract</w:t>
      </w:r>
    </w:p>
    <w:p>
      <w:pPr>
        <w:spacing w:after="120"/>
        <w:jc w:val="both"/>
      </w:pPr>
      <w:r>
        <w:rPr>
          <w:b w:val="0"/>
          <w:i w:val="0"/>
        </w:rPr>
        <w:t>Signature-based security tools struggle to detect new and unseen attacks, while machine-learning detectors are often rejected by analysts because they cannot explain their decisions. This project builds an explainable network intrusion detection system (NIDS) on the NSL-KDD benchmark. Four classifiers (Logistic Regression, Decision Tree, Random Forest and XGBoost) were compared with stratified cross-validation, the two strongest were tuned, and the best model, XGBoost (Tuned), was evaluated on the official KDDTest+ set, which contains attack types never seen during training. It reached an accuracy of 80.31%, an attack recall of 67.57%, an F1-score of 79.62% and a ROC-AUC of 0.9723. SHAP is used to explain why each connection is flagged, a threshold analysis quantifies the trade-off between detection and false alarms, and a SOAR-style layer converts predictions into severity levels and recommended response actions. A Streamlit dashboard demonstrates the complete system.</w:t>
      </w:r>
    </w:p>
    <w:p>
      <w:pPr>
        <w:pStyle w:val="Heading1"/>
      </w:pPr>
      <w:r>
        <w:t>1. Introduction</w:t>
      </w:r>
    </w:p>
    <w:p>
      <w:pPr>
        <w:pStyle w:val="Heading2"/>
      </w:pPr>
      <w:r>
        <w:t>1.1 Problem Statement</w:t>
      </w:r>
    </w:p>
    <w:p>
      <w:pPr>
        <w:spacing w:after="120"/>
        <w:jc w:val="both"/>
      </w:pPr>
      <w:r>
        <w:rPr>
          <w:b w:val="0"/>
          <w:i w:val="0"/>
        </w:rPr>
        <w:t>Modern networks face a constant stream of attacks such as denial of service, port scanning, password guessing and privilege escalation. Signature-based tools only recognise attacks they already know. Machine learning can learn the patterns of normal and malicious traffic and generalise to variations, but security teams will not act on alerts from a black box. The problem addressed here is to build a detector that is accurate, honest about its limits and explainable.</w:t>
      </w:r>
    </w:p>
    <w:p>
      <w:pPr>
        <w:pStyle w:val="Heading2"/>
      </w:pPr>
      <w:r>
        <w:t>1.2 Objectives</w:t>
      </w:r>
    </w:p>
    <w:p>
      <w:pPr>
        <w:pStyle w:val="ListBullet"/>
      </w:pPr>
      <w:r>
        <w:t>Detect malicious connections (binary classification) with the priority on high recall.</w:t>
      </w:r>
    </w:p>
    <w:p>
      <w:pPr>
        <w:pStyle w:val="ListBullet"/>
      </w:pPr>
      <w:r>
        <w:t>Classify the attack family: Normal, DoS, Probe, R2L or U2R (multi-class classification).</w:t>
      </w:r>
    </w:p>
    <w:p>
      <w:pPr>
        <w:pStyle w:val="ListBullet"/>
      </w:pPr>
      <w:r>
        <w:t>Explain each alert using SHAP so an analyst can see which features triggered it.</w:t>
      </w:r>
    </w:p>
    <w:p>
      <w:pPr>
        <w:pStyle w:val="ListBullet"/>
      </w:pPr>
      <w:r>
        <w:t>Convert predictions into severity levels and recommended actions, similar to a SOAR playbook.</w:t>
      </w:r>
    </w:p>
    <w:p>
      <w:pPr>
        <w:pStyle w:val="ListBullet"/>
      </w:pPr>
      <w:r>
        <w:t>Evaluate honestly on the official test set, which contains unseen attack types.</w:t>
      </w:r>
    </w:p>
    <w:p>
      <w:pPr>
        <w:pStyle w:val="Heading2"/>
      </w:pPr>
      <w:r>
        <w:t>1.3 Scope</w:t>
      </w:r>
    </w:p>
    <w:p>
      <w:pPr>
        <w:spacing w:after="120"/>
        <w:jc w:val="both"/>
      </w:pPr>
      <w:r>
        <w:rPr>
          <w:b w:val="0"/>
          <w:i w:val="0"/>
        </w:rPr>
        <w:t>The project covers data preparation, model development, evaluation, explainability, an alerting layer and a web dashboard. It uses recorded benchmark data and does not capture live network packets.</w:t>
      </w:r>
    </w:p>
    <w:p>
      <w:pPr>
        <w:pStyle w:val="Heading1"/>
      </w:pPr>
      <w:r>
        <w:t>2. Dataset</w:t>
      </w:r>
    </w:p>
    <w:p>
      <w:pPr>
        <w:spacing w:after="120"/>
        <w:jc w:val="both"/>
      </w:pPr>
      <w:r>
        <w:rPr>
          <w:b w:val="0"/>
          <w:i w:val="0"/>
        </w:rPr>
        <w:t>The NSL-KDD dataset, created by the Canadian Institute for Cybersecurity (University of New Brunswick), is an improved version of the KDD Cup 1999 data. It removes redundant records so that models are not biased towards frequent records. Each record describes one network connection with 41 features plus a label. The official training file (KDDTrain+) has 125,973 records and the official test file (KDDTest+) has 22,544 records. The test file contains attack types that do not appear in training, which makes it a realistic test of generalisation.</w:t>
      </w:r>
    </w:p>
    <w:p>
      <w:pPr>
        <w:spacing w:after="120"/>
        <w:jc w:val="left"/>
      </w:pPr>
      <w:r>
        <w:rPr>
          <w:b w:val="0"/>
          <w:i/>
        </w:rPr>
        <w:t>Dataset link: https://www.kaggle.com/datasets/hassan06/nslkdd  |  https://www.unb.ca/cic/datasets/nsl.html</w:t>
      </w:r>
    </w:p>
    <w:p>
      <w:pPr>
        <w:pStyle w:val="Heading2"/>
      </w:pPr>
      <w:r>
        <w:t>2.1 Feature groups</w:t>
      </w:r>
    </w:p>
    <w:p>
      <w:pPr>
        <w:pStyle w:val="Caption"/>
        <w:jc w:val="center"/>
      </w:pPr>
      <w:r>
        <w:t>Table 1: Feature groups in NSL-KDD</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1F3864"/>
          </w:tcPr>
          <w:p>
            <w:r/>
            <w:r>
              <w:rPr>
                <w:b/>
                <w:color w:val="FFFFFF"/>
                <w:sz w:val="18"/>
              </w:rPr>
              <w:t>Group</w:t>
            </w:r>
          </w:p>
        </w:tc>
        <w:tc>
          <w:tcPr>
            <w:tcW w:type="dxa" w:w="4680"/>
            <w:shd w:val="clear" w:color="auto" w:fill="1F3864"/>
          </w:tcPr>
          <w:p>
            <w:r/>
            <w:r>
              <w:rPr>
                <w:b/>
                <w:color w:val="FFFFFF"/>
                <w:sz w:val="18"/>
              </w:rPr>
              <w:t>Examples</w:t>
            </w:r>
          </w:p>
        </w:tc>
      </w:tr>
      <w:tr>
        <w:tc>
          <w:tcPr>
            <w:tcW w:type="dxa" w:w="4680"/>
          </w:tcPr>
          <w:p>
            <w:r/>
            <w:r>
              <w:rPr>
                <w:sz w:val="18"/>
              </w:rPr>
              <w:t>Basic</w:t>
            </w:r>
          </w:p>
        </w:tc>
        <w:tc>
          <w:tcPr>
            <w:tcW w:type="dxa" w:w="4680"/>
          </w:tcPr>
          <w:p>
            <w:r/>
            <w:r>
              <w:rPr>
                <w:sz w:val="18"/>
              </w:rPr>
              <w:t>duration, protocol_type, service, flag, src_bytes, dst_bytes</w:t>
            </w:r>
          </w:p>
        </w:tc>
      </w:tr>
      <w:tr>
        <w:tc>
          <w:tcPr>
            <w:tcW w:type="dxa" w:w="4680"/>
          </w:tcPr>
          <w:p>
            <w:r/>
            <w:r>
              <w:rPr>
                <w:sz w:val="18"/>
              </w:rPr>
              <w:t>Content</w:t>
            </w:r>
          </w:p>
        </w:tc>
        <w:tc>
          <w:tcPr>
            <w:tcW w:type="dxa" w:w="4680"/>
          </w:tcPr>
          <w:p>
            <w:r/>
            <w:r>
              <w:rPr>
                <w:sz w:val="18"/>
              </w:rPr>
              <w:t>num_failed_logins, logged_in, root_shell, num_compromised</w:t>
            </w:r>
          </w:p>
        </w:tc>
      </w:tr>
      <w:tr>
        <w:tc>
          <w:tcPr>
            <w:tcW w:type="dxa" w:w="4680"/>
          </w:tcPr>
          <w:p>
            <w:r/>
            <w:r>
              <w:rPr>
                <w:sz w:val="18"/>
              </w:rPr>
              <w:t>Time-based traffic</w:t>
            </w:r>
          </w:p>
        </w:tc>
        <w:tc>
          <w:tcPr>
            <w:tcW w:type="dxa" w:w="4680"/>
          </w:tcPr>
          <w:p>
            <w:r/>
            <w:r>
              <w:rPr>
                <w:sz w:val="18"/>
              </w:rPr>
              <w:t>count, srv_count, serror_rate, rerror_rate, same_srv_rate</w:t>
            </w:r>
          </w:p>
        </w:tc>
      </w:tr>
      <w:tr>
        <w:tc>
          <w:tcPr>
            <w:tcW w:type="dxa" w:w="4680"/>
          </w:tcPr>
          <w:p>
            <w:r/>
            <w:r>
              <w:rPr>
                <w:sz w:val="18"/>
              </w:rPr>
              <w:t>Host-based traffic</w:t>
            </w:r>
          </w:p>
        </w:tc>
        <w:tc>
          <w:tcPr>
            <w:tcW w:type="dxa" w:w="4680"/>
          </w:tcPr>
          <w:p>
            <w:r/>
            <w:r>
              <w:rPr>
                <w:sz w:val="18"/>
              </w:rPr>
              <w:t>dst_host_count, dst_host_srv_count, dst_host_serror_rate</w:t>
            </w:r>
          </w:p>
        </w:tc>
      </w:tr>
    </w:tbl>
    <w:p/>
    <w:p>
      <w:pPr>
        <w:pStyle w:val="Heading2"/>
      </w:pPr>
      <w:r>
        <w:t>2.2 Attack categories</w:t>
      </w:r>
    </w:p>
    <w:p>
      <w:pPr>
        <w:pStyle w:val="Caption"/>
        <w:jc w:val="center"/>
      </w:pPr>
      <w:r>
        <w:t>Table 2: Attack categories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1F3864"/>
          </w:tcPr>
          <w:p>
            <w:r/>
            <w:r>
              <w:rPr>
                <w:b/>
                <w:color w:val="FFFFFF"/>
                <w:sz w:val="18"/>
              </w:rPr>
              <w:t>Category</w:t>
            </w:r>
          </w:p>
        </w:tc>
        <w:tc>
          <w:tcPr>
            <w:tcW w:type="dxa" w:w="4680"/>
            <w:shd w:val="clear" w:color="auto" w:fill="1F3864"/>
          </w:tcPr>
          <w:p>
            <w:r/>
            <w:r>
              <w:rPr>
                <w:b/>
                <w:color w:val="FFFFFF"/>
                <w:sz w:val="18"/>
              </w:rPr>
              <w:t>Meaning</w:t>
            </w:r>
          </w:p>
        </w:tc>
      </w:tr>
      <w:tr>
        <w:tc>
          <w:tcPr>
            <w:tcW w:type="dxa" w:w="4680"/>
          </w:tcPr>
          <w:p>
            <w:r/>
            <w:r>
              <w:rPr>
                <w:sz w:val="18"/>
              </w:rPr>
              <w:t>Normal</w:t>
            </w:r>
          </w:p>
        </w:tc>
        <w:tc>
          <w:tcPr>
            <w:tcW w:type="dxa" w:w="4680"/>
          </w:tcPr>
          <w:p>
            <w:r/>
            <w:r>
              <w:rPr>
                <w:sz w:val="18"/>
              </w:rPr>
              <w:t>Legitimate traffic</w:t>
            </w:r>
          </w:p>
        </w:tc>
      </w:tr>
      <w:tr>
        <w:tc>
          <w:tcPr>
            <w:tcW w:type="dxa" w:w="4680"/>
          </w:tcPr>
          <w:p>
            <w:r/>
            <w:r>
              <w:rPr>
                <w:sz w:val="18"/>
              </w:rPr>
              <w:t>DoS</w:t>
            </w:r>
          </w:p>
        </w:tc>
        <w:tc>
          <w:tcPr>
            <w:tcW w:type="dxa" w:w="4680"/>
          </w:tcPr>
          <w:p>
            <w:r/>
            <w:r>
              <w:rPr>
                <w:sz w:val="18"/>
              </w:rPr>
              <w:t>Denial of Service: flooding a target (e.g. neptune, smurf)</w:t>
            </w:r>
          </w:p>
        </w:tc>
      </w:tr>
      <w:tr>
        <w:tc>
          <w:tcPr>
            <w:tcW w:type="dxa" w:w="4680"/>
          </w:tcPr>
          <w:p>
            <w:r/>
            <w:r>
              <w:rPr>
                <w:sz w:val="18"/>
              </w:rPr>
              <w:t>Probe</w:t>
            </w:r>
          </w:p>
        </w:tc>
        <w:tc>
          <w:tcPr>
            <w:tcW w:type="dxa" w:w="4680"/>
          </w:tcPr>
          <w:p>
            <w:r/>
            <w:r>
              <w:rPr>
                <w:sz w:val="18"/>
              </w:rPr>
              <w:t>Surveillance and scanning (e.g. satan, portsweep)</w:t>
            </w:r>
          </w:p>
        </w:tc>
      </w:tr>
      <w:tr>
        <w:tc>
          <w:tcPr>
            <w:tcW w:type="dxa" w:w="4680"/>
          </w:tcPr>
          <w:p>
            <w:r/>
            <w:r>
              <w:rPr>
                <w:sz w:val="18"/>
              </w:rPr>
              <w:t>R2L</w:t>
            </w:r>
          </w:p>
        </w:tc>
        <w:tc>
          <w:tcPr>
            <w:tcW w:type="dxa" w:w="4680"/>
          </w:tcPr>
          <w:p>
            <w:r/>
            <w:r>
              <w:rPr>
                <w:sz w:val="18"/>
              </w:rPr>
              <w:t>Remote to Local: unauthorised remote access (e.g. guess_passwd)</w:t>
            </w:r>
          </w:p>
        </w:tc>
      </w:tr>
      <w:tr>
        <w:tc>
          <w:tcPr>
            <w:tcW w:type="dxa" w:w="4680"/>
          </w:tcPr>
          <w:p>
            <w:r/>
            <w:r>
              <w:rPr>
                <w:sz w:val="18"/>
              </w:rPr>
              <w:t>U2R</w:t>
            </w:r>
          </w:p>
        </w:tc>
        <w:tc>
          <w:tcPr>
            <w:tcW w:type="dxa" w:w="4680"/>
          </w:tcPr>
          <w:p>
            <w:r/>
            <w:r>
              <w:rPr>
                <w:sz w:val="18"/>
              </w:rPr>
              <w:t>User to Root: privilege escalation (e.g. buffer_overflow)</w:t>
            </w:r>
          </w:p>
        </w:tc>
      </w:tr>
    </w:tbl>
    <w:p/>
    <w:p>
      <w:pPr>
        <w:pStyle w:val="Caption"/>
        <w:jc w:val="center"/>
      </w:pPr>
      <w:r>
        <w:t>Table 3: Class distribution of the training and test sets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F3864"/>
          </w:tcPr>
          <w:p>
            <w:r/>
            <w:r>
              <w:rPr>
                <w:b/>
                <w:color w:val="FFFFFF"/>
                <w:sz w:val="18"/>
              </w:rPr>
              <w:t>Category</w:t>
            </w:r>
          </w:p>
        </w:tc>
        <w:tc>
          <w:tcPr>
            <w:tcW w:type="dxa" w:w="3120"/>
            <w:shd w:val="clear" w:color="auto" w:fill="1F3864"/>
          </w:tcPr>
          <w:p>
            <w:r/>
            <w:r>
              <w:rPr>
                <w:b/>
                <w:color w:val="FFFFFF"/>
                <w:sz w:val="18"/>
              </w:rPr>
              <w:t>Train records</w:t>
            </w:r>
          </w:p>
        </w:tc>
        <w:tc>
          <w:tcPr>
            <w:tcW w:type="dxa" w:w="3120"/>
            <w:shd w:val="clear" w:color="auto" w:fill="1F3864"/>
          </w:tcPr>
          <w:p>
            <w:r/>
            <w:r>
              <w:rPr>
                <w:b/>
                <w:color w:val="FFFFFF"/>
                <w:sz w:val="18"/>
              </w:rPr>
              <w:t>Test records</w:t>
            </w:r>
          </w:p>
        </w:tc>
      </w:tr>
      <w:tr>
        <w:tc>
          <w:tcPr>
            <w:tcW w:type="dxa" w:w="3120"/>
          </w:tcPr>
          <w:p>
            <w:r/>
            <w:r>
              <w:rPr>
                <w:sz w:val="18"/>
              </w:rPr>
              <w:t>Normal</w:t>
            </w:r>
          </w:p>
        </w:tc>
        <w:tc>
          <w:tcPr>
            <w:tcW w:type="dxa" w:w="3120"/>
          </w:tcPr>
          <w:p>
            <w:r/>
            <w:r>
              <w:rPr>
                <w:sz w:val="18"/>
              </w:rPr>
              <w:t>67343</w:t>
            </w:r>
          </w:p>
        </w:tc>
        <w:tc>
          <w:tcPr>
            <w:tcW w:type="dxa" w:w="3120"/>
          </w:tcPr>
          <w:p>
            <w:r/>
            <w:r>
              <w:rPr>
                <w:sz w:val="18"/>
              </w:rPr>
              <w:t>9711</w:t>
            </w:r>
          </w:p>
        </w:tc>
      </w:tr>
      <w:tr>
        <w:tc>
          <w:tcPr>
            <w:tcW w:type="dxa" w:w="3120"/>
          </w:tcPr>
          <w:p>
            <w:r/>
            <w:r>
              <w:rPr>
                <w:sz w:val="18"/>
              </w:rPr>
              <w:t>DoS</w:t>
            </w:r>
          </w:p>
        </w:tc>
        <w:tc>
          <w:tcPr>
            <w:tcW w:type="dxa" w:w="3120"/>
          </w:tcPr>
          <w:p>
            <w:r/>
            <w:r>
              <w:rPr>
                <w:sz w:val="18"/>
              </w:rPr>
              <w:t>45927</w:t>
            </w:r>
          </w:p>
        </w:tc>
        <w:tc>
          <w:tcPr>
            <w:tcW w:type="dxa" w:w="3120"/>
          </w:tcPr>
          <w:p>
            <w:r/>
            <w:r>
              <w:rPr>
                <w:sz w:val="18"/>
              </w:rPr>
              <w:t>7460</w:t>
            </w:r>
          </w:p>
        </w:tc>
      </w:tr>
      <w:tr>
        <w:tc>
          <w:tcPr>
            <w:tcW w:type="dxa" w:w="3120"/>
          </w:tcPr>
          <w:p>
            <w:r/>
            <w:r>
              <w:rPr>
                <w:sz w:val="18"/>
              </w:rPr>
              <w:t>Probe</w:t>
            </w:r>
          </w:p>
        </w:tc>
        <w:tc>
          <w:tcPr>
            <w:tcW w:type="dxa" w:w="3120"/>
          </w:tcPr>
          <w:p>
            <w:r/>
            <w:r>
              <w:rPr>
                <w:sz w:val="18"/>
              </w:rPr>
              <w:t>11656</w:t>
            </w:r>
          </w:p>
        </w:tc>
        <w:tc>
          <w:tcPr>
            <w:tcW w:type="dxa" w:w="3120"/>
          </w:tcPr>
          <w:p>
            <w:r/>
            <w:r>
              <w:rPr>
                <w:sz w:val="18"/>
              </w:rPr>
              <w:t>2421</w:t>
            </w:r>
          </w:p>
        </w:tc>
      </w:tr>
      <w:tr>
        <w:tc>
          <w:tcPr>
            <w:tcW w:type="dxa" w:w="3120"/>
          </w:tcPr>
          <w:p>
            <w:r/>
            <w:r>
              <w:rPr>
                <w:sz w:val="18"/>
              </w:rPr>
              <w:t>R2L</w:t>
            </w:r>
          </w:p>
        </w:tc>
        <w:tc>
          <w:tcPr>
            <w:tcW w:type="dxa" w:w="3120"/>
          </w:tcPr>
          <w:p>
            <w:r/>
            <w:r>
              <w:rPr>
                <w:sz w:val="18"/>
              </w:rPr>
              <w:t>995</w:t>
            </w:r>
          </w:p>
        </w:tc>
        <w:tc>
          <w:tcPr>
            <w:tcW w:type="dxa" w:w="3120"/>
          </w:tcPr>
          <w:p>
            <w:r/>
            <w:r>
              <w:rPr>
                <w:sz w:val="18"/>
              </w:rPr>
              <w:t>2885</w:t>
            </w:r>
          </w:p>
        </w:tc>
      </w:tr>
      <w:tr>
        <w:tc>
          <w:tcPr>
            <w:tcW w:type="dxa" w:w="3120"/>
          </w:tcPr>
          <w:p>
            <w:r/>
            <w:r>
              <w:rPr>
                <w:sz w:val="18"/>
              </w:rPr>
              <w:t>U2R</w:t>
            </w:r>
          </w:p>
        </w:tc>
        <w:tc>
          <w:tcPr>
            <w:tcW w:type="dxa" w:w="3120"/>
          </w:tcPr>
          <w:p>
            <w:r/>
            <w:r>
              <w:rPr>
                <w:sz w:val="18"/>
              </w:rPr>
              <w:t>52</w:t>
            </w:r>
          </w:p>
        </w:tc>
        <w:tc>
          <w:tcPr>
            <w:tcW w:type="dxa" w:w="3120"/>
          </w:tcPr>
          <w:p>
            <w:r/>
            <w:r>
              <w:rPr>
                <w:sz w:val="18"/>
              </w:rPr>
              <w:t>67</w:t>
            </w:r>
          </w:p>
        </w:tc>
      </w:tr>
    </w:tbl>
    <w:p/>
    <w:p>
      <w:pPr>
        <w:spacing w:after="120"/>
        <w:jc w:val="both"/>
      </w:pPr>
      <w:r>
        <w:rPr>
          <w:b w:val="0"/>
          <w:i w:val="0"/>
        </w:rPr>
        <w:t>R2L and U2R are very rare compared with DoS and Probe, so accuracy alone would hide poor performance on them.</w:t>
      </w:r>
    </w:p>
    <w:p>
      <w:pPr>
        <w:jc w:val="center"/>
      </w:pPr>
      <w:r>
        <w:drawing>
          <wp:inline xmlns:a="http://schemas.openxmlformats.org/drawingml/2006/main" xmlns:pic="http://schemas.openxmlformats.org/drawingml/2006/picture">
            <wp:extent cx="5486400" cy="1774677"/>
            <wp:docPr id="1" name="Picture 1"/>
            <wp:cNvGraphicFramePr>
              <a:graphicFrameLocks noChangeAspect="1"/>
            </wp:cNvGraphicFramePr>
            <a:graphic>
              <a:graphicData uri="http://schemas.openxmlformats.org/drawingml/2006/picture">
                <pic:pic>
                  <pic:nvPicPr>
                    <pic:cNvPr id="0" name="fig1_class_distribution.png"/>
                    <pic:cNvPicPr/>
                  </pic:nvPicPr>
                  <pic:blipFill>
                    <a:blip r:embed="rId10"/>
                    <a:stretch>
                      <a:fillRect/>
                    </a:stretch>
                  </pic:blipFill>
                  <pic:spPr>
                    <a:xfrm>
                      <a:off x="0" y="0"/>
                      <a:ext cx="5486400" cy="1774677"/>
                    </a:xfrm>
                    <a:prstGeom prst="rect"/>
                  </pic:spPr>
                </pic:pic>
              </a:graphicData>
            </a:graphic>
          </wp:inline>
        </w:drawing>
      </w:r>
    </w:p>
    <w:p>
      <w:pPr>
        <w:pStyle w:val="Caption"/>
        <w:jc w:val="center"/>
      </w:pPr>
      <w:r>
        <w:t>Figure 1: Attack category distribution</w:t>
      </w:r>
    </w:p>
    <w:p>
      <w:pPr>
        <w:jc w:val="center"/>
      </w:pPr>
      <w:r>
        <w:drawing>
          <wp:inline xmlns:a="http://schemas.openxmlformats.org/drawingml/2006/main" xmlns:pic="http://schemas.openxmlformats.org/drawingml/2006/picture">
            <wp:extent cx="4572000" cy="2865069"/>
            <wp:docPr id="2" name="Picture 2"/>
            <wp:cNvGraphicFramePr>
              <a:graphicFrameLocks noChangeAspect="1"/>
            </wp:cNvGraphicFramePr>
            <a:graphic>
              <a:graphicData uri="http://schemas.openxmlformats.org/drawingml/2006/picture">
                <pic:pic>
                  <pic:nvPicPr>
                    <pic:cNvPr id="0" name="fig3_correlation.png"/>
                    <pic:cNvPicPr/>
                  </pic:nvPicPr>
                  <pic:blipFill>
                    <a:blip r:embed="rId11"/>
                    <a:stretch>
                      <a:fillRect/>
                    </a:stretch>
                  </pic:blipFill>
                  <pic:spPr>
                    <a:xfrm>
                      <a:off x="0" y="0"/>
                      <a:ext cx="4572000" cy="2865069"/>
                    </a:xfrm>
                    <a:prstGeom prst="rect"/>
                  </pic:spPr>
                </pic:pic>
              </a:graphicData>
            </a:graphic>
          </wp:inline>
        </w:drawing>
      </w:r>
    </w:p>
    <w:p>
      <w:pPr>
        <w:pStyle w:val="Caption"/>
        <w:jc w:val="center"/>
      </w:pPr>
      <w:r>
        <w:t>Figure 2: Correlation of key traffic features</w:t>
      </w:r>
    </w:p>
    <w:p>
      <w:pPr>
        <w:pStyle w:val="Heading1"/>
      </w:pPr>
      <w:r>
        <w:t>3. Methodology</w:t>
      </w:r>
    </w:p>
    <w:p>
      <w:pPr>
        <w:pStyle w:val="Heading2"/>
      </w:pPr>
      <w:r>
        <w:t>3.1 Technology stack</w:t>
      </w:r>
    </w:p>
    <w:p>
      <w:pPr>
        <w:pStyle w:val="Caption"/>
        <w:jc w:val="center"/>
      </w:pPr>
      <w:r>
        <w:t>Table 4: Tools used</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1F3864"/>
          </w:tcPr>
          <w:p>
            <w:r/>
            <w:r>
              <w:rPr>
                <w:b/>
                <w:color w:val="FFFFFF"/>
                <w:sz w:val="18"/>
              </w:rPr>
              <w:t>Purpose</w:t>
            </w:r>
          </w:p>
        </w:tc>
        <w:tc>
          <w:tcPr>
            <w:tcW w:type="dxa" w:w="4680"/>
            <w:shd w:val="clear" w:color="auto" w:fill="1F3864"/>
          </w:tcPr>
          <w:p>
            <w:r/>
            <w:r>
              <w:rPr>
                <w:b/>
                <w:color w:val="FFFFFF"/>
                <w:sz w:val="18"/>
              </w:rPr>
              <w:t>Tool</w:t>
            </w:r>
          </w:p>
        </w:tc>
      </w:tr>
      <w:tr>
        <w:tc>
          <w:tcPr>
            <w:tcW w:type="dxa" w:w="4680"/>
          </w:tcPr>
          <w:p>
            <w:r/>
            <w:r>
              <w:rPr>
                <w:sz w:val="18"/>
              </w:rPr>
              <w:t>Language</w:t>
            </w:r>
          </w:p>
        </w:tc>
        <w:tc>
          <w:tcPr>
            <w:tcW w:type="dxa" w:w="4680"/>
          </w:tcPr>
          <w:p>
            <w:r/>
            <w:r>
              <w:rPr>
                <w:sz w:val="18"/>
              </w:rPr>
              <w:t>Python 3</w:t>
            </w:r>
          </w:p>
        </w:tc>
      </w:tr>
      <w:tr>
        <w:tc>
          <w:tcPr>
            <w:tcW w:type="dxa" w:w="4680"/>
          </w:tcPr>
          <w:p>
            <w:r/>
            <w:r>
              <w:rPr>
                <w:sz w:val="18"/>
              </w:rPr>
              <w:t>Data handling</w:t>
            </w:r>
          </w:p>
        </w:tc>
        <w:tc>
          <w:tcPr>
            <w:tcW w:type="dxa" w:w="4680"/>
          </w:tcPr>
          <w:p>
            <w:r/>
            <w:r>
              <w:rPr>
                <w:sz w:val="18"/>
              </w:rPr>
              <w:t>pandas, NumPy</w:t>
            </w:r>
          </w:p>
        </w:tc>
      </w:tr>
      <w:tr>
        <w:tc>
          <w:tcPr>
            <w:tcW w:type="dxa" w:w="4680"/>
          </w:tcPr>
          <w:p>
            <w:r/>
            <w:r>
              <w:rPr>
                <w:sz w:val="18"/>
              </w:rPr>
              <w:t>Machine learning</w:t>
            </w:r>
          </w:p>
        </w:tc>
        <w:tc>
          <w:tcPr>
            <w:tcW w:type="dxa" w:w="4680"/>
          </w:tcPr>
          <w:p>
            <w:r/>
            <w:r>
              <w:rPr>
                <w:sz w:val="18"/>
              </w:rPr>
              <w:t>scikit-learn</w:t>
            </w:r>
          </w:p>
        </w:tc>
      </w:tr>
      <w:tr>
        <w:tc>
          <w:tcPr>
            <w:tcW w:type="dxa" w:w="4680"/>
          </w:tcPr>
          <w:p>
            <w:r/>
            <w:r>
              <w:rPr>
                <w:sz w:val="18"/>
              </w:rPr>
              <w:t>Gradient boosting</w:t>
            </w:r>
          </w:p>
        </w:tc>
        <w:tc>
          <w:tcPr>
            <w:tcW w:type="dxa" w:w="4680"/>
          </w:tcPr>
          <w:p>
            <w:r/>
            <w:r>
              <w:rPr>
                <w:sz w:val="18"/>
              </w:rPr>
              <w:t>XGBoost</w:t>
            </w:r>
          </w:p>
        </w:tc>
      </w:tr>
      <w:tr>
        <w:tc>
          <w:tcPr>
            <w:tcW w:type="dxa" w:w="4680"/>
          </w:tcPr>
          <w:p>
            <w:r/>
            <w:r>
              <w:rPr>
                <w:sz w:val="18"/>
              </w:rPr>
              <w:t>Explainability</w:t>
            </w:r>
          </w:p>
        </w:tc>
        <w:tc>
          <w:tcPr>
            <w:tcW w:type="dxa" w:w="4680"/>
          </w:tcPr>
          <w:p>
            <w:r/>
            <w:r>
              <w:rPr>
                <w:sz w:val="18"/>
              </w:rPr>
              <w:t>SHAP</w:t>
            </w:r>
          </w:p>
        </w:tc>
      </w:tr>
      <w:tr>
        <w:tc>
          <w:tcPr>
            <w:tcW w:type="dxa" w:w="4680"/>
          </w:tcPr>
          <w:p>
            <w:r/>
            <w:r>
              <w:rPr>
                <w:sz w:val="18"/>
              </w:rPr>
              <w:t>Visualisation</w:t>
            </w:r>
          </w:p>
        </w:tc>
        <w:tc>
          <w:tcPr>
            <w:tcW w:type="dxa" w:w="4680"/>
          </w:tcPr>
          <w:p>
            <w:r/>
            <w:r>
              <w:rPr>
                <w:sz w:val="18"/>
              </w:rPr>
              <w:t>Matplotlib, Seaborn, Altair</w:t>
            </w:r>
          </w:p>
        </w:tc>
      </w:tr>
      <w:tr>
        <w:tc>
          <w:tcPr>
            <w:tcW w:type="dxa" w:w="4680"/>
          </w:tcPr>
          <w:p>
            <w:r/>
            <w:r>
              <w:rPr>
                <w:sz w:val="18"/>
              </w:rPr>
              <w:t>Dashboard</w:t>
            </w:r>
          </w:p>
        </w:tc>
        <w:tc>
          <w:tcPr>
            <w:tcW w:type="dxa" w:w="4680"/>
          </w:tcPr>
          <w:p>
            <w:r/>
            <w:r>
              <w:rPr>
                <w:sz w:val="18"/>
              </w:rPr>
              <w:t>Streamlit</w:t>
            </w:r>
          </w:p>
        </w:tc>
      </w:tr>
      <w:tr>
        <w:tc>
          <w:tcPr>
            <w:tcW w:type="dxa" w:w="4680"/>
          </w:tcPr>
          <w:p>
            <w:r/>
            <w:r>
              <w:rPr>
                <w:sz w:val="18"/>
              </w:rPr>
              <w:t>Environment</w:t>
            </w:r>
          </w:p>
        </w:tc>
        <w:tc>
          <w:tcPr>
            <w:tcW w:type="dxa" w:w="4680"/>
          </w:tcPr>
          <w:p>
            <w:r/>
            <w:r>
              <w:rPr>
                <w:sz w:val="18"/>
              </w:rPr>
              <w:t>Google Colab, GitHub</w:t>
            </w:r>
          </w:p>
        </w:tc>
      </w:tr>
    </w:tbl>
    <w:p/>
    <w:p>
      <w:pPr>
        <w:pStyle w:val="Heading2"/>
      </w:pPr>
      <w:r>
        <w:t>3.2 Data preprocessing</w:t>
      </w:r>
    </w:p>
    <w:p>
      <w:pPr>
        <w:pStyle w:val="ListBullet"/>
      </w:pPr>
      <w:r>
        <w:t>Labels: the 38 attack names were mapped to 5 categories, and a binary label (Normal or Attack) was created.</w:t>
      </w:r>
    </w:p>
    <w:p>
      <w:pPr>
        <w:pStyle w:val="ListBullet"/>
      </w:pPr>
      <w:r>
        <w:t>Numeric features were standardised with StandardScaler.</w:t>
      </w:r>
    </w:p>
    <w:p>
      <w:pPr>
        <w:pStyle w:val="ListBullet"/>
      </w:pPr>
      <w:r>
        <w:t>protocol_type, service and flag were one-hot encoded with unknown categories ignored, because the test set contains services absent from training.</w:t>
      </w:r>
    </w:p>
    <w:p>
      <w:pPr>
        <w:pStyle w:val="ListBullet"/>
      </w:pPr>
      <w:r>
        <w:t>The difficulty column was dropped because it is a benchmark annotation, not a network feature.</w:t>
      </w:r>
    </w:p>
    <w:p>
      <w:pPr>
        <w:pStyle w:val="ListBullet"/>
      </w:pPr>
      <w:r>
        <w:t>All preprocessing sits inside a scikit-learn Pipeline, so it is re-fitted on the training part of every cross-validation fold. This prevents data leakage.</w:t>
      </w:r>
    </w:p>
    <w:p>
      <w:pPr>
        <w:pStyle w:val="Heading2"/>
      </w:pPr>
      <w:r>
        <w:t>3.3 Models and training</w:t>
      </w:r>
    </w:p>
    <w:p>
      <w:pPr>
        <w:spacing w:after="120"/>
        <w:jc w:val="both"/>
      </w:pPr>
      <w:r>
        <w:rPr>
          <w:b w:val="0"/>
          <w:i w:val="0"/>
        </w:rPr>
        <w:t>Four classifiers were compared: Logistic Regression, Decision Tree, Random Forest and XGBoost. Class imbalance was handled with balanced class weights (scale_pos_weight for XGBoost). Models were compared with stratified cross-validation on the training set using accuracy, precision, recall, F1 and ROC-AUC.</w:t>
      </w:r>
    </w:p>
    <w:p>
      <w:pPr>
        <w:pStyle w:val="Heading2"/>
      </w:pPr>
      <w:r>
        <w:t>3.4 Hyperparameter tuning</w:t>
      </w:r>
    </w:p>
    <w:p>
      <w:pPr>
        <w:spacing w:after="120"/>
        <w:jc w:val="both"/>
      </w:pPr>
      <w:r>
        <w:rPr>
          <w:b w:val="0"/>
          <w:i w:val="0"/>
        </w:rPr>
        <w:t>Random Forest and XGBoost were tuned with RandomizedSearchCV optimising F1.</w:t>
      </w:r>
    </w:p>
    <w:p>
      <w:pPr>
        <w:pStyle w:val="ListBullet"/>
      </w:pPr>
      <w:r>
        <w:t>Best Random Forest parameters: {'clf__n_estimators': 100, 'clf__min_samples_leaf': 2, 'clf__max_depth': 20}</w:t>
      </w:r>
    </w:p>
    <w:p>
      <w:pPr>
        <w:pStyle w:val="ListBullet"/>
      </w:pPr>
      <w:r>
        <w:t>Best XGBoost parameters: {'clf__n_estimators': 200, 'clf__max_depth': 9, 'clf__learning_rate': 0.05}</w:t>
      </w:r>
    </w:p>
    <w:p>
      <w:pPr>
        <w:pStyle w:val="Heading2"/>
      </w:pPr>
      <w:r>
        <w:t>3.5 Evaluation strategy</w:t>
      </w:r>
    </w:p>
    <w:p>
      <w:pPr>
        <w:spacing w:after="120"/>
        <w:jc w:val="both"/>
      </w:pPr>
      <w:r>
        <w:rPr>
          <w:b w:val="0"/>
          <w:i w:val="0"/>
        </w:rPr>
        <w:t>The final models were evaluated on the official KDDTest+ file. In intrusion detection, recall matters more than raw accuracy: a false positive costs an analyst some time, but a false negative is an intruder who went undetected. A threshold analysis measured how detection and false alarms change as the decision threshold is lowered.</w:t>
      </w:r>
    </w:p>
    <w:p>
      <w:pPr>
        <w:pStyle w:val="Heading2"/>
      </w:pPr>
      <w:r>
        <w:t>3.6 Explainability and alerting</w:t>
      </w:r>
    </w:p>
    <w:p>
      <w:pPr>
        <w:spacing w:after="120"/>
        <w:jc w:val="both"/>
      </w:pPr>
      <w:r>
        <w:rPr>
          <w:b w:val="0"/>
          <w:i w:val="0"/>
        </w:rPr>
        <w:t>SHAP (SHapley Additive exPlanations) was used to attribute each prediction to the input features, both globally (summary plot) and locally (waterfall plot for a single alert). Prediction probabilities are converted into severity levels with recommended actions:</w:t>
      </w:r>
    </w:p>
    <w:p>
      <w:pPr>
        <w:pStyle w:val="Caption"/>
        <w:jc w:val="center"/>
      </w:pPr>
      <w:r>
        <w:t>Table 5: Severity levels and response actions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F3864"/>
          </w:tcPr>
          <w:p>
            <w:r/>
            <w:r>
              <w:rPr>
                <w:b/>
                <w:color w:val="FFFFFF"/>
                <w:sz w:val="18"/>
              </w:rPr>
              <w:t>Severity</w:t>
            </w:r>
          </w:p>
        </w:tc>
        <w:tc>
          <w:tcPr>
            <w:tcW w:type="dxa" w:w="3120"/>
            <w:shd w:val="clear" w:color="auto" w:fill="1F3864"/>
          </w:tcPr>
          <w:p>
            <w:r/>
            <w:r>
              <w:rPr>
                <w:b/>
                <w:color w:val="FFFFFF"/>
                <w:sz w:val="18"/>
              </w:rPr>
              <w:t>Attack probability</w:t>
            </w:r>
          </w:p>
        </w:tc>
        <w:tc>
          <w:tcPr>
            <w:tcW w:type="dxa" w:w="3120"/>
            <w:shd w:val="clear" w:color="auto" w:fill="1F3864"/>
          </w:tcPr>
          <w:p>
            <w:r/>
            <w:r>
              <w:rPr>
                <w:b/>
                <w:color w:val="FFFFFF"/>
                <w:sz w:val="18"/>
              </w:rPr>
              <w:t>Recommended action</w:t>
            </w:r>
          </w:p>
        </w:tc>
      </w:tr>
      <w:tr>
        <w:tc>
          <w:tcPr>
            <w:tcW w:type="dxa" w:w="3120"/>
          </w:tcPr>
          <w:p>
            <w:r/>
            <w:r>
              <w:rPr>
                <w:sz w:val="18"/>
              </w:rPr>
              <w:t>Low</w:t>
            </w:r>
          </w:p>
        </w:tc>
        <w:tc>
          <w:tcPr>
            <w:tcW w:type="dxa" w:w="3120"/>
          </w:tcPr>
          <w:p>
            <w:r/>
            <w:r>
              <w:rPr>
                <w:sz w:val="18"/>
              </w:rPr>
              <w:t>below threshold</w:t>
            </w:r>
          </w:p>
        </w:tc>
        <w:tc>
          <w:tcPr>
            <w:tcW w:type="dxa" w:w="3120"/>
          </w:tcPr>
          <w:p>
            <w:r/>
            <w:r>
              <w:rPr>
                <w:sz w:val="18"/>
              </w:rPr>
              <w:t>Log only</w:t>
            </w:r>
          </w:p>
        </w:tc>
      </w:tr>
      <w:tr>
        <w:tc>
          <w:tcPr>
            <w:tcW w:type="dxa" w:w="3120"/>
          </w:tcPr>
          <w:p>
            <w:r/>
            <w:r>
              <w:rPr>
                <w:sz w:val="18"/>
              </w:rPr>
              <w:t>Medium</w:t>
            </w:r>
          </w:p>
        </w:tc>
        <w:tc>
          <w:tcPr>
            <w:tcW w:type="dxa" w:w="3120"/>
          </w:tcPr>
          <w:p>
            <w:r/>
            <w:r>
              <w:rPr>
                <w:sz w:val="18"/>
              </w:rPr>
              <w:t>up to 70%</w:t>
            </w:r>
          </w:p>
        </w:tc>
        <w:tc>
          <w:tcPr>
            <w:tcW w:type="dxa" w:w="3120"/>
          </w:tcPr>
          <w:p>
            <w:r/>
            <w:r>
              <w:rPr>
                <w:sz w:val="18"/>
              </w:rPr>
              <w:t>Monitor and flag in SIEM</w:t>
            </w:r>
          </w:p>
        </w:tc>
      </w:tr>
      <w:tr>
        <w:tc>
          <w:tcPr>
            <w:tcW w:type="dxa" w:w="3120"/>
          </w:tcPr>
          <w:p>
            <w:r/>
            <w:r>
              <w:rPr>
                <w:sz w:val="18"/>
              </w:rPr>
              <w:t>High</w:t>
            </w:r>
          </w:p>
        </w:tc>
        <w:tc>
          <w:tcPr>
            <w:tcW w:type="dxa" w:w="3120"/>
          </w:tcPr>
          <w:p>
            <w:r/>
            <w:r>
              <w:rPr>
                <w:sz w:val="18"/>
              </w:rPr>
              <w:t>70% to 90%</w:t>
            </w:r>
          </w:p>
        </w:tc>
        <w:tc>
          <w:tcPr>
            <w:tcW w:type="dxa" w:w="3120"/>
          </w:tcPr>
          <w:p>
            <w:r/>
            <w:r>
              <w:rPr>
                <w:sz w:val="18"/>
              </w:rPr>
              <w:t>Alert SOC, rate-limit source</w:t>
            </w:r>
          </w:p>
        </w:tc>
      </w:tr>
      <w:tr>
        <w:tc>
          <w:tcPr>
            <w:tcW w:type="dxa" w:w="3120"/>
          </w:tcPr>
          <w:p>
            <w:r/>
            <w:r>
              <w:rPr>
                <w:sz w:val="18"/>
              </w:rPr>
              <w:t>Critical</w:t>
            </w:r>
          </w:p>
        </w:tc>
        <w:tc>
          <w:tcPr>
            <w:tcW w:type="dxa" w:w="3120"/>
          </w:tcPr>
          <w:p>
            <w:r/>
            <w:r>
              <w:rPr>
                <w:sz w:val="18"/>
              </w:rPr>
              <w:t>above 90%</w:t>
            </w:r>
          </w:p>
        </w:tc>
        <w:tc>
          <w:tcPr>
            <w:tcW w:type="dxa" w:w="3120"/>
          </w:tcPr>
          <w:p>
            <w:r/>
            <w:r>
              <w:rPr>
                <w:sz w:val="18"/>
              </w:rPr>
              <w:t>Block IP, isolate host</w:t>
            </w:r>
          </w:p>
        </w:tc>
      </w:tr>
    </w:tbl>
    <w:p/>
    <w:p>
      <w:pPr>
        <w:pStyle w:val="Heading1"/>
      </w:pPr>
      <w:r>
        <w:t>4. Results and Discussion</w:t>
      </w:r>
    </w:p>
    <w:p>
      <w:pPr>
        <w:pStyle w:val="Heading2"/>
      </w:pPr>
      <w:r>
        <w:t>4.1 Cross-validation</w:t>
      </w:r>
    </w:p>
    <w:p>
      <w:pPr>
        <w:pStyle w:val="Caption"/>
        <w:jc w:val="center"/>
      </w:pPr>
      <w:r>
        <w:t>Table 6: Stratified cross-validation results on the training set</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F3864"/>
          </w:tcPr>
          <w:p>
            <w:r/>
            <w:r>
              <w:rPr>
                <w:b/>
                <w:color w:val="FFFFFF"/>
                <w:sz w:val="18"/>
              </w:rPr>
              <w:t>Model</w:t>
            </w:r>
          </w:p>
        </w:tc>
        <w:tc>
          <w:tcPr>
            <w:tcW w:type="dxa" w:w="1560"/>
            <w:shd w:val="clear" w:color="auto" w:fill="1F3864"/>
          </w:tcPr>
          <w:p>
            <w:r/>
            <w:r>
              <w:rPr>
                <w:b/>
                <w:color w:val="FFFFFF"/>
                <w:sz w:val="18"/>
              </w:rPr>
              <w:t>CV Accuracy</w:t>
            </w:r>
          </w:p>
        </w:tc>
        <w:tc>
          <w:tcPr>
            <w:tcW w:type="dxa" w:w="1560"/>
            <w:shd w:val="clear" w:color="auto" w:fill="1F3864"/>
          </w:tcPr>
          <w:p>
            <w:r/>
            <w:r>
              <w:rPr>
                <w:b/>
                <w:color w:val="FFFFFF"/>
                <w:sz w:val="18"/>
              </w:rPr>
              <w:t>CV Precision</w:t>
            </w:r>
          </w:p>
        </w:tc>
        <w:tc>
          <w:tcPr>
            <w:tcW w:type="dxa" w:w="1560"/>
            <w:shd w:val="clear" w:color="auto" w:fill="1F3864"/>
          </w:tcPr>
          <w:p>
            <w:r/>
            <w:r>
              <w:rPr>
                <w:b/>
                <w:color w:val="FFFFFF"/>
                <w:sz w:val="18"/>
              </w:rPr>
              <w:t>CV Recall</w:t>
            </w:r>
          </w:p>
        </w:tc>
        <w:tc>
          <w:tcPr>
            <w:tcW w:type="dxa" w:w="1560"/>
            <w:shd w:val="clear" w:color="auto" w:fill="1F3864"/>
          </w:tcPr>
          <w:p>
            <w:r/>
            <w:r>
              <w:rPr>
                <w:b/>
                <w:color w:val="FFFFFF"/>
                <w:sz w:val="18"/>
              </w:rPr>
              <w:t>CV F1</w:t>
            </w:r>
          </w:p>
        </w:tc>
        <w:tc>
          <w:tcPr>
            <w:tcW w:type="dxa" w:w="1560"/>
            <w:shd w:val="clear" w:color="auto" w:fill="1F3864"/>
          </w:tcPr>
          <w:p>
            <w:r/>
            <w:r>
              <w:rPr>
                <w:b/>
                <w:color w:val="FFFFFF"/>
                <w:sz w:val="18"/>
              </w:rPr>
              <w:t>CV ROC-AUC</w:t>
            </w:r>
          </w:p>
        </w:tc>
      </w:tr>
      <w:tr>
        <w:tc>
          <w:tcPr>
            <w:tcW w:type="dxa" w:w="1560"/>
          </w:tcPr>
          <w:p>
            <w:r/>
            <w:r>
              <w:rPr>
                <w:sz w:val="18"/>
              </w:rPr>
              <w:t>Logistic Regression</w:t>
            </w:r>
          </w:p>
        </w:tc>
        <w:tc>
          <w:tcPr>
            <w:tcW w:type="dxa" w:w="1560"/>
          </w:tcPr>
          <w:p>
            <w:r/>
            <w:r>
              <w:rPr>
                <w:sz w:val="18"/>
              </w:rPr>
              <w:t>0.9739</w:t>
            </w:r>
          </w:p>
        </w:tc>
        <w:tc>
          <w:tcPr>
            <w:tcW w:type="dxa" w:w="1560"/>
          </w:tcPr>
          <w:p>
            <w:r/>
            <w:r>
              <w:rPr>
                <w:sz w:val="18"/>
              </w:rPr>
              <w:t>0.9764</w:t>
            </w:r>
          </w:p>
        </w:tc>
        <w:tc>
          <w:tcPr>
            <w:tcW w:type="dxa" w:w="1560"/>
          </w:tcPr>
          <w:p>
            <w:r/>
            <w:r>
              <w:rPr>
                <w:sz w:val="18"/>
              </w:rPr>
              <w:t>0.9673</w:t>
            </w:r>
          </w:p>
        </w:tc>
        <w:tc>
          <w:tcPr>
            <w:tcW w:type="dxa" w:w="1560"/>
          </w:tcPr>
          <w:p>
            <w:r/>
            <w:r>
              <w:rPr>
                <w:sz w:val="18"/>
              </w:rPr>
              <w:t>0.9718</w:t>
            </w:r>
          </w:p>
        </w:tc>
        <w:tc>
          <w:tcPr>
            <w:tcW w:type="dxa" w:w="1560"/>
          </w:tcPr>
          <w:p>
            <w:r/>
            <w:r>
              <w:rPr>
                <w:sz w:val="18"/>
              </w:rPr>
              <w:t>0.9964</w:t>
            </w:r>
          </w:p>
        </w:tc>
      </w:tr>
      <w:tr>
        <w:tc>
          <w:tcPr>
            <w:tcW w:type="dxa" w:w="1560"/>
          </w:tcPr>
          <w:p>
            <w:r/>
            <w:r>
              <w:rPr>
                <w:sz w:val="18"/>
              </w:rPr>
              <w:t>Decision Tree</w:t>
            </w:r>
          </w:p>
        </w:tc>
        <w:tc>
          <w:tcPr>
            <w:tcW w:type="dxa" w:w="1560"/>
          </w:tcPr>
          <w:p>
            <w:r/>
            <w:r>
              <w:rPr>
                <w:sz w:val="18"/>
              </w:rPr>
              <w:t>0.9985</w:t>
            </w:r>
          </w:p>
        </w:tc>
        <w:tc>
          <w:tcPr>
            <w:tcW w:type="dxa" w:w="1560"/>
          </w:tcPr>
          <w:p>
            <w:r/>
            <w:r>
              <w:rPr>
                <w:sz w:val="18"/>
              </w:rPr>
              <w:t>0.9983</w:t>
            </w:r>
          </w:p>
        </w:tc>
        <w:tc>
          <w:tcPr>
            <w:tcW w:type="dxa" w:w="1560"/>
          </w:tcPr>
          <w:p>
            <w:r/>
            <w:r>
              <w:rPr>
                <w:sz w:val="18"/>
              </w:rPr>
              <w:t>0.9984</w:t>
            </w:r>
          </w:p>
        </w:tc>
        <w:tc>
          <w:tcPr>
            <w:tcW w:type="dxa" w:w="1560"/>
          </w:tcPr>
          <w:p>
            <w:r/>
            <w:r>
              <w:rPr>
                <w:sz w:val="18"/>
              </w:rPr>
              <w:t>0.9983</w:t>
            </w:r>
          </w:p>
        </w:tc>
        <w:tc>
          <w:tcPr>
            <w:tcW w:type="dxa" w:w="1560"/>
          </w:tcPr>
          <w:p>
            <w:r/>
            <w:r>
              <w:rPr>
                <w:sz w:val="18"/>
              </w:rPr>
              <w:t>0.9985</w:t>
            </w:r>
          </w:p>
        </w:tc>
      </w:tr>
      <w:tr>
        <w:tc>
          <w:tcPr>
            <w:tcW w:type="dxa" w:w="1560"/>
          </w:tcPr>
          <w:p>
            <w:r/>
            <w:r>
              <w:rPr>
                <w:sz w:val="18"/>
              </w:rPr>
              <w:t>Random Forest</w:t>
            </w:r>
          </w:p>
        </w:tc>
        <w:tc>
          <w:tcPr>
            <w:tcW w:type="dxa" w:w="1560"/>
          </w:tcPr>
          <w:p>
            <w:r/>
            <w:r>
              <w:rPr>
                <w:sz w:val="18"/>
              </w:rPr>
              <w:t>0.9988</w:t>
            </w:r>
          </w:p>
        </w:tc>
        <w:tc>
          <w:tcPr>
            <w:tcW w:type="dxa" w:w="1560"/>
          </w:tcPr>
          <w:p>
            <w:r/>
            <w:r>
              <w:rPr>
                <w:sz w:val="18"/>
              </w:rPr>
              <w:t>0.9995</w:t>
            </w:r>
          </w:p>
        </w:tc>
        <w:tc>
          <w:tcPr>
            <w:tcW w:type="dxa" w:w="1560"/>
          </w:tcPr>
          <w:p>
            <w:r/>
            <w:r>
              <w:rPr>
                <w:sz w:val="18"/>
              </w:rPr>
              <w:t>0.9979</w:t>
            </w:r>
          </w:p>
        </w:tc>
        <w:tc>
          <w:tcPr>
            <w:tcW w:type="dxa" w:w="1560"/>
          </w:tcPr>
          <w:p>
            <w:r/>
            <w:r>
              <w:rPr>
                <w:sz w:val="18"/>
              </w:rPr>
              <w:t>0.9987</w:t>
            </w:r>
          </w:p>
        </w:tc>
        <w:tc>
          <w:tcPr>
            <w:tcW w:type="dxa" w:w="1560"/>
          </w:tcPr>
          <w:p>
            <w:r/>
            <w:r>
              <w:rPr>
                <w:sz w:val="18"/>
              </w:rPr>
              <w:t>1.0000</w:t>
            </w:r>
          </w:p>
        </w:tc>
      </w:tr>
      <w:tr>
        <w:tc>
          <w:tcPr>
            <w:tcW w:type="dxa" w:w="1560"/>
          </w:tcPr>
          <w:p>
            <w:r/>
            <w:r>
              <w:rPr>
                <w:sz w:val="18"/>
              </w:rPr>
              <w:t>XGBoost</w:t>
            </w:r>
          </w:p>
        </w:tc>
        <w:tc>
          <w:tcPr>
            <w:tcW w:type="dxa" w:w="1560"/>
          </w:tcPr>
          <w:p>
            <w:r/>
            <w:r>
              <w:rPr>
                <w:sz w:val="18"/>
              </w:rPr>
              <w:t>0.9991</w:t>
            </w:r>
          </w:p>
        </w:tc>
        <w:tc>
          <w:tcPr>
            <w:tcW w:type="dxa" w:w="1560"/>
          </w:tcPr>
          <w:p>
            <w:r/>
            <w:r>
              <w:rPr>
                <w:sz w:val="18"/>
              </w:rPr>
              <w:t>0.9993</w:t>
            </w:r>
          </w:p>
        </w:tc>
        <w:tc>
          <w:tcPr>
            <w:tcW w:type="dxa" w:w="1560"/>
          </w:tcPr>
          <w:p>
            <w:r/>
            <w:r>
              <w:rPr>
                <w:sz w:val="18"/>
              </w:rPr>
              <w:t>0.9988</w:t>
            </w:r>
          </w:p>
        </w:tc>
        <w:tc>
          <w:tcPr>
            <w:tcW w:type="dxa" w:w="1560"/>
          </w:tcPr>
          <w:p>
            <w:r/>
            <w:r>
              <w:rPr>
                <w:sz w:val="18"/>
              </w:rPr>
              <w:t>0.9990</w:t>
            </w:r>
          </w:p>
        </w:tc>
        <w:tc>
          <w:tcPr>
            <w:tcW w:type="dxa" w:w="1560"/>
          </w:tcPr>
          <w:p>
            <w:r/>
            <w:r>
              <w:rPr>
                <w:sz w:val="18"/>
              </w:rPr>
              <w:t>1.0000</w:t>
            </w:r>
          </w:p>
        </w:tc>
      </w:tr>
    </w:tbl>
    <w:p/>
    <w:p>
      <w:pPr>
        <w:spacing w:after="120"/>
        <w:jc w:val="both"/>
      </w:pPr>
      <w:r>
        <w:rPr>
          <w:b w:val="0"/>
          <w:i w:val="0"/>
        </w:rPr>
        <w:t>Cross-validation folds are drawn from the same distribution as the training data, so these scores are optimistic. The official test set gives the more realistic estimate.</w:t>
      </w:r>
    </w:p>
    <w:p>
      <w:pPr>
        <w:pStyle w:val="Heading2"/>
      </w:pPr>
      <w:r>
        <w:t>4.2 Performance on the official test set</w:t>
      </w:r>
    </w:p>
    <w:p>
      <w:pPr>
        <w:pStyle w:val="Caption"/>
        <w:jc w:val="center"/>
      </w:pPr>
      <w:r>
        <w:t>Table 7: Results on KDDTest+ (threshold 0.5)</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F3864"/>
          </w:tcPr>
          <w:p>
            <w:r/>
            <w:r>
              <w:rPr>
                <w:b/>
                <w:color w:val="FFFFFF"/>
                <w:sz w:val="18"/>
              </w:rPr>
              <w:t>Model</w:t>
            </w:r>
          </w:p>
        </w:tc>
        <w:tc>
          <w:tcPr>
            <w:tcW w:type="dxa" w:w="1560"/>
            <w:shd w:val="clear" w:color="auto" w:fill="1F3864"/>
          </w:tcPr>
          <w:p>
            <w:r/>
            <w:r>
              <w:rPr>
                <w:b/>
                <w:color w:val="FFFFFF"/>
                <w:sz w:val="18"/>
              </w:rPr>
              <w:t>Accuracy</w:t>
            </w:r>
          </w:p>
        </w:tc>
        <w:tc>
          <w:tcPr>
            <w:tcW w:type="dxa" w:w="1560"/>
            <w:shd w:val="clear" w:color="auto" w:fill="1F3864"/>
          </w:tcPr>
          <w:p>
            <w:r/>
            <w:r>
              <w:rPr>
                <w:b/>
                <w:color w:val="FFFFFF"/>
                <w:sz w:val="18"/>
              </w:rPr>
              <w:t>Precision</w:t>
            </w:r>
          </w:p>
        </w:tc>
        <w:tc>
          <w:tcPr>
            <w:tcW w:type="dxa" w:w="1560"/>
            <w:shd w:val="clear" w:color="auto" w:fill="1F3864"/>
          </w:tcPr>
          <w:p>
            <w:r/>
            <w:r>
              <w:rPr>
                <w:b/>
                <w:color w:val="FFFFFF"/>
                <w:sz w:val="18"/>
              </w:rPr>
              <w:t>Recall</w:t>
            </w:r>
          </w:p>
        </w:tc>
        <w:tc>
          <w:tcPr>
            <w:tcW w:type="dxa" w:w="1560"/>
            <w:shd w:val="clear" w:color="auto" w:fill="1F3864"/>
          </w:tcPr>
          <w:p>
            <w:r/>
            <w:r>
              <w:rPr>
                <w:b/>
                <w:color w:val="FFFFFF"/>
                <w:sz w:val="18"/>
              </w:rPr>
              <w:t>F1-Score</w:t>
            </w:r>
          </w:p>
        </w:tc>
        <w:tc>
          <w:tcPr>
            <w:tcW w:type="dxa" w:w="1560"/>
            <w:shd w:val="clear" w:color="auto" w:fill="1F3864"/>
          </w:tcPr>
          <w:p>
            <w:r/>
            <w:r>
              <w:rPr>
                <w:b/>
                <w:color w:val="FFFFFF"/>
                <w:sz w:val="18"/>
              </w:rPr>
              <w:t>ROC-AUC</w:t>
            </w:r>
          </w:p>
        </w:tc>
      </w:tr>
      <w:tr>
        <w:tc>
          <w:tcPr>
            <w:tcW w:type="dxa" w:w="1560"/>
          </w:tcPr>
          <w:p>
            <w:r/>
            <w:r>
              <w:rPr>
                <w:sz w:val="18"/>
              </w:rPr>
              <w:t>Logistic Regression</w:t>
            </w:r>
          </w:p>
        </w:tc>
        <w:tc>
          <w:tcPr>
            <w:tcW w:type="dxa" w:w="1560"/>
          </w:tcPr>
          <w:p>
            <w:r/>
            <w:r>
              <w:rPr>
                <w:sz w:val="18"/>
              </w:rPr>
              <w:t>0.7540</w:t>
            </w:r>
          </w:p>
        </w:tc>
        <w:tc>
          <w:tcPr>
            <w:tcW w:type="dxa" w:w="1560"/>
          </w:tcPr>
          <w:p>
            <w:r/>
            <w:r>
              <w:rPr>
                <w:sz w:val="18"/>
              </w:rPr>
              <w:t>0.9168</w:t>
            </w:r>
          </w:p>
        </w:tc>
        <w:tc>
          <w:tcPr>
            <w:tcW w:type="dxa" w:w="1560"/>
          </w:tcPr>
          <w:p>
            <w:r/>
            <w:r>
              <w:rPr>
                <w:sz w:val="18"/>
              </w:rPr>
              <w:t>0.6246</w:t>
            </w:r>
          </w:p>
        </w:tc>
        <w:tc>
          <w:tcPr>
            <w:tcW w:type="dxa" w:w="1560"/>
          </w:tcPr>
          <w:p>
            <w:r/>
            <w:r>
              <w:rPr>
                <w:sz w:val="18"/>
              </w:rPr>
              <w:t>0.7430</w:t>
            </w:r>
          </w:p>
        </w:tc>
        <w:tc>
          <w:tcPr>
            <w:tcW w:type="dxa" w:w="1560"/>
          </w:tcPr>
          <w:p>
            <w:r/>
            <w:r>
              <w:rPr>
                <w:sz w:val="18"/>
              </w:rPr>
              <w:t>0.7904</w:t>
            </w:r>
          </w:p>
        </w:tc>
      </w:tr>
      <w:tr>
        <w:tc>
          <w:tcPr>
            <w:tcW w:type="dxa" w:w="1560"/>
          </w:tcPr>
          <w:p>
            <w:r/>
            <w:r>
              <w:rPr>
                <w:sz w:val="18"/>
              </w:rPr>
              <w:t>Decision Tree</w:t>
            </w:r>
          </w:p>
        </w:tc>
        <w:tc>
          <w:tcPr>
            <w:tcW w:type="dxa" w:w="1560"/>
          </w:tcPr>
          <w:p>
            <w:r/>
            <w:r>
              <w:rPr>
                <w:sz w:val="18"/>
              </w:rPr>
              <w:t>0.7976</w:t>
            </w:r>
          </w:p>
        </w:tc>
        <w:tc>
          <w:tcPr>
            <w:tcW w:type="dxa" w:w="1560"/>
          </w:tcPr>
          <w:p>
            <w:r/>
            <w:r>
              <w:rPr>
                <w:sz w:val="18"/>
              </w:rPr>
              <w:t>0.9654</w:t>
            </w:r>
          </w:p>
        </w:tc>
        <w:tc>
          <w:tcPr>
            <w:tcW w:type="dxa" w:w="1560"/>
          </w:tcPr>
          <w:p>
            <w:r/>
            <w:r>
              <w:rPr>
                <w:sz w:val="18"/>
              </w:rPr>
              <w:t>0.6684</w:t>
            </w:r>
          </w:p>
        </w:tc>
        <w:tc>
          <w:tcPr>
            <w:tcW w:type="dxa" w:w="1560"/>
          </w:tcPr>
          <w:p>
            <w:r/>
            <w:r>
              <w:rPr>
                <w:sz w:val="18"/>
              </w:rPr>
              <w:t>0.7899</w:t>
            </w:r>
          </w:p>
        </w:tc>
        <w:tc>
          <w:tcPr>
            <w:tcW w:type="dxa" w:w="1560"/>
          </w:tcPr>
          <w:p>
            <w:r/>
            <w:r>
              <w:rPr>
                <w:sz w:val="18"/>
              </w:rPr>
              <w:t>0.8183</w:t>
            </w:r>
          </w:p>
        </w:tc>
      </w:tr>
      <w:tr>
        <w:tc>
          <w:tcPr>
            <w:tcW w:type="dxa" w:w="1560"/>
          </w:tcPr>
          <w:p>
            <w:r/>
            <w:r>
              <w:rPr>
                <w:sz w:val="18"/>
              </w:rPr>
              <w:t>Random Forest (Tuned)</w:t>
            </w:r>
          </w:p>
        </w:tc>
        <w:tc>
          <w:tcPr>
            <w:tcW w:type="dxa" w:w="1560"/>
          </w:tcPr>
          <w:p>
            <w:r/>
            <w:r>
              <w:rPr>
                <w:sz w:val="18"/>
              </w:rPr>
              <w:t>0.7698</w:t>
            </w:r>
          </w:p>
        </w:tc>
        <w:tc>
          <w:tcPr>
            <w:tcW w:type="dxa" w:w="1560"/>
          </w:tcPr>
          <w:p>
            <w:r/>
            <w:r>
              <w:rPr>
                <w:sz w:val="18"/>
              </w:rPr>
              <w:t>0.9676</w:t>
            </w:r>
          </w:p>
        </w:tc>
        <w:tc>
          <w:tcPr>
            <w:tcW w:type="dxa" w:w="1560"/>
          </w:tcPr>
          <w:p>
            <w:r/>
            <w:r>
              <w:rPr>
                <w:sz w:val="18"/>
              </w:rPr>
              <w:t>0.6162</w:t>
            </w:r>
          </w:p>
        </w:tc>
        <w:tc>
          <w:tcPr>
            <w:tcW w:type="dxa" w:w="1560"/>
          </w:tcPr>
          <w:p>
            <w:r/>
            <w:r>
              <w:rPr>
                <w:sz w:val="18"/>
              </w:rPr>
              <w:t>0.7529</w:t>
            </w:r>
          </w:p>
        </w:tc>
        <w:tc>
          <w:tcPr>
            <w:tcW w:type="dxa" w:w="1560"/>
          </w:tcPr>
          <w:p>
            <w:r/>
            <w:r>
              <w:rPr>
                <w:sz w:val="18"/>
              </w:rPr>
              <w:t>0.9686</w:t>
            </w:r>
          </w:p>
        </w:tc>
      </w:tr>
      <w:tr>
        <w:tc>
          <w:tcPr>
            <w:tcW w:type="dxa" w:w="1560"/>
          </w:tcPr>
          <w:p>
            <w:r/>
            <w:r>
              <w:rPr>
                <w:sz w:val="18"/>
              </w:rPr>
              <w:t>XGBoost (Tuned)</w:t>
            </w:r>
          </w:p>
        </w:tc>
        <w:tc>
          <w:tcPr>
            <w:tcW w:type="dxa" w:w="1560"/>
          </w:tcPr>
          <w:p>
            <w:r/>
            <w:r>
              <w:rPr>
                <w:sz w:val="18"/>
              </w:rPr>
              <w:t>0.8031</w:t>
            </w:r>
          </w:p>
        </w:tc>
        <w:tc>
          <w:tcPr>
            <w:tcW w:type="dxa" w:w="1560"/>
          </w:tcPr>
          <w:p>
            <w:r/>
            <w:r>
              <w:rPr>
                <w:sz w:val="18"/>
              </w:rPr>
              <w:t>0.9690</w:t>
            </w:r>
          </w:p>
        </w:tc>
        <w:tc>
          <w:tcPr>
            <w:tcW w:type="dxa" w:w="1560"/>
          </w:tcPr>
          <w:p>
            <w:r/>
            <w:r>
              <w:rPr>
                <w:sz w:val="18"/>
              </w:rPr>
              <w:t>0.6757</w:t>
            </w:r>
          </w:p>
        </w:tc>
        <w:tc>
          <w:tcPr>
            <w:tcW w:type="dxa" w:w="1560"/>
          </w:tcPr>
          <w:p>
            <w:r/>
            <w:r>
              <w:rPr>
                <w:sz w:val="18"/>
              </w:rPr>
              <w:t>0.7962</w:t>
            </w:r>
          </w:p>
        </w:tc>
        <w:tc>
          <w:tcPr>
            <w:tcW w:type="dxa" w:w="1560"/>
          </w:tcPr>
          <w:p>
            <w:r/>
            <w:r>
              <w:rPr>
                <w:sz w:val="18"/>
              </w:rPr>
              <w:t>0.9723</w:t>
            </w:r>
          </w:p>
        </w:tc>
      </w:tr>
    </w:tbl>
    <w:p/>
    <w:p>
      <w:pPr>
        <w:spacing w:after="120"/>
        <w:jc w:val="both"/>
      </w:pPr>
      <w:r>
        <w:rPr>
          <w:b w:val="0"/>
          <w:i w:val="0"/>
        </w:rPr>
        <w:t>The selected model, XGBoost (Tuned), reached accuracy 80.31%, precision 96.90%, recall 67.57%, F1-score 79.62% and ROC-AUC 0.9723. Its cross-validated F1 was 0.9990 against 0.7962 on the test set. This gap is expected because KDDTest+ contains attack types that were never seen in training, which mimics zero-day behaviour.</w:t>
      </w:r>
    </w:p>
    <w:p>
      <w:pPr>
        <w:jc w:val="center"/>
      </w:pPr>
      <w:r>
        <w:drawing>
          <wp:inline xmlns:a="http://schemas.openxmlformats.org/drawingml/2006/main" xmlns:pic="http://schemas.openxmlformats.org/drawingml/2006/picture">
            <wp:extent cx="5486400" cy="4230997"/>
            <wp:docPr id="3" name="Picture 3"/>
            <wp:cNvGraphicFramePr>
              <a:graphicFrameLocks noChangeAspect="1"/>
            </wp:cNvGraphicFramePr>
            <a:graphic>
              <a:graphicData uri="http://schemas.openxmlformats.org/drawingml/2006/picture">
                <pic:pic>
                  <pic:nvPicPr>
                    <pic:cNvPr id="0" name="fig4_roc_curves.png"/>
                    <pic:cNvPicPr/>
                  </pic:nvPicPr>
                  <pic:blipFill>
                    <a:blip r:embed="rId12"/>
                    <a:stretch>
                      <a:fillRect/>
                    </a:stretch>
                  </pic:blipFill>
                  <pic:spPr>
                    <a:xfrm>
                      <a:off x="0" y="0"/>
                      <a:ext cx="5486400" cy="4230997"/>
                    </a:xfrm>
                    <a:prstGeom prst="rect"/>
                  </pic:spPr>
                </pic:pic>
              </a:graphicData>
            </a:graphic>
          </wp:inline>
        </w:drawing>
      </w:r>
    </w:p>
    <w:p>
      <w:pPr>
        <w:pStyle w:val="Caption"/>
        <w:jc w:val="center"/>
      </w:pPr>
      <w:r>
        <w:t>Figure 3: ROC curves of all models on KDDTest+</w:t>
      </w:r>
    </w:p>
    <w:p>
      <w:pPr>
        <w:jc w:val="center"/>
      </w:pPr>
      <w:r>
        <w:drawing>
          <wp:inline xmlns:a="http://schemas.openxmlformats.org/drawingml/2006/main" xmlns:pic="http://schemas.openxmlformats.org/drawingml/2006/picture">
            <wp:extent cx="5486400" cy="2940398"/>
            <wp:docPr id="4" name="Picture 4"/>
            <wp:cNvGraphicFramePr>
              <a:graphicFrameLocks noChangeAspect="1"/>
            </wp:cNvGraphicFramePr>
            <a:graphic>
              <a:graphicData uri="http://schemas.openxmlformats.org/drawingml/2006/picture">
                <pic:pic>
                  <pic:nvPicPr>
                    <pic:cNvPr id="0" name="fig5_metric_comparison.png"/>
                    <pic:cNvPicPr/>
                  </pic:nvPicPr>
                  <pic:blipFill>
                    <a:blip r:embed="rId13"/>
                    <a:stretch>
                      <a:fillRect/>
                    </a:stretch>
                  </pic:blipFill>
                  <pic:spPr>
                    <a:xfrm>
                      <a:off x="0" y="0"/>
                      <a:ext cx="5486400" cy="2940398"/>
                    </a:xfrm>
                    <a:prstGeom prst="rect"/>
                  </pic:spPr>
                </pic:pic>
              </a:graphicData>
            </a:graphic>
          </wp:inline>
        </w:drawing>
      </w:r>
    </w:p>
    <w:p>
      <w:pPr>
        <w:pStyle w:val="Caption"/>
        <w:jc w:val="center"/>
      </w:pPr>
      <w:r>
        <w:t>Figure 4: Test metric comparison</w:t>
      </w:r>
    </w:p>
    <w:p>
      <w:pPr>
        <w:jc w:val="center"/>
      </w:pPr>
      <w:r>
        <w:drawing>
          <wp:inline xmlns:a="http://schemas.openxmlformats.org/drawingml/2006/main" xmlns:pic="http://schemas.openxmlformats.org/drawingml/2006/picture">
            <wp:extent cx="4389120" cy="2761076"/>
            <wp:docPr id="5" name="Picture 5"/>
            <wp:cNvGraphicFramePr>
              <a:graphicFrameLocks noChangeAspect="1"/>
            </wp:cNvGraphicFramePr>
            <a:graphic>
              <a:graphicData uri="http://schemas.openxmlformats.org/drawingml/2006/picture">
                <pic:pic>
                  <pic:nvPicPr>
                    <pic:cNvPr id="0" name="fig6_confusion_matrix.png"/>
                    <pic:cNvPicPr/>
                  </pic:nvPicPr>
                  <pic:blipFill>
                    <a:blip r:embed="rId14"/>
                    <a:stretch>
                      <a:fillRect/>
                    </a:stretch>
                  </pic:blipFill>
                  <pic:spPr>
                    <a:xfrm>
                      <a:off x="0" y="0"/>
                      <a:ext cx="4389120" cy="2761076"/>
                    </a:xfrm>
                    <a:prstGeom prst="rect"/>
                  </pic:spPr>
                </pic:pic>
              </a:graphicData>
            </a:graphic>
          </wp:inline>
        </w:drawing>
      </w:r>
    </w:p>
    <w:p>
      <w:pPr>
        <w:pStyle w:val="Caption"/>
        <w:jc w:val="center"/>
      </w:pPr>
      <w:r>
        <w:t>Figure 5: Confusion matrix of XGBoost (Tuned)</w:t>
      </w:r>
    </w:p>
    <w:p>
      <w:pPr>
        <w:pStyle w:val="Heading2"/>
      </w:pPr>
      <w:r>
        <w:t>4.3 Threshold analysis</w:t>
      </w:r>
    </w:p>
    <w:p>
      <w:pPr>
        <w:pStyle w:val="Caption"/>
        <w:jc w:val="center"/>
      </w:pPr>
      <w:r>
        <w:t>Table 8: Effect of the decision threshold on detection and false alarms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F3864"/>
          </w:tcPr>
          <w:p>
            <w:r/>
            <w:r>
              <w:rPr>
                <w:b/>
                <w:color w:val="FFFFFF"/>
                <w:sz w:val="18"/>
              </w:rPr>
              <w:t>Threshold</w:t>
            </w:r>
          </w:p>
        </w:tc>
        <w:tc>
          <w:tcPr>
            <w:tcW w:type="dxa" w:w="1872"/>
            <w:shd w:val="clear" w:color="auto" w:fill="1F3864"/>
          </w:tcPr>
          <w:p>
            <w:r/>
            <w:r>
              <w:rPr>
                <w:b/>
                <w:color w:val="FFFFFF"/>
                <w:sz w:val="18"/>
              </w:rPr>
              <w:t>Attack Recall</w:t>
            </w:r>
          </w:p>
        </w:tc>
        <w:tc>
          <w:tcPr>
            <w:tcW w:type="dxa" w:w="1872"/>
            <w:shd w:val="clear" w:color="auto" w:fill="1F3864"/>
          </w:tcPr>
          <w:p>
            <w:r/>
            <w:r>
              <w:rPr>
                <w:b/>
                <w:color w:val="FFFFFF"/>
                <w:sz w:val="18"/>
              </w:rPr>
              <w:t>Precision</w:t>
            </w:r>
          </w:p>
        </w:tc>
        <w:tc>
          <w:tcPr>
            <w:tcW w:type="dxa" w:w="1872"/>
            <w:shd w:val="clear" w:color="auto" w:fill="1F3864"/>
          </w:tcPr>
          <w:p>
            <w:r/>
            <w:r>
              <w:rPr>
                <w:b/>
                <w:color w:val="FFFFFF"/>
                <w:sz w:val="18"/>
              </w:rPr>
              <w:t>False-Alarm Rate</w:t>
            </w:r>
          </w:p>
        </w:tc>
        <w:tc>
          <w:tcPr>
            <w:tcW w:type="dxa" w:w="1872"/>
            <w:shd w:val="clear" w:color="auto" w:fill="1F3864"/>
          </w:tcPr>
          <w:p>
            <w:r/>
            <w:r>
              <w:rPr>
                <w:b/>
                <w:color w:val="FFFFFF"/>
                <w:sz w:val="18"/>
              </w:rPr>
              <w:t>Missed Attacks (FN)</w:t>
            </w:r>
          </w:p>
        </w:tc>
      </w:tr>
      <w:tr>
        <w:tc>
          <w:tcPr>
            <w:tcW w:type="dxa" w:w="1872"/>
          </w:tcPr>
          <w:p>
            <w:r/>
            <w:r>
              <w:rPr>
                <w:sz w:val="18"/>
              </w:rPr>
              <w:t>0.5000</w:t>
            </w:r>
          </w:p>
        </w:tc>
        <w:tc>
          <w:tcPr>
            <w:tcW w:type="dxa" w:w="1872"/>
          </w:tcPr>
          <w:p>
            <w:r/>
            <w:r>
              <w:rPr>
                <w:sz w:val="18"/>
              </w:rPr>
              <w:t>0.6757</w:t>
            </w:r>
          </w:p>
        </w:tc>
        <w:tc>
          <w:tcPr>
            <w:tcW w:type="dxa" w:w="1872"/>
          </w:tcPr>
          <w:p>
            <w:r/>
            <w:r>
              <w:rPr>
                <w:sz w:val="18"/>
              </w:rPr>
              <w:t>0.9690</w:t>
            </w:r>
          </w:p>
        </w:tc>
        <w:tc>
          <w:tcPr>
            <w:tcW w:type="dxa" w:w="1872"/>
          </w:tcPr>
          <w:p>
            <w:r/>
            <w:r>
              <w:rPr>
                <w:sz w:val="18"/>
              </w:rPr>
              <w:t>0.0285</w:t>
            </w:r>
          </w:p>
        </w:tc>
        <w:tc>
          <w:tcPr>
            <w:tcW w:type="dxa" w:w="1872"/>
          </w:tcPr>
          <w:p>
            <w:r/>
            <w:r>
              <w:rPr>
                <w:sz w:val="18"/>
              </w:rPr>
              <w:t>4162.0000</w:t>
            </w:r>
          </w:p>
        </w:tc>
      </w:tr>
      <w:tr>
        <w:tc>
          <w:tcPr>
            <w:tcW w:type="dxa" w:w="1872"/>
          </w:tcPr>
          <w:p>
            <w:r/>
            <w:r>
              <w:rPr>
                <w:sz w:val="18"/>
              </w:rPr>
              <w:t>0.4000</w:t>
            </w:r>
          </w:p>
        </w:tc>
        <w:tc>
          <w:tcPr>
            <w:tcW w:type="dxa" w:w="1872"/>
          </w:tcPr>
          <w:p>
            <w:r/>
            <w:r>
              <w:rPr>
                <w:sz w:val="18"/>
              </w:rPr>
              <w:t>0.6846</w:t>
            </w:r>
          </w:p>
        </w:tc>
        <w:tc>
          <w:tcPr>
            <w:tcW w:type="dxa" w:w="1872"/>
          </w:tcPr>
          <w:p>
            <w:r/>
            <w:r>
              <w:rPr>
                <w:sz w:val="18"/>
              </w:rPr>
              <w:t>0.9693</w:t>
            </w:r>
          </w:p>
        </w:tc>
        <w:tc>
          <w:tcPr>
            <w:tcW w:type="dxa" w:w="1872"/>
          </w:tcPr>
          <w:p>
            <w:r/>
            <w:r>
              <w:rPr>
                <w:sz w:val="18"/>
              </w:rPr>
              <w:t>0.0286</w:t>
            </w:r>
          </w:p>
        </w:tc>
        <w:tc>
          <w:tcPr>
            <w:tcW w:type="dxa" w:w="1872"/>
          </w:tcPr>
          <w:p>
            <w:r/>
            <w:r>
              <w:rPr>
                <w:sz w:val="18"/>
              </w:rPr>
              <w:t>4047.0000</w:t>
            </w:r>
          </w:p>
        </w:tc>
      </w:tr>
      <w:tr>
        <w:tc>
          <w:tcPr>
            <w:tcW w:type="dxa" w:w="1872"/>
          </w:tcPr>
          <w:p>
            <w:r/>
            <w:r>
              <w:rPr>
                <w:sz w:val="18"/>
              </w:rPr>
              <w:t>0.3000</w:t>
            </w:r>
          </w:p>
        </w:tc>
        <w:tc>
          <w:tcPr>
            <w:tcW w:type="dxa" w:w="1872"/>
          </w:tcPr>
          <w:p>
            <w:r/>
            <w:r>
              <w:rPr>
                <w:sz w:val="18"/>
              </w:rPr>
              <w:t>0.6902</w:t>
            </w:r>
          </w:p>
        </w:tc>
        <w:tc>
          <w:tcPr>
            <w:tcW w:type="dxa" w:w="1872"/>
          </w:tcPr>
          <w:p>
            <w:r/>
            <w:r>
              <w:rPr>
                <w:sz w:val="18"/>
              </w:rPr>
              <w:t>0.9688</w:t>
            </w:r>
          </w:p>
        </w:tc>
        <w:tc>
          <w:tcPr>
            <w:tcW w:type="dxa" w:w="1872"/>
          </w:tcPr>
          <w:p>
            <w:r/>
            <w:r>
              <w:rPr>
                <w:sz w:val="18"/>
              </w:rPr>
              <w:t>0.0293</w:t>
            </w:r>
          </w:p>
        </w:tc>
        <w:tc>
          <w:tcPr>
            <w:tcW w:type="dxa" w:w="1872"/>
          </w:tcPr>
          <w:p>
            <w:r/>
            <w:r>
              <w:rPr>
                <w:sz w:val="18"/>
              </w:rPr>
              <w:t>3976.0000</w:t>
            </w:r>
          </w:p>
        </w:tc>
      </w:tr>
      <w:tr>
        <w:tc>
          <w:tcPr>
            <w:tcW w:type="dxa" w:w="1872"/>
          </w:tcPr>
          <w:p>
            <w:r/>
            <w:r>
              <w:rPr>
                <w:sz w:val="18"/>
              </w:rPr>
              <w:t>0.2000</w:t>
            </w:r>
          </w:p>
        </w:tc>
        <w:tc>
          <w:tcPr>
            <w:tcW w:type="dxa" w:w="1872"/>
          </w:tcPr>
          <w:p>
            <w:r/>
            <w:r>
              <w:rPr>
                <w:sz w:val="18"/>
              </w:rPr>
              <w:t>0.6958</w:t>
            </w:r>
          </w:p>
        </w:tc>
        <w:tc>
          <w:tcPr>
            <w:tcW w:type="dxa" w:w="1872"/>
          </w:tcPr>
          <w:p>
            <w:r/>
            <w:r>
              <w:rPr>
                <w:sz w:val="18"/>
              </w:rPr>
              <w:t>0.9689</w:t>
            </w:r>
          </w:p>
        </w:tc>
        <w:tc>
          <w:tcPr>
            <w:tcW w:type="dxa" w:w="1872"/>
          </w:tcPr>
          <w:p>
            <w:r/>
            <w:r>
              <w:rPr>
                <w:sz w:val="18"/>
              </w:rPr>
              <w:t>0.0296</w:t>
            </w:r>
          </w:p>
        </w:tc>
        <w:tc>
          <w:tcPr>
            <w:tcW w:type="dxa" w:w="1872"/>
          </w:tcPr>
          <w:p>
            <w:r/>
            <w:r>
              <w:rPr>
                <w:sz w:val="18"/>
              </w:rPr>
              <w:t>3904.0000</w:t>
            </w:r>
          </w:p>
        </w:tc>
      </w:tr>
      <w:tr>
        <w:tc>
          <w:tcPr>
            <w:tcW w:type="dxa" w:w="1872"/>
          </w:tcPr>
          <w:p>
            <w:r/>
            <w:r>
              <w:rPr>
                <w:sz w:val="18"/>
              </w:rPr>
              <w:t>0.1000</w:t>
            </w:r>
          </w:p>
        </w:tc>
        <w:tc>
          <w:tcPr>
            <w:tcW w:type="dxa" w:w="1872"/>
          </w:tcPr>
          <w:p>
            <w:r/>
            <w:r>
              <w:rPr>
                <w:sz w:val="18"/>
              </w:rPr>
              <w:t>0.7166</w:t>
            </w:r>
          </w:p>
        </w:tc>
        <w:tc>
          <w:tcPr>
            <w:tcW w:type="dxa" w:w="1872"/>
          </w:tcPr>
          <w:p>
            <w:r/>
            <w:r>
              <w:rPr>
                <w:sz w:val="18"/>
              </w:rPr>
              <w:t>0.9684</w:t>
            </w:r>
          </w:p>
        </w:tc>
        <w:tc>
          <w:tcPr>
            <w:tcW w:type="dxa" w:w="1872"/>
          </w:tcPr>
          <w:p>
            <w:r/>
            <w:r>
              <w:rPr>
                <w:sz w:val="18"/>
              </w:rPr>
              <w:t>0.0309</w:t>
            </w:r>
          </w:p>
        </w:tc>
        <w:tc>
          <w:tcPr>
            <w:tcW w:type="dxa" w:w="1872"/>
          </w:tcPr>
          <w:p>
            <w:r/>
            <w:r>
              <w:rPr>
                <w:sz w:val="18"/>
              </w:rPr>
              <w:t>3637.0000</w:t>
            </w:r>
          </w:p>
        </w:tc>
      </w:tr>
    </w:tbl>
    <w:p/>
    <w:p>
      <w:pPr>
        <w:spacing w:after="120"/>
        <w:jc w:val="both"/>
      </w:pPr>
      <w:r>
        <w:rPr>
          <w:b w:val="0"/>
          <w:i w:val="0"/>
        </w:rPr>
        <w:t>Lowering the threshold from 0.5 to 0.1 raised attack recall from 67.57% to 71.66%, while the false-alarm rate rose from 2.85% to 3.09%. A security team can choose the operating point that matches how costly a missed attack is.</w:t>
      </w:r>
    </w:p>
    <w:p>
      <w:pPr>
        <w:jc w:val="center"/>
      </w:pPr>
      <w:r>
        <w:drawing>
          <wp:inline xmlns:a="http://schemas.openxmlformats.org/drawingml/2006/main" xmlns:pic="http://schemas.openxmlformats.org/drawingml/2006/picture">
            <wp:extent cx="4389120" cy="2592163"/>
            <wp:docPr id="6" name="Picture 6"/>
            <wp:cNvGraphicFramePr>
              <a:graphicFrameLocks noChangeAspect="1"/>
            </wp:cNvGraphicFramePr>
            <a:graphic>
              <a:graphicData uri="http://schemas.openxmlformats.org/drawingml/2006/picture">
                <pic:pic>
                  <pic:nvPicPr>
                    <pic:cNvPr id="0" name="fig7_precision_recall.png"/>
                    <pic:cNvPicPr/>
                  </pic:nvPicPr>
                  <pic:blipFill>
                    <a:blip r:embed="rId15"/>
                    <a:stretch>
                      <a:fillRect/>
                    </a:stretch>
                  </pic:blipFill>
                  <pic:spPr>
                    <a:xfrm>
                      <a:off x="0" y="0"/>
                      <a:ext cx="4389120" cy="2592163"/>
                    </a:xfrm>
                    <a:prstGeom prst="rect"/>
                  </pic:spPr>
                </pic:pic>
              </a:graphicData>
            </a:graphic>
          </wp:inline>
        </w:drawing>
      </w:r>
    </w:p>
    <w:p>
      <w:pPr>
        <w:pStyle w:val="Caption"/>
        <w:jc w:val="center"/>
      </w:pPr>
      <w:r>
        <w:t>Figure 6: Precision-recall curve</w:t>
      </w:r>
    </w:p>
    <w:p>
      <w:pPr>
        <w:pStyle w:val="Heading2"/>
      </w:pPr>
      <w:r>
        <w:t>4.4 Multi-class results</w:t>
      </w:r>
    </w:p>
    <w:p>
      <w:pPr>
        <w:pStyle w:val="Caption"/>
        <w:jc w:val="center"/>
      </w:pPr>
      <w:r>
        <w:t>Table 9: Per-class results for attack categorisation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F3864"/>
          </w:tcPr>
          <w:p>
            <w:r/>
            <w:r>
              <w:rPr>
                <w:b/>
                <w:color w:val="FFFFFF"/>
                <w:sz w:val="18"/>
              </w:rPr>
              <w:t>Class</w:t>
            </w:r>
          </w:p>
        </w:tc>
        <w:tc>
          <w:tcPr>
            <w:tcW w:type="dxa" w:w="1872"/>
            <w:shd w:val="clear" w:color="auto" w:fill="1F3864"/>
          </w:tcPr>
          <w:p>
            <w:r/>
            <w:r>
              <w:rPr>
                <w:b/>
                <w:color w:val="FFFFFF"/>
                <w:sz w:val="18"/>
              </w:rPr>
              <w:t>Precision</w:t>
            </w:r>
          </w:p>
        </w:tc>
        <w:tc>
          <w:tcPr>
            <w:tcW w:type="dxa" w:w="1872"/>
            <w:shd w:val="clear" w:color="auto" w:fill="1F3864"/>
          </w:tcPr>
          <w:p>
            <w:r/>
            <w:r>
              <w:rPr>
                <w:b/>
                <w:color w:val="FFFFFF"/>
                <w:sz w:val="18"/>
              </w:rPr>
              <w:t>Recall</w:t>
            </w:r>
          </w:p>
        </w:tc>
        <w:tc>
          <w:tcPr>
            <w:tcW w:type="dxa" w:w="1872"/>
            <w:shd w:val="clear" w:color="auto" w:fill="1F3864"/>
          </w:tcPr>
          <w:p>
            <w:r/>
            <w:r>
              <w:rPr>
                <w:b/>
                <w:color w:val="FFFFFF"/>
                <w:sz w:val="18"/>
              </w:rPr>
              <w:t>F1-score</w:t>
            </w:r>
          </w:p>
        </w:tc>
        <w:tc>
          <w:tcPr>
            <w:tcW w:type="dxa" w:w="1872"/>
            <w:shd w:val="clear" w:color="auto" w:fill="1F3864"/>
          </w:tcPr>
          <w:p>
            <w:r/>
            <w:r>
              <w:rPr>
                <w:b/>
                <w:color w:val="FFFFFF"/>
                <w:sz w:val="18"/>
              </w:rPr>
              <w:t>Support</w:t>
            </w:r>
          </w:p>
        </w:tc>
      </w:tr>
      <w:tr>
        <w:tc>
          <w:tcPr>
            <w:tcW w:type="dxa" w:w="1872"/>
          </w:tcPr>
          <w:p>
            <w:r/>
            <w:r>
              <w:rPr>
                <w:sz w:val="18"/>
              </w:rPr>
              <w:t>Normal</w:t>
            </w:r>
          </w:p>
        </w:tc>
        <w:tc>
          <w:tcPr>
            <w:tcW w:type="dxa" w:w="1872"/>
          </w:tcPr>
          <w:p>
            <w:r/>
            <w:r>
              <w:rPr>
                <w:sz w:val="18"/>
              </w:rPr>
              <w:t>0.6497</w:t>
            </w:r>
          </w:p>
        </w:tc>
        <w:tc>
          <w:tcPr>
            <w:tcW w:type="dxa" w:w="1872"/>
          </w:tcPr>
          <w:p>
            <w:r/>
            <w:r>
              <w:rPr>
                <w:sz w:val="18"/>
              </w:rPr>
              <w:t>0.9738</w:t>
            </w:r>
          </w:p>
        </w:tc>
        <w:tc>
          <w:tcPr>
            <w:tcW w:type="dxa" w:w="1872"/>
          </w:tcPr>
          <w:p>
            <w:r/>
            <w:r>
              <w:rPr>
                <w:sz w:val="18"/>
              </w:rPr>
              <w:t>0.7794</w:t>
            </w:r>
          </w:p>
        </w:tc>
        <w:tc>
          <w:tcPr>
            <w:tcW w:type="dxa" w:w="1872"/>
          </w:tcPr>
          <w:p>
            <w:r/>
            <w:r>
              <w:rPr>
                <w:sz w:val="18"/>
              </w:rPr>
              <w:t>9711</w:t>
            </w:r>
          </w:p>
        </w:tc>
      </w:tr>
      <w:tr>
        <w:tc>
          <w:tcPr>
            <w:tcW w:type="dxa" w:w="1872"/>
          </w:tcPr>
          <w:p>
            <w:r/>
            <w:r>
              <w:rPr>
                <w:sz w:val="18"/>
              </w:rPr>
              <w:t>DoS</w:t>
            </w:r>
          </w:p>
        </w:tc>
        <w:tc>
          <w:tcPr>
            <w:tcW w:type="dxa" w:w="1872"/>
          </w:tcPr>
          <w:p>
            <w:r/>
            <w:r>
              <w:rPr>
                <w:sz w:val="18"/>
              </w:rPr>
              <w:t>0.9632</w:t>
            </w:r>
          </w:p>
        </w:tc>
        <w:tc>
          <w:tcPr>
            <w:tcW w:type="dxa" w:w="1872"/>
          </w:tcPr>
          <w:p>
            <w:r/>
            <w:r>
              <w:rPr>
                <w:sz w:val="18"/>
              </w:rPr>
              <w:t>0.8094</w:t>
            </w:r>
          </w:p>
        </w:tc>
        <w:tc>
          <w:tcPr>
            <w:tcW w:type="dxa" w:w="1872"/>
          </w:tcPr>
          <w:p>
            <w:r/>
            <w:r>
              <w:rPr>
                <w:sz w:val="18"/>
              </w:rPr>
              <w:t>0.8796</w:t>
            </w:r>
          </w:p>
        </w:tc>
        <w:tc>
          <w:tcPr>
            <w:tcW w:type="dxa" w:w="1872"/>
          </w:tcPr>
          <w:p>
            <w:r/>
            <w:r>
              <w:rPr>
                <w:sz w:val="18"/>
              </w:rPr>
              <w:t>7460</w:t>
            </w:r>
          </w:p>
        </w:tc>
      </w:tr>
      <w:tr>
        <w:tc>
          <w:tcPr>
            <w:tcW w:type="dxa" w:w="1872"/>
          </w:tcPr>
          <w:p>
            <w:r/>
            <w:r>
              <w:rPr>
                <w:sz w:val="18"/>
              </w:rPr>
              <w:t>Probe</w:t>
            </w:r>
          </w:p>
        </w:tc>
        <w:tc>
          <w:tcPr>
            <w:tcW w:type="dxa" w:w="1872"/>
          </w:tcPr>
          <w:p>
            <w:r/>
            <w:r>
              <w:rPr>
                <w:sz w:val="18"/>
              </w:rPr>
              <w:t>0.8553</w:t>
            </w:r>
          </w:p>
        </w:tc>
        <w:tc>
          <w:tcPr>
            <w:tcW w:type="dxa" w:w="1872"/>
          </w:tcPr>
          <w:p>
            <w:r/>
            <w:r>
              <w:rPr>
                <w:sz w:val="18"/>
              </w:rPr>
              <w:t>0.5956</w:t>
            </w:r>
          </w:p>
        </w:tc>
        <w:tc>
          <w:tcPr>
            <w:tcW w:type="dxa" w:w="1872"/>
          </w:tcPr>
          <w:p>
            <w:r/>
            <w:r>
              <w:rPr>
                <w:sz w:val="18"/>
              </w:rPr>
              <w:t>0.7022</w:t>
            </w:r>
          </w:p>
        </w:tc>
        <w:tc>
          <w:tcPr>
            <w:tcW w:type="dxa" w:w="1872"/>
          </w:tcPr>
          <w:p>
            <w:r/>
            <w:r>
              <w:rPr>
                <w:sz w:val="18"/>
              </w:rPr>
              <w:t>2421</w:t>
            </w:r>
          </w:p>
        </w:tc>
      </w:tr>
      <w:tr>
        <w:tc>
          <w:tcPr>
            <w:tcW w:type="dxa" w:w="1872"/>
          </w:tcPr>
          <w:p>
            <w:r/>
            <w:r>
              <w:rPr>
                <w:sz w:val="18"/>
              </w:rPr>
              <w:t>R2L</w:t>
            </w:r>
          </w:p>
        </w:tc>
        <w:tc>
          <w:tcPr>
            <w:tcW w:type="dxa" w:w="1872"/>
          </w:tcPr>
          <w:p>
            <w:r/>
            <w:r>
              <w:rPr>
                <w:sz w:val="18"/>
              </w:rPr>
              <w:t>0.9310</w:t>
            </w:r>
          </w:p>
        </w:tc>
        <w:tc>
          <w:tcPr>
            <w:tcW w:type="dxa" w:w="1872"/>
          </w:tcPr>
          <w:p>
            <w:r/>
            <w:r>
              <w:rPr>
                <w:sz w:val="18"/>
              </w:rPr>
              <w:t>0.0094</w:t>
            </w:r>
          </w:p>
        </w:tc>
        <w:tc>
          <w:tcPr>
            <w:tcW w:type="dxa" w:w="1872"/>
          </w:tcPr>
          <w:p>
            <w:r/>
            <w:r>
              <w:rPr>
                <w:sz w:val="18"/>
              </w:rPr>
              <w:t>0.0185</w:t>
            </w:r>
          </w:p>
        </w:tc>
        <w:tc>
          <w:tcPr>
            <w:tcW w:type="dxa" w:w="1872"/>
          </w:tcPr>
          <w:p>
            <w:r/>
            <w:r>
              <w:rPr>
                <w:sz w:val="18"/>
              </w:rPr>
              <w:t>2885</w:t>
            </w:r>
          </w:p>
        </w:tc>
      </w:tr>
      <w:tr>
        <w:tc>
          <w:tcPr>
            <w:tcW w:type="dxa" w:w="1872"/>
          </w:tcPr>
          <w:p>
            <w:r/>
            <w:r>
              <w:rPr>
                <w:sz w:val="18"/>
              </w:rPr>
              <w:t>U2R</w:t>
            </w:r>
          </w:p>
        </w:tc>
        <w:tc>
          <w:tcPr>
            <w:tcW w:type="dxa" w:w="1872"/>
          </w:tcPr>
          <w:p>
            <w:r/>
            <w:r>
              <w:rPr>
                <w:sz w:val="18"/>
              </w:rPr>
              <w:t>0.5000</w:t>
            </w:r>
          </w:p>
        </w:tc>
        <w:tc>
          <w:tcPr>
            <w:tcW w:type="dxa" w:w="1872"/>
          </w:tcPr>
          <w:p>
            <w:r/>
            <w:r>
              <w:rPr>
                <w:sz w:val="18"/>
              </w:rPr>
              <w:t>0.0299</w:t>
            </w:r>
          </w:p>
        </w:tc>
        <w:tc>
          <w:tcPr>
            <w:tcW w:type="dxa" w:w="1872"/>
          </w:tcPr>
          <w:p>
            <w:r/>
            <w:r>
              <w:rPr>
                <w:sz w:val="18"/>
              </w:rPr>
              <w:t>0.0563</w:t>
            </w:r>
          </w:p>
        </w:tc>
        <w:tc>
          <w:tcPr>
            <w:tcW w:type="dxa" w:w="1872"/>
          </w:tcPr>
          <w:p>
            <w:r/>
            <w:r>
              <w:rPr>
                <w:sz w:val="18"/>
              </w:rPr>
              <w:t>67</w:t>
            </w:r>
          </w:p>
        </w:tc>
      </w:tr>
    </w:tbl>
    <w:p/>
    <w:p>
      <w:pPr>
        <w:spacing w:after="120"/>
        <w:jc w:val="both"/>
      </w:pPr>
      <w:r>
        <w:rPr>
          <w:b w:val="0"/>
          <w:i w:val="0"/>
        </w:rPr>
        <w:t>Normal was detected best (recall 97.38%) and R2L worst (recall 0.94%). R2L and U2R attacks target authentication and host-level weaknesses and produce a network footprint close to normal user behaviour. They are also rare in the training data. Reliable detection needs host logs or application-layer inspection.</w:t>
      </w:r>
    </w:p>
    <w:p>
      <w:pPr>
        <w:jc w:val="center"/>
      </w:pPr>
      <w:r>
        <w:drawing>
          <wp:inline xmlns:a="http://schemas.openxmlformats.org/drawingml/2006/main" xmlns:pic="http://schemas.openxmlformats.org/drawingml/2006/picture">
            <wp:extent cx="5486400" cy="2204514"/>
            <wp:docPr id="7" name="Picture 7"/>
            <wp:cNvGraphicFramePr>
              <a:graphicFrameLocks noChangeAspect="1"/>
            </wp:cNvGraphicFramePr>
            <a:graphic>
              <a:graphicData uri="http://schemas.openxmlformats.org/drawingml/2006/picture">
                <pic:pic>
                  <pic:nvPicPr>
                    <pic:cNvPr id="0" name="fig8_multiclass_confusion.png"/>
                    <pic:cNvPicPr/>
                  </pic:nvPicPr>
                  <pic:blipFill>
                    <a:blip r:embed="rId16"/>
                    <a:stretch>
                      <a:fillRect/>
                    </a:stretch>
                  </pic:blipFill>
                  <pic:spPr>
                    <a:xfrm>
                      <a:off x="0" y="0"/>
                      <a:ext cx="5486400" cy="2204514"/>
                    </a:xfrm>
                    <a:prstGeom prst="rect"/>
                  </pic:spPr>
                </pic:pic>
              </a:graphicData>
            </a:graphic>
          </wp:inline>
        </w:drawing>
      </w:r>
    </w:p>
    <w:p>
      <w:pPr>
        <w:pStyle w:val="Caption"/>
        <w:jc w:val="center"/>
      </w:pPr>
      <w:r>
        <w:t>Figure 7: Multi-class confusion matrix</w:t>
      </w:r>
    </w:p>
    <w:p>
      <w:pPr>
        <w:pStyle w:val="Heading2"/>
      </w:pPr>
      <w:r>
        <w:t>4.5 Explainability with SHAP</w:t>
      </w:r>
    </w:p>
    <w:p>
      <w:pPr>
        <w:spacing w:after="120"/>
        <w:jc w:val="both"/>
      </w:pPr>
      <w:r>
        <w:rPr>
          <w:b w:val="0"/>
          <w:i w:val="0"/>
        </w:rPr>
        <w:t>The feature-importance and SHAP plots show which traffic features drive the decisions. The local waterfall plot explains one specific alert, showing the features that pushed the connection towards the attack class.</w:t>
      </w:r>
    </w:p>
    <w:p>
      <w:pPr>
        <w:jc w:val="center"/>
      </w:pPr>
      <w:r>
        <w:drawing>
          <wp:inline xmlns:a="http://schemas.openxmlformats.org/drawingml/2006/main" xmlns:pic="http://schemas.openxmlformats.org/drawingml/2006/picture">
            <wp:extent cx="5029200" cy="2970187"/>
            <wp:docPr id="8" name="Picture 8"/>
            <wp:cNvGraphicFramePr>
              <a:graphicFrameLocks noChangeAspect="1"/>
            </wp:cNvGraphicFramePr>
            <a:graphic>
              <a:graphicData uri="http://schemas.openxmlformats.org/drawingml/2006/picture">
                <pic:pic>
                  <pic:nvPicPr>
                    <pic:cNvPr id="0" name="fig9_feature_importance.png"/>
                    <pic:cNvPicPr/>
                  </pic:nvPicPr>
                  <pic:blipFill>
                    <a:blip r:embed="rId17"/>
                    <a:stretch>
                      <a:fillRect/>
                    </a:stretch>
                  </pic:blipFill>
                  <pic:spPr>
                    <a:xfrm>
                      <a:off x="0" y="0"/>
                      <a:ext cx="5029200" cy="2970187"/>
                    </a:xfrm>
                    <a:prstGeom prst="rect"/>
                  </pic:spPr>
                </pic:pic>
              </a:graphicData>
            </a:graphic>
          </wp:inline>
        </w:drawing>
      </w:r>
    </w:p>
    <w:p>
      <w:pPr>
        <w:pStyle w:val="Caption"/>
        <w:jc w:val="center"/>
      </w:pPr>
      <w:r>
        <w:t>Figure 8: Top 15 features by importance</w:t>
      </w:r>
    </w:p>
    <w:p>
      <w:pPr>
        <w:jc w:val="center"/>
      </w:pPr>
      <w:r>
        <w:drawing>
          <wp:inline xmlns:a="http://schemas.openxmlformats.org/drawingml/2006/main" xmlns:pic="http://schemas.openxmlformats.org/drawingml/2006/picture">
            <wp:extent cx="5029200" cy="3859280"/>
            <wp:docPr id="9" name="Picture 9"/>
            <wp:cNvGraphicFramePr>
              <a:graphicFrameLocks noChangeAspect="1"/>
            </wp:cNvGraphicFramePr>
            <a:graphic>
              <a:graphicData uri="http://schemas.openxmlformats.org/drawingml/2006/picture">
                <pic:pic>
                  <pic:nvPicPr>
                    <pic:cNvPr id="0" name="fig10_shap_summary.png"/>
                    <pic:cNvPicPr/>
                  </pic:nvPicPr>
                  <pic:blipFill>
                    <a:blip r:embed="rId18"/>
                    <a:stretch>
                      <a:fillRect/>
                    </a:stretch>
                  </pic:blipFill>
                  <pic:spPr>
                    <a:xfrm>
                      <a:off x="0" y="0"/>
                      <a:ext cx="5029200" cy="3859280"/>
                    </a:xfrm>
                    <a:prstGeom prst="rect"/>
                  </pic:spPr>
                </pic:pic>
              </a:graphicData>
            </a:graphic>
          </wp:inline>
        </w:drawing>
      </w:r>
    </w:p>
    <w:p>
      <w:pPr>
        <w:pStyle w:val="Caption"/>
        <w:jc w:val="center"/>
      </w:pPr>
      <w:r>
        <w:t>Figure 9: SHAP summary plot</w:t>
      </w:r>
    </w:p>
    <w:p>
      <w:pPr>
        <w:jc w:val="center"/>
      </w:pPr>
      <w:r>
        <w:drawing>
          <wp:inline xmlns:a="http://schemas.openxmlformats.org/drawingml/2006/main" xmlns:pic="http://schemas.openxmlformats.org/drawingml/2006/picture">
            <wp:extent cx="5029200" cy="3756864"/>
            <wp:docPr id="10" name="Picture 10"/>
            <wp:cNvGraphicFramePr>
              <a:graphicFrameLocks noChangeAspect="1"/>
            </wp:cNvGraphicFramePr>
            <a:graphic>
              <a:graphicData uri="http://schemas.openxmlformats.org/drawingml/2006/picture">
                <pic:pic>
                  <pic:nvPicPr>
                    <pic:cNvPr id="0" name="fig11_shap_local.png"/>
                    <pic:cNvPicPr/>
                  </pic:nvPicPr>
                  <pic:blipFill>
                    <a:blip r:embed="rId19"/>
                    <a:stretch>
                      <a:fillRect/>
                    </a:stretch>
                  </pic:blipFill>
                  <pic:spPr>
                    <a:xfrm>
                      <a:off x="0" y="0"/>
                      <a:ext cx="5029200" cy="3756864"/>
                    </a:xfrm>
                    <a:prstGeom prst="rect"/>
                  </pic:spPr>
                </pic:pic>
              </a:graphicData>
            </a:graphic>
          </wp:inline>
        </w:drawing>
      </w:r>
    </w:p>
    <w:p>
      <w:pPr>
        <w:pStyle w:val="Caption"/>
        <w:jc w:val="center"/>
      </w:pPr>
      <w:r>
        <w:t>Figure 10: SHAP explanation of one flagged connection</w:t>
      </w:r>
    </w:p>
    <w:p>
      <w:pPr>
        <w:pStyle w:val="Heading2"/>
      </w:pPr>
      <w:r>
        <w:t>4.6 Error analysis</w:t>
      </w:r>
    </w:p>
    <w:p>
      <w:pPr>
        <w:pStyle w:val="Caption"/>
        <w:jc w:val="center"/>
      </w:pPr>
      <w:r>
        <w:t>Table 10: Share of each attack category that was missed</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1F3864"/>
          </w:tcPr>
          <w:p>
            <w:r/>
            <w:r>
              <w:rPr>
                <w:b/>
                <w:color w:val="FFFFFF"/>
                <w:sz w:val="18"/>
              </w:rPr>
              <w:t>Attack category</w:t>
            </w:r>
          </w:p>
        </w:tc>
        <w:tc>
          <w:tcPr>
            <w:tcW w:type="dxa" w:w="4680"/>
            <w:shd w:val="clear" w:color="auto" w:fill="1F3864"/>
          </w:tcPr>
          <w:p>
            <w:r/>
            <w:r>
              <w:rPr>
                <w:b/>
                <w:color w:val="FFFFFF"/>
                <w:sz w:val="18"/>
              </w:rPr>
              <w:t>Missed (%)</w:t>
            </w:r>
          </w:p>
        </w:tc>
      </w:tr>
      <w:tr>
        <w:tc>
          <w:tcPr>
            <w:tcW w:type="dxa" w:w="4680"/>
          </w:tcPr>
          <w:p>
            <w:r/>
            <w:r>
              <w:rPr>
                <w:sz w:val="18"/>
              </w:rPr>
              <w:t>DoS</w:t>
            </w:r>
          </w:p>
        </w:tc>
        <w:tc>
          <w:tcPr>
            <w:tcW w:type="dxa" w:w="4680"/>
          </w:tcPr>
          <w:p>
            <w:r/>
            <w:r>
              <w:rPr>
                <w:sz w:val="18"/>
              </w:rPr>
              <w:t>11.9705</w:t>
            </w:r>
          </w:p>
        </w:tc>
      </w:tr>
      <w:tr>
        <w:tc>
          <w:tcPr>
            <w:tcW w:type="dxa" w:w="4680"/>
          </w:tcPr>
          <w:p>
            <w:r/>
            <w:r>
              <w:rPr>
                <w:sz w:val="18"/>
              </w:rPr>
              <w:t>Probe</w:t>
            </w:r>
          </w:p>
        </w:tc>
        <w:tc>
          <w:tcPr>
            <w:tcW w:type="dxa" w:w="4680"/>
          </w:tcPr>
          <w:p>
            <w:r/>
            <w:r>
              <w:rPr>
                <w:sz w:val="18"/>
              </w:rPr>
              <w:t>24.3288</w:t>
            </w:r>
          </w:p>
        </w:tc>
      </w:tr>
      <w:tr>
        <w:tc>
          <w:tcPr>
            <w:tcW w:type="dxa" w:w="4680"/>
          </w:tcPr>
          <w:p>
            <w:r/>
            <w:r>
              <w:rPr>
                <w:sz w:val="18"/>
              </w:rPr>
              <w:t>R2L</w:t>
            </w:r>
          </w:p>
        </w:tc>
        <w:tc>
          <w:tcPr>
            <w:tcW w:type="dxa" w:w="4680"/>
          </w:tcPr>
          <w:p>
            <w:r/>
            <w:r>
              <w:rPr>
                <w:sz w:val="18"/>
              </w:rPr>
              <w:t>91.0225</w:t>
            </w:r>
          </w:p>
        </w:tc>
      </w:tr>
      <w:tr>
        <w:tc>
          <w:tcPr>
            <w:tcW w:type="dxa" w:w="4680"/>
          </w:tcPr>
          <w:p>
            <w:r/>
            <w:r>
              <w:rPr>
                <w:sz w:val="18"/>
              </w:rPr>
              <w:t>U2R</w:t>
            </w:r>
          </w:p>
        </w:tc>
        <w:tc>
          <w:tcPr>
            <w:tcW w:type="dxa" w:w="4680"/>
          </w:tcPr>
          <w:p>
            <w:r/>
            <w:r>
              <w:rPr>
                <w:sz w:val="18"/>
              </w:rPr>
              <w:t>80.5970</w:t>
            </w:r>
          </w:p>
        </w:tc>
      </w:tr>
    </w:tbl>
    <w:p/>
    <w:p>
      <w:pPr>
        <w:spacing w:after="120"/>
        <w:jc w:val="both"/>
      </w:pPr>
      <w:r>
        <w:rPr>
          <w:b w:val="0"/>
          <w:i w:val="0"/>
        </w:rPr>
        <w:t>Attack types that are rare in training or absent from it are the most likely to be missed. This is the main limitation of a supervised detector.</w:t>
      </w:r>
    </w:p>
    <w:p>
      <w:pPr>
        <w:jc w:val="center"/>
      </w:pPr>
      <w:r>
        <w:drawing>
          <wp:inline xmlns:a="http://schemas.openxmlformats.org/drawingml/2006/main" xmlns:pic="http://schemas.openxmlformats.org/drawingml/2006/picture">
            <wp:extent cx="4389120" cy="2445013"/>
            <wp:docPr id="11" name="Picture 11"/>
            <wp:cNvGraphicFramePr>
              <a:graphicFrameLocks noChangeAspect="1"/>
            </wp:cNvGraphicFramePr>
            <a:graphic>
              <a:graphicData uri="http://schemas.openxmlformats.org/drawingml/2006/picture">
                <pic:pic>
                  <pic:nvPicPr>
                    <pic:cNvPr id="0" name="fig12_miss_rate.png"/>
                    <pic:cNvPicPr/>
                  </pic:nvPicPr>
                  <pic:blipFill>
                    <a:blip r:embed="rId20"/>
                    <a:stretch>
                      <a:fillRect/>
                    </a:stretch>
                  </pic:blipFill>
                  <pic:spPr>
                    <a:xfrm>
                      <a:off x="0" y="0"/>
                      <a:ext cx="4389120" cy="2445013"/>
                    </a:xfrm>
                    <a:prstGeom prst="rect"/>
                  </pic:spPr>
                </pic:pic>
              </a:graphicData>
            </a:graphic>
          </wp:inline>
        </w:drawing>
      </w:r>
    </w:p>
    <w:p>
      <w:pPr>
        <w:pStyle w:val="Caption"/>
        <w:jc w:val="center"/>
      </w:pPr>
      <w:r>
        <w:t>Figure 11: Miss rate by attack category</w:t>
      </w:r>
    </w:p>
    <w:p>
      <w:pPr>
        <w:pStyle w:val="Heading1"/>
      </w:pPr>
      <w:r>
        <w:t>5. Dashboard (CyberShield NIDS)</w:t>
      </w:r>
    </w:p>
    <w:p>
      <w:pPr>
        <w:spacing w:after="120"/>
        <w:jc w:val="both"/>
      </w:pPr>
      <w:r>
        <w:rPr>
          <w:b w:val="0"/>
          <w:i w:val="0"/>
        </w:rPr>
        <w:t>A Streamlit web application loads the saved model and provides: a dashboard with summary cards, severity and protocol charts and a downloadable alert list; an explainability tab with SHAP charts for individual alerts; a live traffic simulation; a manual connection tester with attack presets; a model performance tab; and an adjustable detection threshold.</w:t>
      </w:r>
    </w:p>
    <w:p>
      <w:pPr>
        <w:spacing w:after="120"/>
        <w:jc w:val="both"/>
      </w:pPr>
      <w:r>
        <w:rPr>
          <w:b w:val="0"/>
          <w:i/>
        </w:rPr>
        <w:t>(Add your dashboard screenshots to a folder named 'screenshots' and re-run this cell to include them here.)</w:t>
      </w:r>
    </w:p>
    <w:p>
      <w:pPr>
        <w:pStyle w:val="Heading1"/>
      </w:pPr>
      <w:r>
        <w:t>6. Limitations</w:t>
      </w:r>
    </w:p>
    <w:p>
      <w:pPr>
        <w:pStyle w:val="ListBullet"/>
      </w:pPr>
      <w:r>
        <w:t>NSL-KDD is derived from 1999-era traffic; modern threats such as ransomware, encrypted traffic and cloud API abuse are not represented.</w:t>
      </w:r>
    </w:p>
    <w:p>
      <w:pPr>
        <w:pStyle w:val="ListBullet"/>
      </w:pPr>
      <w:r>
        <w:t>Benchmark traffic is cleaner and less imbalanced than real production traffic.</w:t>
      </w:r>
    </w:p>
    <w:p>
      <w:pPr>
        <w:pStyle w:val="ListBullet"/>
      </w:pPr>
      <w:r>
        <w:t>A supervised model struggles with attack types it has not seen and with rare classes such as R2L and U2R.</w:t>
      </w:r>
    </w:p>
    <w:p>
      <w:pPr>
        <w:pStyle w:val="ListBullet"/>
      </w:pPr>
      <w:r>
        <w:t>Even a small false-alarm rate produces many alerts at enterprise scale (alert fatigue).</w:t>
      </w:r>
    </w:p>
    <w:p>
      <w:pPr>
        <w:pStyle w:val="Heading1"/>
      </w:pPr>
      <w:r>
        <w:t>7. Future Work</w:t>
      </w:r>
    </w:p>
    <w:p>
      <w:pPr>
        <w:pStyle w:val="ListBullet"/>
      </w:pPr>
      <w:r>
        <w:t>Evaluate on newer datasets such as UNSW-NB15 and CIC-IDS2017.</w:t>
      </w:r>
    </w:p>
    <w:p>
      <w:pPr>
        <w:pStyle w:val="ListBullet"/>
      </w:pPr>
      <w:r>
        <w:t>Add anomaly-detection methods (autoencoders, isolation forest) for zero-day attacks.</w:t>
      </w:r>
    </w:p>
    <w:p>
      <w:pPr>
        <w:pStyle w:val="ListBullet"/>
      </w:pPr>
      <w:r>
        <w:t>Capture and score live traffic with Scapy or Zeek.</w:t>
      </w:r>
    </w:p>
    <w:p>
      <w:pPr>
        <w:pStyle w:val="ListBullet"/>
      </w:pPr>
      <w:r>
        <w:t>Enrich alerts with threat intelligence from VirusTotal or AbuseIPDB.</w:t>
      </w:r>
    </w:p>
    <w:p>
      <w:pPr>
        <w:pStyle w:val="ListBullet"/>
      </w:pPr>
      <w:r>
        <w:t>Deploy the model behind an API and integrate with a SIEM/SOAR platform.</w:t>
      </w:r>
    </w:p>
    <w:p>
      <w:pPr>
        <w:pStyle w:val="Heading1"/>
      </w:pPr>
      <w:r>
        <w:t>8. Conclusion</w:t>
      </w:r>
    </w:p>
    <w:p>
      <w:pPr>
        <w:spacing w:after="120"/>
        <w:jc w:val="both"/>
      </w:pPr>
      <w:r>
        <w:rPr>
          <w:b w:val="0"/>
          <w:i w:val="0"/>
        </w:rPr>
        <w:t>This project delivered an end-to-end, explainable intrusion detection system. On the official test set the XGBoost (Tuned) model reached an F1-score of 79.62% with attack recall of 67.57%. Leak-free pipelines, evaluation on unseen attack types, a threshold analysis, SHAP explanations and a severity-based response layer make the system transparent and practical. The results also show the limits of supervised detection on rare and unseen attacks, which points to the future work above.</w:t>
      </w:r>
    </w:p>
    <w:p>
      <w:pPr>
        <w:pStyle w:val="Heading1"/>
      </w:pPr>
      <w:r>
        <w:t>References</w:t>
      </w:r>
    </w:p>
    <w:p>
      <w:pPr>
        <w:pStyle w:val="ListBullet"/>
      </w:pPr>
      <w:r>
        <w:t>Tavallaee, M., Bagheri, E., Lu, W., Ghorbani, A. (2009). A Detailed Analysis of the KDD CUP 99 Data Set. IEEE CISDA.</w:t>
      </w:r>
    </w:p>
    <w:p>
      <w:pPr>
        <w:pStyle w:val="ListBullet"/>
      </w:pPr>
      <w:r>
        <w:t>Lundberg, S. M., Lee, S.-I. (2017). A Unified Approach to Interpreting Model Predictions. NeurIPS.</w:t>
      </w:r>
    </w:p>
    <w:p>
      <w:pPr>
        <w:pStyle w:val="ListBullet"/>
      </w:pPr>
      <w:r>
        <w:t>Pedregosa, F. et al. (2011). Scikit-learn: Machine Learning in Python. JMLR 12.</w:t>
      </w:r>
    </w:p>
    <w:p>
      <w:pPr>
        <w:pStyle w:val="ListBullet"/>
      </w:pPr>
      <w:r>
        <w:t>Chen, T., Guestrin, C. (2016). XGBoost: A Scalable Tree Boosting System. KDD.</w:t>
      </w:r>
    </w:p>
    <w:p>
      <w:pPr>
        <w:pStyle w:val="ListBullet"/>
      </w:pPr>
      <w:r>
        <w:t>NSL-KDD dataset, Canadian Institute for Cybersecurity, University of New Brunswick: https://www.unb.ca/cic/datasets/nsl.html</w:t>
      </w:r>
    </w:p>
    <w:p>
      <w:pPr>
        <w:pStyle w:val="ListBullet"/>
      </w:pPr>
      <w:r>
        <w:t>Streamlit documentation: https://docs.streamlit.io</w:t>
      </w:r>
    </w:p>
    <w:p>
      <w:pPr>
        <w:pStyle w:val="Heading1"/>
      </w:pPr>
      <w:r>
        <w:t>Appendix: Project Files</w:t>
      </w:r>
    </w:p>
    <w:p>
      <w:pPr>
        <w:pStyle w:val="Caption"/>
        <w:jc w:val="center"/>
      </w:pPr>
      <w:r>
        <w:t>Table 11: Repository contents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1F3864"/>
          </w:tcPr>
          <w:p>
            <w:r/>
            <w:r>
              <w:rPr>
                <w:b/>
                <w:color w:val="FFFFFF"/>
                <w:sz w:val="18"/>
              </w:rPr>
              <w:t>File</w:t>
            </w:r>
          </w:p>
        </w:tc>
        <w:tc>
          <w:tcPr>
            <w:tcW w:type="dxa" w:w="4680"/>
            <w:shd w:val="clear" w:color="auto" w:fill="1F3864"/>
          </w:tcPr>
          <w:p>
            <w:r/>
            <w:r>
              <w:rPr>
                <w:b/>
                <w:color w:val="FFFFFF"/>
                <w:sz w:val="18"/>
              </w:rPr>
              <w:t>Description</w:t>
            </w:r>
          </w:p>
        </w:tc>
      </w:tr>
      <w:tr>
        <w:tc>
          <w:tcPr>
            <w:tcW w:type="dxa" w:w="4680"/>
          </w:tcPr>
          <w:p>
            <w:r/>
            <w:r>
              <w:rPr>
                <w:sz w:val="18"/>
              </w:rPr>
              <w:t>SakshiMankar_IntrusionDetector.ipynb</w:t>
            </w:r>
          </w:p>
        </w:tc>
        <w:tc>
          <w:tcPr>
            <w:tcW w:type="dxa" w:w="4680"/>
          </w:tcPr>
          <w:p>
            <w:r/>
            <w:r>
              <w:rPr>
                <w:sz w:val="18"/>
              </w:rPr>
              <w:t>Training, evaluation and explainability notebook</w:t>
            </w:r>
          </w:p>
        </w:tc>
      </w:tr>
      <w:tr>
        <w:tc>
          <w:tcPr>
            <w:tcW w:type="dxa" w:w="4680"/>
          </w:tcPr>
          <w:p>
            <w:r/>
            <w:r>
              <w:rPr>
                <w:sz w:val="18"/>
              </w:rPr>
              <w:t>app.py</w:t>
            </w:r>
          </w:p>
        </w:tc>
        <w:tc>
          <w:tcPr>
            <w:tcW w:type="dxa" w:w="4680"/>
          </w:tcPr>
          <w:p>
            <w:r/>
            <w:r>
              <w:rPr>
                <w:sz w:val="18"/>
              </w:rPr>
              <w:t>Streamlit dashboard</w:t>
            </w:r>
          </w:p>
        </w:tc>
      </w:tr>
      <w:tr>
        <w:tc>
          <w:tcPr>
            <w:tcW w:type="dxa" w:w="4680"/>
          </w:tcPr>
          <w:p>
            <w:r/>
            <w:r>
              <w:rPr>
                <w:sz w:val="18"/>
              </w:rPr>
              <w:t>requirements.txt</w:t>
            </w:r>
          </w:p>
        </w:tc>
        <w:tc>
          <w:tcPr>
            <w:tcW w:type="dxa" w:w="4680"/>
          </w:tcPr>
          <w:p>
            <w:r/>
            <w:r>
              <w:rPr>
                <w:sz w:val="18"/>
              </w:rPr>
              <w:t>Python dependencies</w:t>
            </w:r>
          </w:p>
        </w:tc>
      </w:tr>
      <w:tr>
        <w:tc>
          <w:tcPr>
            <w:tcW w:type="dxa" w:w="4680"/>
          </w:tcPr>
          <w:p>
            <w:r/>
            <w:r>
              <w:rPr>
                <w:sz w:val="18"/>
              </w:rPr>
              <w:t>model.pkl, columns.pkl</w:t>
            </w:r>
          </w:p>
        </w:tc>
        <w:tc>
          <w:tcPr>
            <w:tcW w:type="dxa" w:w="4680"/>
          </w:tcPr>
          <w:p>
            <w:r/>
            <w:r>
              <w:rPr>
                <w:sz w:val="18"/>
              </w:rPr>
              <w:t>Saved model pipeline and metadata</w:t>
            </w:r>
          </w:p>
        </w:tc>
      </w:tr>
      <w:tr>
        <w:tc>
          <w:tcPr>
            <w:tcW w:type="dxa" w:w="4680"/>
          </w:tcPr>
          <w:p>
            <w:r/>
            <w:r>
              <w:rPr>
                <w:sz w:val="18"/>
              </w:rPr>
              <w:t>alerts_log.csv</w:t>
            </w:r>
          </w:p>
        </w:tc>
        <w:tc>
          <w:tcPr>
            <w:tcW w:type="dxa" w:w="4680"/>
          </w:tcPr>
          <w:p>
            <w:r/>
            <w:r>
              <w:rPr>
                <w:sz w:val="18"/>
              </w:rPr>
              <w:t>Sample SOC alert log</w:t>
            </w:r>
          </w:p>
        </w:tc>
      </w:tr>
      <w:tr>
        <w:tc>
          <w:tcPr>
            <w:tcW w:type="dxa" w:w="4680"/>
          </w:tcPr>
          <w:p>
            <w:r/>
            <w:r>
              <w:rPr>
                <w:sz w:val="18"/>
              </w:rPr>
              <w:t>images/ and results/</w:t>
            </w:r>
          </w:p>
        </w:tc>
        <w:tc>
          <w:tcPr>
            <w:tcW w:type="dxa" w:w="4680"/>
          </w:tcPr>
          <w:p>
            <w:r/>
            <w:r>
              <w:rPr>
                <w:sz w:val="18"/>
              </w:rPr>
              <w:t>Charts and metric tables</w:t>
            </w:r>
          </w:p>
        </w:tc>
      </w:tr>
    </w:tbl>
    <w:p/>
    <w:p>
      <w:pPr>
        <w:spacing w:after="120"/>
        <w:jc w:val="left"/>
      </w:pPr>
      <w:r>
        <w:rPr>
          <w:b w:val="0"/>
          <w:i/>
        </w:rPr>
        <w:t>Repository: https://github.com/sakshimankar23/ML-Network-Intrusion-Detector.git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86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