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w:t>
      </w:r>
    </w:p>
    <w:p>
      <w:pPr>
        <w:pStyle w:val="BodyText"/>
      </w:pPr>
      <w:r>
        <w:t xml:space="preserve">Please consider the enclosed manuscript,</w:t>
      </w:r>
      <w:r>
        <w:t xml:space="preserve"> </w:t>
      </w:r>
      <w:r>
        <w:t xml:space="preserve">“</w:t>
      </w:r>
      <w:r>
        <w:t xml:space="preserve">Flood, Irrigation Loss or War? A Pre-Registered, Exposure-Based Satellite Test of the Vegetation Effects of the Kakhovka Dam Destruction</w:t>
      </w:r>
      <w:r>
        <w:t xml:space="preserve">”</w:t>
      </w:r>
      <w:r>
        <w:t xml:space="preserve">, for publication as a Research Article in</w:t>
      </w:r>
      <w:r>
        <w:t xml:space="preserve"> </w:t>
      </w:r>
      <w:r>
        <w:rPr>
          <w:iCs/>
          <w:i/>
        </w:rPr>
        <w:t xml:space="preserve">[Journal name]</w:t>
      </w:r>
      <w:r>
        <w:t xml:space="preserve">.</w:t>
      </w:r>
    </w:p>
    <w:p>
      <w:pPr>
        <w:pStyle w:val="BodyText"/>
      </w:pPr>
      <w:r>
        <w:t xml:space="preserve">Satellite imagery is increasingly offered as evidence of environmental harm in armed conflict, and a crime of ecocide has been proposed for the Rome Statute. Most satellite assessments, however, compare administrative areas before and after an event and cannot separate one act from the war around it.</w:t>
      </w:r>
    </w:p>
    <w:p>
      <w:pPr>
        <w:pStyle w:val="BodyText"/>
      </w:pPr>
      <w:r>
        <w:t xml:space="preserve">This study takes the destruction of the Kakhovka Dam in June 2023 and separates its three physical pathways: the flood, the drained reservoir and the loss of canal irrigation. It does this with 250 m MODIS data from 2010–2024, treatment defined by physical exposure, and comparisons made inside the war zone. Every analytical choice, including the decision rule for calling a hypothesis supported, was fixed in a public analysis plan before any data were downloaded. A registered revision, committed before its additional data were obtained, addressed problems that the first results exposed.</w:t>
      </w:r>
    </w:p>
    <w:p>
      <w:pPr>
        <w:pStyle w:val="BodyText"/>
      </w:pPr>
      <w:r>
        <w:t xml:space="preserve">The findings are specific:</w:t>
      </w:r>
    </w:p>
    <w:p>
      <w:pPr>
        <w:numPr>
          <w:ilvl w:val="0"/>
          <w:numId w:val="1001"/>
        </w:numPr>
        <w:pStyle w:val="Compact"/>
      </w:pPr>
      <w:r>
        <w:t xml:space="preserve">Flooded land did not lose summer greenness, except for floodplain wetlands.</w:t>
      </w:r>
    </w:p>
    <w:p>
      <w:pPr>
        <w:numPr>
          <w:ilvl w:val="0"/>
          <w:numId w:val="1001"/>
        </w:numPr>
        <w:pStyle w:val="Compact"/>
      </w:pPr>
      <w:r>
        <w:t xml:space="preserve">The apparent decline of canal-irrigated farmland predates the invasion, and did not change after the breach once occupation and conflict intensity are accounted for.</w:t>
      </w:r>
    </w:p>
    <w:p>
      <w:pPr>
        <w:numPr>
          <w:ilvl w:val="0"/>
          <w:numId w:val="1001"/>
        </w:numPr>
        <w:pStyle w:val="Compact"/>
      </w:pPr>
      <w:r>
        <w:t xml:space="preserve">About 1,500 km² of the former reservoir became vegetated within two seasons.</w:t>
      </w:r>
    </w:p>
    <w:p>
      <w:pPr>
        <w:numPr>
          <w:ilvl w:val="0"/>
          <w:numId w:val="1001"/>
        </w:numPr>
        <w:pStyle w:val="Compact"/>
      </w:pPr>
      <w:r>
        <w:t xml:space="preserve">Most of the oblast-wide decline reported by an earlier, administrative-unit version of this study came from land outside all three pathways.</w:t>
      </w:r>
    </w:p>
    <w:p>
      <w:pPr>
        <w:pStyle w:val="FirstParagraph"/>
      </w:pPr>
      <w:r>
        <w:t xml:space="preserve">I believe the paper will interest the journal’s readers because it shows, with fully reproducible code, what satellite evidence can and cannot attribute to a single act of war.</w:t>
      </w:r>
    </w:p>
    <w:p>
      <w:pPr>
        <w:pStyle w:val="BodyText"/>
      </w:pPr>
      <w:r>
        <w:t xml:space="preserve">An earlier version of this work, with a different design and superseded results, was posted on EarthArXiv [preprint DOI]. The manuscript is not under consideration elsewhere. AI tools were used for code writing and review, auditing and language editing, as disclosed in the Acknowledgements.</w:t>
      </w:r>
    </w:p>
    <w:p>
      <w:pPr>
        <w:pStyle w:val="BodyText"/>
      </w:pPr>
      <w:r>
        <w:t xml:space="preserve">Sincerely,</w:t>
      </w:r>
      <w:r>
        <w:t xml:space="preserve"> </w:t>
      </w:r>
      <w:r>
        <w:t xml:space="preserve">Sakshi D. Maske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2026-09-28T13:50:18Z</dcterms:created>
  <dcterms:modified xsi:type="dcterms:W3CDTF">2026-09-28T13:50:18Z</dcterms:modified>
</cp:coreProperties>
</file>

<file path=docProps/custom.xml><?xml version="1.0" encoding="utf-8"?>
<Properties xmlns="http://schemas.openxmlformats.org/officeDocument/2006/custom-properties" xmlns:vt="http://schemas.openxmlformats.org/officeDocument/2006/docPropsVTypes"/>
</file>