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BUSINESS INTELLIGENCE LAB</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EXPERIMENT NO:4</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To perform exploratory data analysis and data visualization using python.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to discover patterns, spot anomalies, test hypotheses, and check assumptions with the help of summary statistics and graphical representations.</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Measures of central tendency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central tendency (also referred to as measures of center or central location) is a summary measure that attempts to describe a whole set of data with a single value that represents the middle or center of its distribution.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measures of central tendency:</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The mode is the most commonly occurring value in a distribution.</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The median is the middle value in distribution when the values are arranged in ascending or descending order.</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The mean is the sum of the value of each observation in a dataset divided by the number of observations. This is also known as the arithmetic average.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measure describes a different indication of the typical or central value in the distribution.</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Dispersion: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Dispersion of data used to understand the distribution of data. It helps to understand the variation of data and provides a piece of information about the distribution data. Range, IOR, Variance, and Standard Deviation are the methods used to understand the distribution data.</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is the easiest dispersion of data or measure of variability. To calculate a range, prepare all the values in ascending order, then subtract the lowest from the highest value.</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 Highest_value  – Lowest_value</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is a range (the boundary between the first and second quartile) and Q3 (the boundary between the third and fourth quartile).IQR is preferred over a range as, like a range, IQR is not influenced by outliers. IQR is used to measure variability by splitting a data set into four equal quartile</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is a simple measure of dispersion. Variance measures how far each number in the dataset is from the mean. To compute variance first, calculate the mean and squared deviations from a mean.</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a square root of the variance to get original values. A low standard deviation indicates data points close to the mean.</w:t>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explains how one or more variables are related to each other. These variables can be input data features that have been used to forecast our target variable.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is a statistical technique that determines how one variable moves/changes in relation to the other variable. It gives us an idea about the degree of the relationship between the two variables. It’s a bi-variate analysis measure that describes the association between different variables. In most businesses, it’s useful to express one subject in terms of its relationship with others.</w:t>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visualization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 graphical representation of information and data. By using visual elements like charts, graphs, and maps, data visualization tools provide an accessible way to see and understand trends, outliers, and patterns in data. This blog on data visualization techniques will help you understand detailed techniques and benefits.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Data Visualization Techniques: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maps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Treemaps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Cloud/Network diagram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Descriptive analysis - statistical measures of data (Central tendency)</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12700" l="12700" r="12700" t="1270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90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12700" l="12700" r="12700" t="1270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12700" l="12700" r="12700" t="1270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88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Descriptive analysis - statistical measures of data (Dispersion)</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2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Interquartile range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12700" l="12700" r="12700" t="1270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deviation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12700" l="12700" r="12700" t="127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Correlation between attributes</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Pearson's correlation coefficient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12700" l="12700" r="12700" t="1270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3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33900"/>
            <wp:effectExtent b="12700" l="12700" r="12700" t="1270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53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rank correlation coefficient</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12700" l="12700" r="12700" t="1270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12700" l="12700" r="12700" t="127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9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tau correlation coefficient</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12700" l="12700" r="12700" t="127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9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12700" l="12700" r="12700" t="1270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458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Visualization techniques </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graph</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0299"/>
            <wp:effectExtent b="12700" l="12700" r="12700" t="1270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6402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bar graph, we understand that with the increasing value of the reading score, the value of the writing score is also increasing.</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Scatter plot</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09913"/>
            <wp:effectExtent b="12700" l="12700" r="12700" t="1270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109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scatter plot, the points are arranged in a linear pattern, which may indicate a strong positive or negative correlation between the writing score and reading score.</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6907"/>
            <wp:effectExtent b="12700" l="12700" r="12700" t="12700"/>
            <wp:docPr id="11" name="image7.png"/>
            <a:graphic>
              <a:graphicData uri="http://schemas.openxmlformats.org/drawingml/2006/picture">
                <pic:pic>
                  <pic:nvPicPr>
                    <pic:cNvPr id="0" name="image7.png"/>
                    <pic:cNvPicPr preferRelativeResize="0"/>
                  </pic:nvPicPr>
                  <pic:blipFill>
                    <a:blip r:embed="rId20"/>
                    <a:srcRect b="0" l="0" r="0" t="17479"/>
                    <a:stretch>
                      <a:fillRect/>
                    </a:stretch>
                  </pic:blipFill>
                  <pic:spPr>
                    <a:xfrm>
                      <a:off x="0" y="0"/>
                      <a:ext cx="5943600" cy="12969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01683"/>
            <wp:effectExtent b="12700" l="12700" r="12700" t="1270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3016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points outside of the whiskers of box plot  are considered outliers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7510"/>
            <wp:effectExtent b="12700" l="12700" r="12700" t="1270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8475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12700" l="12700" r="12700" t="12700"/>
            <wp:docPr id="1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60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of the writing score and the reading score is a skewed histogram . It is negatively skewed as the tail increases towards left.</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Heatmap</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12700" l="12700" r="12700" t="12700"/>
            <wp:docPr id="1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60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heatmap, we understand that reading scores and writing scores are highly correlated with each other.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In this experiment, we have performed exploratory data analysis and data visualization using python.</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line="276" w:lineRule="auto"/>
      <w:rPr/>
    </w:pPr>
    <w:r w:rsidDel="00000000" w:rsidR="00000000" w:rsidRPr="00000000">
      <w:rPr>
        <w:rtl w:val="0"/>
      </w:rPr>
      <w:t xml:space="preserve"> EXP_04                                                     BI LAB                                  48_ NANDANA NAIR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