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Challenges in IOT analytics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volume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with time - different local time, clock synchronization, day light saving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with space - different locations, political considerations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challenges - inaccurate data, historical data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value concerns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on the entire IOT network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identification and resolution of problems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asset utilization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optimization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Expansion into new markets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customer experience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product development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DATA ANALYTICS LIFECYCLE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Types of Data visualization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Comparative Plots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Statistical Plots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Topology Plots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Spatial Plots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Dashboarding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refresh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Strategies to organize Data for IoT Analytics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Analytics Dataset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Data Lakes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Retention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Types of data iot analytics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Diagnostic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analytics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Prescriptive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1673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167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