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A854B" w14:textId="77777777" w:rsidR="001907C0" w:rsidRDefault="00B9075D">
      <w:r>
        <w:rPr>
          <w:b/>
          <w:color w:val="102344"/>
          <w:sz w:val="42"/>
        </w:rPr>
        <w:t>Infrastructure Project Delay &amp; Cost Overrun Agent</w:t>
      </w:r>
    </w:p>
    <w:p w14:paraId="2EB87B31" w14:textId="77777777" w:rsidR="001907C0" w:rsidRDefault="00B9075D">
      <w:r>
        <w:rPr>
          <w:color w:val="7250AA"/>
          <w:sz w:val="20"/>
        </w:rPr>
        <w:t>AI-powered project risk, root-cause and cost intelligence for large infrastructure programs</w:t>
      </w:r>
    </w:p>
    <w:tbl>
      <w:tblPr>
        <w:tblW w:w="0" w:type="auto"/>
        <w:jc w:val="center"/>
        <w:tblLook w:val="04A0" w:firstRow="1" w:lastRow="0" w:firstColumn="1" w:lastColumn="0" w:noHBand="0" w:noVBand="1"/>
      </w:tblPr>
      <w:tblGrid>
        <w:gridCol w:w="10224"/>
      </w:tblGrid>
      <w:tr w:rsidR="001907C0" w14:paraId="6C3E57BC" w14:textId="77777777">
        <w:trPr>
          <w:jc w:val="center"/>
        </w:trPr>
        <w:tc>
          <w:tcPr>
            <w:tcW w:w="10224" w:type="dxa"/>
            <w:tcBorders>
              <w:top w:val="single" w:sz="5" w:space="0" w:color="D6DFEB"/>
              <w:left w:val="single" w:sz="5" w:space="0" w:color="D6DFEB"/>
              <w:bottom w:val="single" w:sz="5" w:space="0" w:color="D6DFEB"/>
              <w:right w:val="single" w:sz="5" w:space="0" w:color="D6DFEB"/>
            </w:tcBorders>
            <w:shd w:val="clear" w:color="auto" w:fill="F4EFF9"/>
          </w:tcPr>
          <w:p w14:paraId="765AE4AF" w14:textId="77777777" w:rsidR="001907C0" w:rsidRDefault="00B9075D">
            <w:r>
              <w:rPr>
                <w:b/>
                <w:color w:val="7250AA"/>
                <w:sz w:val="18"/>
              </w:rPr>
              <w:t>AI USE CASE</w:t>
            </w:r>
          </w:p>
          <w:p w14:paraId="1803FE45" w14:textId="77777777" w:rsidR="001907C0" w:rsidRDefault="00B9075D">
            <w:r>
              <w:rPr>
                <w:color w:val="4A556B"/>
                <w:sz w:val="17"/>
              </w:rPr>
              <w:t>Continuously analyzes project progress, schedules, procurement, contracts, payments, site reports and contractor performance to identify emerging delays, cost overruns and execution risks before they become expensive.</w:t>
            </w:r>
          </w:p>
        </w:tc>
      </w:tr>
    </w:tbl>
    <w:p w14:paraId="2EB8A9C1" w14:textId="77777777" w:rsidR="001907C0" w:rsidRDefault="001907C0">
      <w:pPr>
        <w:spacing w:after="20"/>
      </w:pPr>
    </w:p>
    <w:p w14:paraId="7D551EA9" w14:textId="77777777" w:rsidR="001907C0" w:rsidRDefault="00B9075D">
      <w:pPr>
        <w:spacing w:before="180" w:after="80"/>
      </w:pPr>
      <w:r>
        <w:rPr>
          <w:b/>
          <w:color w:val="183B67"/>
          <w:sz w:val="26"/>
        </w:rPr>
        <w:t>1. Problem Statement</w:t>
      </w:r>
    </w:p>
    <w:p w14:paraId="45863986" w14:textId="77777777" w:rsidR="001907C0" w:rsidRDefault="00B9075D">
      <w:pPr>
        <w:pStyle w:val="ListBullet"/>
        <w:spacing w:after="40"/>
      </w:pPr>
      <w:r>
        <w:rPr>
          <w:color w:val="4A556B"/>
          <w:sz w:val="17"/>
        </w:rPr>
        <w:t>Large infrastructure projects involve contractors, vendors, consultants, government departments and thousands of interdependent activities.</w:t>
      </w:r>
    </w:p>
    <w:p w14:paraId="49599488" w14:textId="77777777" w:rsidR="001907C0" w:rsidRDefault="00B9075D">
      <w:pPr>
        <w:pStyle w:val="ListBullet"/>
        <w:spacing w:after="40"/>
      </w:pPr>
      <w:r>
        <w:rPr>
          <w:color w:val="4A556B"/>
          <w:sz w:val="17"/>
        </w:rPr>
        <w:t>Project information is fragmented across ERP, project-management systems, procurement platforms, contracts, site reports, schedules and payment systems.</w:t>
      </w:r>
    </w:p>
    <w:p w14:paraId="0CA410DB" w14:textId="77777777" w:rsidR="001907C0" w:rsidRDefault="00B9075D">
      <w:pPr>
        <w:pStyle w:val="ListBullet"/>
        <w:spacing w:after="40"/>
      </w:pPr>
      <w:r>
        <w:rPr>
          <w:color w:val="4A556B"/>
          <w:sz w:val="17"/>
        </w:rPr>
        <w:t>Delays are often discovered only after milestones have already slipped.</w:t>
      </w:r>
    </w:p>
    <w:p w14:paraId="0D27672C" w14:textId="77777777" w:rsidR="001907C0" w:rsidRDefault="00B9075D">
      <w:pPr>
        <w:pStyle w:val="ListBullet"/>
        <w:spacing w:after="40"/>
      </w:pPr>
      <w:r>
        <w:rPr>
          <w:color w:val="4A556B"/>
          <w:sz w:val="17"/>
        </w:rPr>
        <w:t>Cost overruns can originate from procurement delays, change orders, contractor performance, resource bottlenecks, rework or schedule slippage.</w:t>
      </w:r>
    </w:p>
    <w:p w14:paraId="3BADACA5" w14:textId="77777777" w:rsidR="001907C0" w:rsidRDefault="00B9075D">
      <w:pPr>
        <w:pStyle w:val="ListBullet"/>
        <w:spacing w:after="40"/>
      </w:pPr>
      <w:r>
        <w:rPr>
          <w:color w:val="4A556B"/>
          <w:sz w:val="17"/>
        </w:rPr>
        <w:t>Senior leadership often lacks one evidence-backed view connecting a schedule problem to its operational and financial root cause.</w:t>
      </w:r>
    </w:p>
    <w:p w14:paraId="10C50F7C" w14:textId="77777777" w:rsidR="001907C0" w:rsidRDefault="00B9075D">
      <w:pPr>
        <w:spacing w:before="180" w:after="80"/>
      </w:pPr>
      <w:r>
        <w:rPr>
          <w:b/>
          <w:color w:val="183B67"/>
          <w:sz w:val="26"/>
        </w:rPr>
        <w:t>2. Business Problem</w:t>
      </w:r>
    </w:p>
    <w:p w14:paraId="72EFBDD8" w14:textId="77777777" w:rsidR="001907C0" w:rsidRDefault="00B9075D">
      <w:pPr>
        <w:spacing w:after="80" w:line="264" w:lineRule="auto"/>
      </w:pPr>
      <w:r>
        <w:rPr>
          <w:color w:val="4A556B"/>
          <w:sz w:val="18"/>
        </w:rPr>
        <w:t>The core business problem is not simply that projects get delayed. Organizations often discover the reasons and financial consequences too late. A delay in one activity can trigger downstream delays, idle resources, contractual exposure, additional procurement costs and loss of project margin. The agent detects these signals early and converts fragmented project data into an actionable risk narrative.</w:t>
      </w:r>
    </w:p>
    <w:tbl>
      <w:tblPr>
        <w:tblW w:w="0" w:type="auto"/>
        <w:jc w:val="center"/>
        <w:tblLook w:val="04A0" w:firstRow="1" w:lastRow="0" w:firstColumn="1" w:lastColumn="0" w:noHBand="0" w:noVBand="1"/>
      </w:tblPr>
      <w:tblGrid>
        <w:gridCol w:w="10224"/>
      </w:tblGrid>
      <w:tr w:rsidR="001907C0" w14:paraId="1D0F2B73" w14:textId="77777777">
        <w:trPr>
          <w:jc w:val="center"/>
        </w:trPr>
        <w:tc>
          <w:tcPr>
            <w:tcW w:w="10224" w:type="dxa"/>
            <w:tcBorders>
              <w:top w:val="single" w:sz="5" w:space="0" w:color="D6DFEB"/>
              <w:left w:val="single" w:sz="5" w:space="0" w:color="D6DFEB"/>
              <w:bottom w:val="single" w:sz="5" w:space="0" w:color="D6DFEB"/>
              <w:right w:val="single" w:sz="5" w:space="0" w:color="D6DFEB"/>
            </w:tcBorders>
            <w:shd w:val="clear" w:color="auto" w:fill="FFFAF0"/>
          </w:tcPr>
          <w:p w14:paraId="7252F157" w14:textId="77777777" w:rsidR="001907C0" w:rsidRDefault="00B9075D">
            <w:r>
              <w:rPr>
                <w:b/>
                <w:color w:val="7250AA"/>
                <w:sz w:val="18"/>
              </w:rPr>
              <w:t>EXECUTIVE QUESTION</w:t>
            </w:r>
          </w:p>
          <w:p w14:paraId="730189C4" w14:textId="77777777" w:rsidR="001907C0" w:rsidRDefault="00B9075D">
            <w:r>
              <w:rPr>
                <w:color w:val="4A556B"/>
                <w:sz w:val="17"/>
              </w:rPr>
              <w:t>“Which activities are at risk, why are they slipping, what will the delay cost us, and what should we do now?”</w:t>
            </w:r>
          </w:p>
        </w:tc>
      </w:tr>
    </w:tbl>
    <w:p w14:paraId="6A02AF5F" w14:textId="77777777" w:rsidR="001907C0" w:rsidRDefault="001907C0">
      <w:pPr>
        <w:spacing w:after="20"/>
      </w:pPr>
    </w:p>
    <w:p w14:paraId="040EAC21" w14:textId="77777777" w:rsidR="001907C0" w:rsidRDefault="00B9075D">
      <w:pPr>
        <w:spacing w:before="180" w:after="80"/>
      </w:pPr>
      <w:r>
        <w:rPr>
          <w:b/>
          <w:color w:val="183B67"/>
          <w:sz w:val="26"/>
        </w:rPr>
        <w:t>3. Solution</w:t>
      </w:r>
    </w:p>
    <w:p w14:paraId="41EE0E95" w14:textId="77777777" w:rsidR="001907C0" w:rsidRDefault="00B9075D">
      <w:pPr>
        <w:spacing w:after="80" w:line="264" w:lineRule="auto"/>
      </w:pPr>
      <w:r>
        <w:rPr>
          <w:color w:val="4A556B"/>
          <w:sz w:val="18"/>
        </w:rPr>
        <w:t>Receive project data and investigate schedule variance, procurement bottlenecks, contract obligations, cost movements and contractor performance. Correlate evidence across these domains, identify probable root causes, forecast schedule and financial impact, generate corrective strategies, validate supporting evidence and route decisions to authorized project leadership.</w:t>
      </w:r>
    </w:p>
    <w:p w14:paraId="64B2447E" w14:textId="77777777" w:rsidR="001907C0" w:rsidRDefault="00B9075D">
      <w:pPr>
        <w:spacing w:before="180" w:after="80"/>
      </w:pPr>
      <w:r>
        <w:rPr>
          <w:b/>
          <w:color w:val="183B67"/>
          <w:sz w:val="26"/>
        </w:rPr>
        <w:t>4. Expected Output</w:t>
      </w:r>
    </w:p>
    <w:p w14:paraId="25FA71DD" w14:textId="77777777" w:rsidR="001907C0" w:rsidRDefault="00B9075D">
      <w:pPr>
        <w:pStyle w:val="ListBullet"/>
        <w:spacing w:after="40"/>
      </w:pPr>
      <w:r>
        <w:rPr>
          <w:color w:val="4A556B"/>
          <w:sz w:val="17"/>
        </w:rPr>
        <w:t>Delayed or high-risk activities with severity and confidence.</w:t>
      </w:r>
    </w:p>
    <w:p w14:paraId="13EEE7D5" w14:textId="77777777" w:rsidR="001907C0" w:rsidRDefault="00B9075D">
      <w:pPr>
        <w:pStyle w:val="ListBullet"/>
        <w:spacing w:after="40"/>
      </w:pPr>
      <w:r>
        <w:rPr>
          <w:color w:val="4A556B"/>
          <w:sz w:val="17"/>
        </w:rPr>
        <w:t>Probable root cause supported by evidence from multiple systems.</w:t>
      </w:r>
    </w:p>
    <w:p w14:paraId="4F4080DD" w14:textId="77777777" w:rsidR="001907C0" w:rsidRDefault="00B9075D">
      <w:pPr>
        <w:pStyle w:val="ListBullet"/>
        <w:spacing w:after="40"/>
      </w:pPr>
      <w:r>
        <w:rPr>
          <w:color w:val="4A556B"/>
          <w:sz w:val="17"/>
        </w:rPr>
        <w:t>Impact on critical-path activities and expected project completion.</w:t>
      </w:r>
    </w:p>
    <w:p w14:paraId="789C77BF" w14:textId="77777777" w:rsidR="001907C0" w:rsidRDefault="00B9075D">
      <w:pPr>
        <w:pStyle w:val="ListBullet"/>
        <w:spacing w:after="40"/>
      </w:pPr>
      <w:r>
        <w:rPr>
          <w:color w:val="4A556B"/>
          <w:sz w:val="17"/>
        </w:rPr>
        <w:t>Estimated financial exposure and cost-overrun drivers.</w:t>
      </w:r>
    </w:p>
    <w:p w14:paraId="25AAD5F2" w14:textId="77777777" w:rsidR="001907C0" w:rsidRDefault="00B9075D">
      <w:pPr>
        <w:pStyle w:val="ListBullet"/>
        <w:spacing w:after="40"/>
      </w:pPr>
      <w:r>
        <w:rPr>
          <w:color w:val="4A556B"/>
          <w:sz w:val="17"/>
        </w:rPr>
        <w:t>Relevant contract clauses, procurement records and contractor patterns.</w:t>
      </w:r>
    </w:p>
    <w:p w14:paraId="25DE6C9F" w14:textId="77777777" w:rsidR="001907C0" w:rsidRDefault="00B9075D">
      <w:pPr>
        <w:pStyle w:val="ListBullet"/>
        <w:spacing w:after="40"/>
      </w:pPr>
      <w:r>
        <w:rPr>
          <w:color w:val="4A556B"/>
          <w:sz w:val="17"/>
        </w:rPr>
        <w:t>Evidence-backed corrective actions and escalation options.</w:t>
      </w:r>
    </w:p>
    <w:p w14:paraId="60F9E315" w14:textId="77777777" w:rsidR="001907C0" w:rsidRDefault="00B9075D">
      <w:r>
        <w:br w:type="page"/>
      </w:r>
    </w:p>
    <w:p w14:paraId="6D8975DE" w14:textId="77777777" w:rsidR="001907C0" w:rsidRDefault="00B9075D">
      <w:r>
        <w:rPr>
          <w:b/>
          <w:color w:val="102344"/>
          <w:sz w:val="42"/>
        </w:rPr>
        <w:lastRenderedPageBreak/>
        <w:t>Agent Architecture</w:t>
      </w:r>
    </w:p>
    <w:p w14:paraId="4D7BAC4D" w14:textId="77777777" w:rsidR="001907C0" w:rsidRDefault="00B9075D">
      <w:r>
        <w:rPr>
          <w:color w:val="7250AA"/>
          <w:sz w:val="20"/>
        </w:rPr>
        <w:t>Specialized agents investigate different dimensions of project risk</w:t>
      </w:r>
    </w:p>
    <w:p w14:paraId="1C8DDA1F" w14:textId="77777777" w:rsidR="001907C0" w:rsidRDefault="00B9075D">
      <w:pPr>
        <w:spacing w:before="180" w:after="80"/>
      </w:pPr>
      <w:r>
        <w:rPr>
          <w:b/>
          <w:color w:val="183B67"/>
          <w:sz w:val="26"/>
        </w:rPr>
        <w:t>5. Agent Layer</w:t>
      </w:r>
    </w:p>
    <w:tbl>
      <w:tblPr>
        <w:tblW w:w="0" w:type="auto"/>
        <w:jc w:val="center"/>
        <w:tblLook w:val="04A0" w:firstRow="1" w:lastRow="0" w:firstColumn="1" w:lastColumn="0" w:noHBand="0" w:noVBand="1"/>
      </w:tblPr>
      <w:tblGrid>
        <w:gridCol w:w="5112"/>
        <w:gridCol w:w="5112"/>
      </w:tblGrid>
      <w:tr w:rsidR="001907C0" w14:paraId="79954B40" w14:textId="77777777">
        <w:trPr>
          <w:jc w:val="center"/>
        </w:trPr>
        <w:tc>
          <w:tcPr>
            <w:tcW w:w="5112" w:type="dxa"/>
            <w:tcBorders>
              <w:top w:val="single" w:sz="5" w:space="0" w:color="D6DFEB"/>
              <w:left w:val="single" w:sz="5" w:space="0" w:color="D6DFEB"/>
              <w:bottom w:val="single" w:sz="5" w:space="0" w:color="D6DFEB"/>
              <w:right w:val="single" w:sz="5" w:space="0" w:color="D6DFEB"/>
            </w:tcBorders>
            <w:shd w:val="clear" w:color="auto" w:fill="0D1C2D"/>
          </w:tcPr>
          <w:p w14:paraId="08F58A11" w14:textId="77777777" w:rsidR="001907C0" w:rsidRDefault="00B9075D">
            <w:r>
              <w:rPr>
                <w:b/>
                <w:color w:val="FFFFFF"/>
                <w:sz w:val="17"/>
              </w:rPr>
              <w:t>Agent</w:t>
            </w:r>
          </w:p>
        </w:tc>
        <w:tc>
          <w:tcPr>
            <w:tcW w:w="5112" w:type="dxa"/>
            <w:tcBorders>
              <w:top w:val="single" w:sz="5" w:space="0" w:color="D6DFEB"/>
              <w:left w:val="single" w:sz="5" w:space="0" w:color="D6DFEB"/>
              <w:bottom w:val="single" w:sz="5" w:space="0" w:color="D6DFEB"/>
              <w:right w:val="single" w:sz="5" w:space="0" w:color="D6DFEB"/>
            </w:tcBorders>
            <w:shd w:val="clear" w:color="auto" w:fill="0D1C2D"/>
          </w:tcPr>
          <w:p w14:paraId="4EBE677F" w14:textId="77777777" w:rsidR="001907C0" w:rsidRDefault="00B9075D">
            <w:r>
              <w:rPr>
                <w:b/>
                <w:color w:val="FFFFFF"/>
                <w:sz w:val="17"/>
              </w:rPr>
              <w:t>Primary Responsibility</w:t>
            </w:r>
          </w:p>
        </w:tc>
      </w:tr>
      <w:tr w:rsidR="001907C0" w14:paraId="3870B7C4" w14:textId="77777777">
        <w:trPr>
          <w:jc w:val="center"/>
        </w:trPr>
        <w:tc>
          <w:tcPr>
            <w:tcW w:w="5112" w:type="dxa"/>
            <w:tcBorders>
              <w:top w:val="single" w:sz="5" w:space="0" w:color="D6DFEB"/>
              <w:left w:val="single" w:sz="5" w:space="0" w:color="D6DFEB"/>
              <w:bottom w:val="single" w:sz="5" w:space="0" w:color="D6DFEB"/>
              <w:right w:val="single" w:sz="5" w:space="0" w:color="D6DFEB"/>
            </w:tcBorders>
          </w:tcPr>
          <w:p w14:paraId="6F74C777" w14:textId="77777777" w:rsidR="001907C0" w:rsidRDefault="00B9075D">
            <w:r>
              <w:rPr>
                <w:b/>
                <w:color w:val="102344"/>
                <w:sz w:val="16"/>
              </w:rPr>
              <w:t>Project Risk Supervisor</w:t>
            </w:r>
          </w:p>
        </w:tc>
        <w:tc>
          <w:tcPr>
            <w:tcW w:w="5112" w:type="dxa"/>
            <w:tcBorders>
              <w:top w:val="single" w:sz="5" w:space="0" w:color="D6DFEB"/>
              <w:left w:val="single" w:sz="5" w:space="0" w:color="D6DFEB"/>
              <w:bottom w:val="single" w:sz="5" w:space="0" w:color="D6DFEB"/>
              <w:right w:val="single" w:sz="5" w:space="0" w:color="D6DFEB"/>
            </w:tcBorders>
          </w:tcPr>
          <w:p w14:paraId="6E150BC0" w14:textId="77777777" w:rsidR="001907C0" w:rsidRDefault="00B9075D">
            <w:r>
              <w:rPr>
                <w:color w:val="4A556B"/>
                <w:sz w:val="16"/>
              </w:rPr>
              <w:t>Orchestrates the investigation, selects specialist agents, correlates findings, determines probable root cause, synthesizes risk and coordinates the final recommendation.</w:t>
            </w:r>
          </w:p>
        </w:tc>
      </w:tr>
      <w:tr w:rsidR="001907C0" w14:paraId="792AFA91" w14:textId="77777777">
        <w:trPr>
          <w:jc w:val="center"/>
        </w:trPr>
        <w:tc>
          <w:tcPr>
            <w:tcW w:w="5112" w:type="dxa"/>
            <w:tcBorders>
              <w:top w:val="single" w:sz="5" w:space="0" w:color="D6DFEB"/>
              <w:left w:val="single" w:sz="5" w:space="0" w:color="D6DFEB"/>
              <w:bottom w:val="single" w:sz="5" w:space="0" w:color="D6DFEB"/>
              <w:right w:val="single" w:sz="5" w:space="0" w:color="D6DFEB"/>
            </w:tcBorders>
          </w:tcPr>
          <w:p w14:paraId="5746AD26" w14:textId="77777777" w:rsidR="001907C0" w:rsidRDefault="00B9075D">
            <w:r>
              <w:rPr>
                <w:b/>
                <w:color w:val="102344"/>
                <w:sz w:val="16"/>
              </w:rPr>
              <w:t>Schedule Agent</w:t>
            </w:r>
          </w:p>
        </w:tc>
        <w:tc>
          <w:tcPr>
            <w:tcW w:w="5112" w:type="dxa"/>
            <w:tcBorders>
              <w:top w:val="single" w:sz="5" w:space="0" w:color="D6DFEB"/>
              <w:left w:val="single" w:sz="5" w:space="0" w:color="D6DFEB"/>
              <w:bottom w:val="single" w:sz="5" w:space="0" w:color="D6DFEB"/>
              <w:right w:val="single" w:sz="5" w:space="0" w:color="D6DFEB"/>
            </w:tcBorders>
          </w:tcPr>
          <w:p w14:paraId="4D6D6791" w14:textId="77777777" w:rsidR="001907C0" w:rsidRDefault="00B9075D">
            <w:r>
              <w:rPr>
                <w:color w:val="4A556B"/>
                <w:sz w:val="16"/>
              </w:rPr>
              <w:t>Analyzes planned vs actual progress, milestones, dependencies, critical path, schedule variance and downstream project impact.</w:t>
            </w:r>
          </w:p>
        </w:tc>
      </w:tr>
      <w:tr w:rsidR="001907C0" w14:paraId="3BC2ABCC" w14:textId="77777777">
        <w:trPr>
          <w:jc w:val="center"/>
        </w:trPr>
        <w:tc>
          <w:tcPr>
            <w:tcW w:w="5112" w:type="dxa"/>
            <w:tcBorders>
              <w:top w:val="single" w:sz="5" w:space="0" w:color="D6DFEB"/>
              <w:left w:val="single" w:sz="5" w:space="0" w:color="D6DFEB"/>
              <w:bottom w:val="single" w:sz="5" w:space="0" w:color="D6DFEB"/>
              <w:right w:val="single" w:sz="5" w:space="0" w:color="D6DFEB"/>
            </w:tcBorders>
          </w:tcPr>
          <w:p w14:paraId="00DB852A" w14:textId="77777777" w:rsidR="001907C0" w:rsidRDefault="00B9075D">
            <w:r>
              <w:rPr>
                <w:b/>
                <w:color w:val="102344"/>
                <w:sz w:val="16"/>
              </w:rPr>
              <w:t>Procurement Agent</w:t>
            </w:r>
          </w:p>
        </w:tc>
        <w:tc>
          <w:tcPr>
            <w:tcW w:w="5112" w:type="dxa"/>
            <w:tcBorders>
              <w:top w:val="single" w:sz="5" w:space="0" w:color="D6DFEB"/>
              <w:left w:val="single" w:sz="5" w:space="0" w:color="D6DFEB"/>
              <w:bottom w:val="single" w:sz="5" w:space="0" w:color="D6DFEB"/>
              <w:right w:val="single" w:sz="5" w:space="0" w:color="D6DFEB"/>
            </w:tcBorders>
          </w:tcPr>
          <w:p w14:paraId="009052BC" w14:textId="77777777" w:rsidR="001907C0" w:rsidRDefault="00B9075D">
            <w:r>
              <w:rPr>
                <w:color w:val="4A556B"/>
                <w:sz w:val="16"/>
              </w:rPr>
              <w:t>Checks purchase orders, material availability, supplier commitments, delivery dates, inventory and lead times to identify material-related bottlenecks.</w:t>
            </w:r>
          </w:p>
        </w:tc>
      </w:tr>
      <w:tr w:rsidR="001907C0" w14:paraId="40A327CC" w14:textId="77777777">
        <w:trPr>
          <w:jc w:val="center"/>
        </w:trPr>
        <w:tc>
          <w:tcPr>
            <w:tcW w:w="5112" w:type="dxa"/>
            <w:tcBorders>
              <w:top w:val="single" w:sz="5" w:space="0" w:color="D6DFEB"/>
              <w:left w:val="single" w:sz="5" w:space="0" w:color="D6DFEB"/>
              <w:bottom w:val="single" w:sz="5" w:space="0" w:color="D6DFEB"/>
              <w:right w:val="single" w:sz="5" w:space="0" w:color="D6DFEB"/>
            </w:tcBorders>
          </w:tcPr>
          <w:p w14:paraId="36458A9C" w14:textId="77777777" w:rsidR="001907C0" w:rsidRDefault="00B9075D">
            <w:r>
              <w:rPr>
                <w:b/>
                <w:color w:val="102344"/>
                <w:sz w:val="16"/>
              </w:rPr>
              <w:t>Contract Agent</w:t>
            </w:r>
          </w:p>
        </w:tc>
        <w:tc>
          <w:tcPr>
            <w:tcW w:w="5112" w:type="dxa"/>
            <w:tcBorders>
              <w:top w:val="single" w:sz="5" w:space="0" w:color="D6DFEB"/>
              <w:left w:val="single" w:sz="5" w:space="0" w:color="D6DFEB"/>
              <w:bottom w:val="single" w:sz="5" w:space="0" w:color="D6DFEB"/>
              <w:right w:val="single" w:sz="5" w:space="0" w:color="D6DFEB"/>
            </w:tcBorders>
          </w:tcPr>
          <w:p w14:paraId="24E35791" w14:textId="77777777" w:rsidR="001907C0" w:rsidRDefault="00B9075D">
            <w:r>
              <w:rPr>
                <w:color w:val="4A556B"/>
                <w:sz w:val="16"/>
              </w:rPr>
              <w:t>Uses RAG over contracts, tender documents and commercial policies to verify obligations, delivery terms, change-order rules, penalties and contractual exposure.</w:t>
            </w:r>
          </w:p>
        </w:tc>
      </w:tr>
      <w:tr w:rsidR="001907C0" w14:paraId="1C94044C" w14:textId="77777777">
        <w:trPr>
          <w:jc w:val="center"/>
        </w:trPr>
        <w:tc>
          <w:tcPr>
            <w:tcW w:w="5112" w:type="dxa"/>
            <w:tcBorders>
              <w:top w:val="single" w:sz="5" w:space="0" w:color="D6DFEB"/>
              <w:left w:val="single" w:sz="5" w:space="0" w:color="D6DFEB"/>
              <w:bottom w:val="single" w:sz="5" w:space="0" w:color="D6DFEB"/>
              <w:right w:val="single" w:sz="5" w:space="0" w:color="D6DFEB"/>
            </w:tcBorders>
          </w:tcPr>
          <w:p w14:paraId="4E3A99F2" w14:textId="77777777" w:rsidR="001907C0" w:rsidRDefault="00B9075D">
            <w:r>
              <w:rPr>
                <w:b/>
                <w:color w:val="102344"/>
                <w:sz w:val="16"/>
              </w:rPr>
              <w:t>Cost Agent</w:t>
            </w:r>
          </w:p>
        </w:tc>
        <w:tc>
          <w:tcPr>
            <w:tcW w:w="5112" w:type="dxa"/>
            <w:tcBorders>
              <w:top w:val="single" w:sz="5" w:space="0" w:color="D6DFEB"/>
              <w:left w:val="single" w:sz="5" w:space="0" w:color="D6DFEB"/>
              <w:bottom w:val="single" w:sz="5" w:space="0" w:color="D6DFEB"/>
              <w:right w:val="single" w:sz="5" w:space="0" w:color="D6DFEB"/>
            </w:tcBorders>
          </w:tcPr>
          <w:p w14:paraId="3930B4C7" w14:textId="77777777" w:rsidR="001907C0" w:rsidRDefault="00B9075D">
            <w:r>
              <w:rPr>
                <w:color w:val="4A556B"/>
                <w:sz w:val="16"/>
              </w:rPr>
              <w:t>Analyzes budget vs actual spend, payments, material/labour costs, change orders and delay costs to estimate current and potential financial impact.</w:t>
            </w:r>
          </w:p>
        </w:tc>
      </w:tr>
      <w:tr w:rsidR="001907C0" w14:paraId="6C989C4D" w14:textId="77777777">
        <w:trPr>
          <w:jc w:val="center"/>
        </w:trPr>
        <w:tc>
          <w:tcPr>
            <w:tcW w:w="5112" w:type="dxa"/>
            <w:tcBorders>
              <w:top w:val="single" w:sz="5" w:space="0" w:color="D6DFEB"/>
              <w:left w:val="single" w:sz="5" w:space="0" w:color="D6DFEB"/>
              <w:bottom w:val="single" w:sz="5" w:space="0" w:color="D6DFEB"/>
              <w:right w:val="single" w:sz="5" w:space="0" w:color="D6DFEB"/>
            </w:tcBorders>
          </w:tcPr>
          <w:p w14:paraId="75758E74" w14:textId="77777777" w:rsidR="001907C0" w:rsidRDefault="00B9075D">
            <w:r>
              <w:rPr>
                <w:b/>
                <w:color w:val="102344"/>
                <w:sz w:val="16"/>
              </w:rPr>
              <w:t>Contractor Agent</w:t>
            </w:r>
          </w:p>
        </w:tc>
        <w:tc>
          <w:tcPr>
            <w:tcW w:w="5112" w:type="dxa"/>
            <w:tcBorders>
              <w:top w:val="single" w:sz="5" w:space="0" w:color="D6DFEB"/>
              <w:left w:val="single" w:sz="5" w:space="0" w:color="D6DFEB"/>
              <w:bottom w:val="single" w:sz="5" w:space="0" w:color="D6DFEB"/>
              <w:right w:val="single" w:sz="5" w:space="0" w:color="D6DFEB"/>
            </w:tcBorders>
          </w:tcPr>
          <w:p w14:paraId="39E6F6D8" w14:textId="77777777" w:rsidR="001907C0" w:rsidRDefault="00B9075D">
            <w:r>
              <w:rPr>
                <w:color w:val="4A556B"/>
                <w:sz w:val="16"/>
              </w:rPr>
              <w:t>Evaluates contractor performance, missed milestones, SLA compliance, historical delays, quality issues, resources and recurring supplier risk.</w:t>
            </w:r>
          </w:p>
        </w:tc>
      </w:tr>
    </w:tbl>
    <w:p w14:paraId="35B11C07" w14:textId="77777777" w:rsidR="001907C0" w:rsidRDefault="00B9075D">
      <w:pPr>
        <w:spacing w:before="180" w:after="80"/>
      </w:pPr>
      <w:r>
        <w:rPr>
          <w:b/>
          <w:color w:val="183B67"/>
          <w:sz w:val="26"/>
        </w:rPr>
        <w:t>6. How the Agents Work Together</w:t>
      </w:r>
    </w:p>
    <w:p w14:paraId="668CFB4D" w14:textId="77777777" w:rsidR="001907C0" w:rsidRDefault="00B9075D">
      <w:pPr>
        <w:spacing w:after="80" w:line="264" w:lineRule="auto"/>
      </w:pPr>
      <w:r>
        <w:rPr>
          <w:color w:val="4A556B"/>
          <w:sz w:val="18"/>
        </w:rPr>
        <w:t>Example investigation: Electrical installation is 17 days behind schedule.</w:t>
      </w:r>
    </w:p>
    <w:p w14:paraId="4991B31B" w14:textId="77777777" w:rsidR="001907C0" w:rsidRDefault="00B9075D">
      <w:pPr>
        <w:pStyle w:val="ListBullet"/>
        <w:spacing w:after="40"/>
      </w:pPr>
      <w:r>
        <w:rPr>
          <w:color w:val="4A556B"/>
          <w:sz w:val="17"/>
        </w:rPr>
        <w:t>Schedule Agent: identifies the 17-day delay and confirms the activity is on the critical path.</w:t>
      </w:r>
    </w:p>
    <w:p w14:paraId="7590EF7E" w14:textId="77777777" w:rsidR="001907C0" w:rsidRDefault="00B9075D">
      <w:pPr>
        <w:pStyle w:val="ListBullet"/>
        <w:spacing w:after="40"/>
      </w:pPr>
      <w:r>
        <w:rPr>
          <w:color w:val="4A556B"/>
          <w:sz w:val="17"/>
        </w:rPr>
        <w:t>Procurement Agent: finds that a required high-voltage switchgear shipment is 18 days late.</w:t>
      </w:r>
    </w:p>
    <w:p w14:paraId="5440A910" w14:textId="77777777" w:rsidR="001907C0" w:rsidRDefault="00B9075D">
      <w:pPr>
        <w:pStyle w:val="ListBullet"/>
        <w:spacing w:after="40"/>
      </w:pPr>
      <w:r>
        <w:rPr>
          <w:color w:val="4A556B"/>
          <w:sz w:val="17"/>
        </w:rPr>
        <w:t>Contract Agent: retrieves the supplier delivery obligation and identifies the relevant late-delivery provision.</w:t>
      </w:r>
    </w:p>
    <w:p w14:paraId="4FA2A10E" w14:textId="77777777" w:rsidR="001907C0" w:rsidRDefault="00B9075D">
      <w:pPr>
        <w:pStyle w:val="ListBullet"/>
        <w:spacing w:after="40"/>
      </w:pPr>
      <w:r>
        <w:rPr>
          <w:color w:val="4A556B"/>
          <w:sz w:val="17"/>
        </w:rPr>
        <w:t>Contractor Agent: detects repeated delivery failures by the same supplier on previous projects.</w:t>
      </w:r>
    </w:p>
    <w:p w14:paraId="2D09728D" w14:textId="77777777" w:rsidR="001907C0" w:rsidRDefault="00B9075D">
      <w:pPr>
        <w:pStyle w:val="ListBullet"/>
        <w:spacing w:after="40"/>
      </w:pPr>
      <w:r>
        <w:rPr>
          <w:color w:val="4A556B"/>
          <w:sz w:val="17"/>
        </w:rPr>
        <w:t>Cost Agent: estimates the additional project exposure created by the delay.</w:t>
      </w:r>
    </w:p>
    <w:p w14:paraId="5E7C443E" w14:textId="77777777" w:rsidR="001907C0" w:rsidRDefault="00B9075D">
      <w:pPr>
        <w:pStyle w:val="ListBullet"/>
        <w:spacing w:after="40"/>
      </w:pPr>
      <w:r>
        <w:rPr>
          <w:color w:val="4A556B"/>
          <w:sz w:val="17"/>
        </w:rPr>
        <w:t>Project Risk Supervisor: combines the evidence and produces a root-cause narrative and recovery strategy.</w:t>
      </w:r>
    </w:p>
    <w:tbl>
      <w:tblPr>
        <w:tblW w:w="0" w:type="auto"/>
        <w:jc w:val="center"/>
        <w:tblLook w:val="04A0" w:firstRow="1" w:lastRow="0" w:firstColumn="1" w:lastColumn="0" w:noHBand="0" w:noVBand="1"/>
      </w:tblPr>
      <w:tblGrid>
        <w:gridCol w:w="10224"/>
      </w:tblGrid>
      <w:tr w:rsidR="001907C0" w14:paraId="452E7C1A" w14:textId="77777777">
        <w:trPr>
          <w:jc w:val="center"/>
        </w:trPr>
        <w:tc>
          <w:tcPr>
            <w:tcW w:w="10224" w:type="dxa"/>
            <w:tcBorders>
              <w:top w:val="single" w:sz="5" w:space="0" w:color="D6DFEB"/>
              <w:left w:val="single" w:sz="5" w:space="0" w:color="D6DFEB"/>
              <w:bottom w:val="single" w:sz="5" w:space="0" w:color="D6DFEB"/>
              <w:right w:val="single" w:sz="5" w:space="0" w:color="D6DFEB"/>
            </w:tcBorders>
            <w:shd w:val="clear" w:color="auto" w:fill="F0F8F2"/>
          </w:tcPr>
          <w:p w14:paraId="6052E121" w14:textId="77777777" w:rsidR="001907C0" w:rsidRDefault="00B9075D">
            <w:r>
              <w:rPr>
                <w:b/>
                <w:color w:val="7250AA"/>
                <w:sz w:val="18"/>
              </w:rPr>
              <w:t>EXAMPLE AI OUTPUT</w:t>
            </w:r>
          </w:p>
          <w:p w14:paraId="66938A53" w14:textId="77777777" w:rsidR="001907C0" w:rsidRDefault="00B9075D">
            <w:r>
              <w:rPr>
                <w:color w:val="4A556B"/>
                <w:sz w:val="17"/>
              </w:rPr>
              <w:t>Root cause: supplier delivery failure. Schedule impact: 17 days. Critical path: Yes. Contract exposure: Potential. Supplier risk: High. Estimated cost impact: ₹2.79 Cr. Recommended action: escalate supplier, evaluate alternate sourcing, re-sequence dependent activities and review applicable contractual remedies.</w:t>
            </w:r>
          </w:p>
        </w:tc>
      </w:tr>
    </w:tbl>
    <w:p w14:paraId="235BC524" w14:textId="77777777" w:rsidR="001907C0" w:rsidRDefault="001907C0">
      <w:pPr>
        <w:spacing w:after="20"/>
      </w:pPr>
    </w:p>
    <w:p w14:paraId="12A6CBCD" w14:textId="77777777" w:rsidR="001907C0" w:rsidRDefault="00B9075D">
      <w:pPr>
        <w:spacing w:before="180" w:after="80"/>
      </w:pPr>
      <w:r>
        <w:rPr>
          <w:b/>
          <w:color w:val="183B67"/>
          <w:sz w:val="26"/>
        </w:rPr>
        <w:t>7. RAG Layer</w:t>
      </w:r>
    </w:p>
    <w:p w14:paraId="23E52328" w14:textId="77777777" w:rsidR="001907C0" w:rsidRDefault="00B9075D">
      <w:pPr>
        <w:spacing w:after="80" w:line="264" w:lineRule="auto"/>
      </w:pPr>
      <w:r>
        <w:rPr>
          <w:color w:val="4A556B"/>
          <w:sz w:val="18"/>
        </w:rPr>
        <w:t>RAG should be used for unstructured and policy-heavy information where the agent needs traceable evidence.</w:t>
      </w:r>
    </w:p>
    <w:p w14:paraId="28828B67" w14:textId="77777777" w:rsidR="001907C0" w:rsidRDefault="00B9075D">
      <w:pPr>
        <w:pStyle w:val="ListBullet"/>
        <w:spacing w:after="40"/>
      </w:pPr>
      <w:r>
        <w:rPr>
          <w:color w:val="4A556B"/>
          <w:sz w:val="17"/>
        </w:rPr>
        <w:t>Contracts and subcontract agreements</w:t>
      </w:r>
    </w:p>
    <w:p w14:paraId="332AA80A" w14:textId="77777777" w:rsidR="001907C0" w:rsidRDefault="00B9075D">
      <w:pPr>
        <w:pStyle w:val="ListBullet"/>
        <w:spacing w:after="40"/>
      </w:pPr>
      <w:r>
        <w:rPr>
          <w:color w:val="4A556B"/>
          <w:sz w:val="17"/>
        </w:rPr>
        <w:t>Tender documents and work orders</w:t>
      </w:r>
    </w:p>
    <w:p w14:paraId="067D5543" w14:textId="77777777" w:rsidR="001907C0" w:rsidRDefault="00B9075D">
      <w:pPr>
        <w:pStyle w:val="ListBullet"/>
        <w:spacing w:after="40"/>
      </w:pPr>
      <w:r>
        <w:rPr>
          <w:color w:val="4A556B"/>
          <w:sz w:val="17"/>
        </w:rPr>
        <w:t>Project specifications</w:t>
      </w:r>
    </w:p>
    <w:p w14:paraId="113CA5B6" w14:textId="77777777" w:rsidR="001907C0" w:rsidRDefault="00B9075D">
      <w:pPr>
        <w:pStyle w:val="ListBullet"/>
        <w:spacing w:after="40"/>
      </w:pPr>
      <w:r>
        <w:rPr>
          <w:color w:val="4A556B"/>
          <w:sz w:val="17"/>
        </w:rPr>
        <w:t>Change-order policies</w:t>
      </w:r>
    </w:p>
    <w:p w14:paraId="5EADFDB3" w14:textId="77777777" w:rsidR="001907C0" w:rsidRDefault="00B9075D">
      <w:pPr>
        <w:pStyle w:val="ListBullet"/>
        <w:spacing w:after="40"/>
      </w:pPr>
      <w:r>
        <w:rPr>
          <w:color w:val="4A556B"/>
          <w:sz w:val="17"/>
        </w:rPr>
        <w:t>Payment terms and commercial clauses</w:t>
      </w:r>
    </w:p>
    <w:p w14:paraId="53EA99E9" w14:textId="77777777" w:rsidR="001907C0" w:rsidRDefault="00B9075D">
      <w:pPr>
        <w:pStyle w:val="ListBullet"/>
        <w:spacing w:after="40"/>
      </w:pPr>
      <w:r>
        <w:rPr>
          <w:color w:val="4A556B"/>
          <w:sz w:val="17"/>
        </w:rPr>
        <w:t>Procurement policies and SOPs</w:t>
      </w:r>
    </w:p>
    <w:p w14:paraId="6A1F7056" w14:textId="77777777" w:rsidR="001907C0" w:rsidRDefault="00B9075D">
      <w:pPr>
        <w:pStyle w:val="ListBullet"/>
        <w:spacing w:after="40"/>
      </w:pPr>
      <w:r>
        <w:rPr>
          <w:color w:val="4A556B"/>
          <w:sz w:val="17"/>
        </w:rPr>
        <w:lastRenderedPageBreak/>
        <w:t>Site reports and historical project reports</w:t>
      </w:r>
    </w:p>
    <w:p w14:paraId="53257446" w14:textId="77777777" w:rsidR="001907C0" w:rsidRDefault="00B9075D">
      <w:pPr>
        <w:pStyle w:val="ListBullet"/>
        <w:spacing w:after="40"/>
      </w:pPr>
      <w:r>
        <w:rPr>
          <w:color w:val="4A556B"/>
          <w:sz w:val="17"/>
        </w:rPr>
        <w:t>Vendor/Supplier agreements</w:t>
      </w:r>
    </w:p>
    <w:p w14:paraId="5EEA83E2" w14:textId="77777777" w:rsidR="001907C0" w:rsidRDefault="00B9075D">
      <w:pPr>
        <w:spacing w:after="80" w:line="264" w:lineRule="auto"/>
      </w:pPr>
      <w:r>
        <w:rPr>
          <w:color w:val="4A556B"/>
          <w:sz w:val="18"/>
        </w:rPr>
        <w:t>Transactional project information such as schedules, purchase orders, payments, invoices and contractor records should remain in governed databases or APIs rather than being treated as the RAG source of truth.</w:t>
      </w:r>
    </w:p>
    <w:p w14:paraId="65D268DD" w14:textId="79DE2CFA" w:rsidR="001907C0" w:rsidRDefault="001907C0"/>
    <w:p w14:paraId="0524717B" w14:textId="5AC4F88F" w:rsidR="00A237EE" w:rsidRDefault="00A237EE" w:rsidP="00A237EE">
      <w:pPr>
        <w:spacing w:before="180" w:after="80"/>
        <w:rPr>
          <w:b/>
          <w:color w:val="183B67"/>
          <w:sz w:val="26"/>
        </w:rPr>
      </w:pPr>
      <w:r>
        <w:rPr>
          <w:b/>
          <w:color w:val="183B67"/>
          <w:sz w:val="26"/>
        </w:rPr>
        <w:t>8</w:t>
      </w:r>
      <w:r>
        <w:rPr>
          <w:b/>
          <w:color w:val="183B67"/>
          <w:sz w:val="26"/>
        </w:rPr>
        <w:t xml:space="preserve">. </w:t>
      </w:r>
      <w:r>
        <w:rPr>
          <w:b/>
          <w:color w:val="183B67"/>
          <w:sz w:val="26"/>
        </w:rPr>
        <w:t>Frameworks Required</w:t>
      </w:r>
    </w:p>
    <w:p w14:paraId="458892D0" w14:textId="04BAD716" w:rsidR="00A237EE" w:rsidRDefault="00A237EE" w:rsidP="00A237EE">
      <w:pPr>
        <w:spacing w:before="180" w:after="80"/>
      </w:pPr>
      <w:r>
        <w:rPr>
          <w:noProof/>
        </w:rPr>
        <w:drawing>
          <wp:inline distT="0" distB="0" distL="0" distR="0" wp14:anchorId="0EDA2AF5" wp14:editId="6171C6B5">
            <wp:extent cx="6492240" cy="1787525"/>
            <wp:effectExtent l="0" t="0" r="3810" b="3175"/>
            <wp:docPr id="40796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60176" name=""/>
                    <pic:cNvPicPr/>
                  </pic:nvPicPr>
                  <pic:blipFill>
                    <a:blip r:embed="rId11"/>
                    <a:stretch>
                      <a:fillRect/>
                    </a:stretch>
                  </pic:blipFill>
                  <pic:spPr>
                    <a:xfrm>
                      <a:off x="0" y="0"/>
                      <a:ext cx="6492240" cy="1787525"/>
                    </a:xfrm>
                    <a:prstGeom prst="rect">
                      <a:avLst/>
                    </a:prstGeom>
                  </pic:spPr>
                </pic:pic>
              </a:graphicData>
            </a:graphic>
          </wp:inline>
        </w:drawing>
      </w:r>
    </w:p>
    <w:sectPr w:rsidR="00A237EE" w:rsidSect="00034616">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4AFE9" w14:textId="77777777" w:rsidR="00B9075D" w:rsidRDefault="00B9075D">
      <w:pPr>
        <w:spacing w:after="0" w:line="240" w:lineRule="auto"/>
      </w:pPr>
      <w:r>
        <w:separator/>
      </w:r>
    </w:p>
  </w:endnote>
  <w:endnote w:type="continuationSeparator" w:id="0">
    <w:p w14:paraId="595DF954" w14:textId="77777777" w:rsidR="00B9075D" w:rsidRDefault="00B90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7913" w14:textId="77777777" w:rsidR="001907C0" w:rsidRDefault="00B9075D">
    <w:pPr>
      <w:pStyle w:val="Footer"/>
      <w:jc w:val="center"/>
    </w:pPr>
    <w:r>
      <w:rPr>
        <w:color w:val="8A94A4"/>
        <w:sz w:val="14"/>
      </w:rPr>
      <w:t>Infrastructure Project Delay &amp; Cost Overrun Agent | AI Use Case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A1953" w14:textId="77777777" w:rsidR="00B9075D" w:rsidRDefault="00B9075D">
      <w:pPr>
        <w:spacing w:after="0" w:line="240" w:lineRule="auto"/>
      </w:pPr>
      <w:r>
        <w:separator/>
      </w:r>
    </w:p>
  </w:footnote>
  <w:footnote w:type="continuationSeparator" w:id="0">
    <w:p w14:paraId="696257C7" w14:textId="77777777" w:rsidR="00B9075D" w:rsidRDefault="00B907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8254468">
    <w:abstractNumId w:val="8"/>
  </w:num>
  <w:num w:numId="2" w16cid:durableId="1356032662">
    <w:abstractNumId w:val="6"/>
  </w:num>
  <w:num w:numId="3" w16cid:durableId="2049989162">
    <w:abstractNumId w:val="5"/>
  </w:num>
  <w:num w:numId="4" w16cid:durableId="1812474939">
    <w:abstractNumId w:val="4"/>
  </w:num>
  <w:num w:numId="5" w16cid:durableId="1612780138">
    <w:abstractNumId w:val="7"/>
  </w:num>
  <w:num w:numId="6" w16cid:durableId="29456212">
    <w:abstractNumId w:val="3"/>
  </w:num>
  <w:num w:numId="7" w16cid:durableId="2079475863">
    <w:abstractNumId w:val="2"/>
  </w:num>
  <w:num w:numId="8" w16cid:durableId="1234241627">
    <w:abstractNumId w:val="1"/>
  </w:num>
  <w:num w:numId="9" w16cid:durableId="424959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7C0"/>
    <w:rsid w:val="0029639D"/>
    <w:rsid w:val="00326F90"/>
    <w:rsid w:val="00472DA4"/>
    <w:rsid w:val="00A237EE"/>
    <w:rsid w:val="00AA1D8D"/>
    <w:rsid w:val="00B47730"/>
    <w:rsid w:val="00B9075D"/>
    <w:rsid w:val="00CB0664"/>
    <w:rsid w:val="00E623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DDD45B"/>
  <w14:defaultImageDpi w14:val="300"/>
  <w15:docId w15:val="{0E54E70F-72B8-445B-AEA6-0E36090FA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7E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EB9614812CC8E49996ADF3E6936ABB3" ma:contentTypeVersion="10" ma:contentTypeDescription="Create a new document." ma:contentTypeScope="" ma:versionID="6261709ee6234c81db538bf184bda031">
  <xsd:schema xmlns:xsd="http://www.w3.org/2001/XMLSchema" xmlns:xs="http://www.w3.org/2001/XMLSchema" xmlns:p="http://schemas.microsoft.com/office/2006/metadata/properties" xmlns:ns3="287e7c91-d180-4a88-9e98-d7d3d48af9c1" targetNamespace="http://schemas.microsoft.com/office/2006/metadata/properties" ma:root="true" ma:fieldsID="bca34a2c8028a83c74587624d33e63ac" ns3:_="">
    <xsd:import namespace="287e7c91-d180-4a88-9e98-d7d3d48af9c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7e7c91-d180-4a88-9e98-d7d3d48af9c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87e7c91-d180-4a88-9e98-d7d3d48af9c1"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A19A774-BE94-4486-A5C5-D05B780A60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7e7c91-d180-4a88-9e98-d7d3d48af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1DB44F-4094-4DDB-8552-8E05804B0C89}">
  <ds:schemaRefs>
    <ds:schemaRef ds:uri="http://schemas.microsoft.com/sharepoint/v3/contenttype/forms"/>
  </ds:schemaRefs>
</ds:datastoreItem>
</file>

<file path=customXml/itemProps4.xml><?xml version="1.0" encoding="utf-8"?>
<ds:datastoreItem xmlns:ds="http://schemas.openxmlformats.org/officeDocument/2006/customXml" ds:itemID="{7AFE1511-C61E-449F-B6A5-1FA000A77511}">
  <ds:schemaRefs>
    <ds:schemaRef ds:uri="http://schemas.microsoft.com/office/2006/metadata/properties"/>
    <ds:schemaRef ds:uri="http://schemas.microsoft.com/office/infopath/2007/PartnerControls"/>
    <ds:schemaRef ds:uri="287e7c91-d180-4a88-9e98-d7d3d48af9c1"/>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767</Words>
  <Characters>4376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Suriya Krishnan</cp:lastModifiedBy>
  <cp:revision>2</cp:revision>
  <dcterms:created xsi:type="dcterms:W3CDTF">2026-08-18T08:15:00Z</dcterms:created>
  <dcterms:modified xsi:type="dcterms:W3CDTF">2026-08-18T08:15:00Z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0x0101009EB9614812CC8E49996ADF3E6936ABB3</vt:lpwstr>
  </property>
</Properties>
</file>