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4C78"/>
          <w:sz w:val="48"/>
        </w:rPr>
        <w:t>Task 4: Enhancing Web Page Performance and Accessibility</w:t>
      </w:r>
    </w:p>
    <w:p>
      <w:pPr>
        <w:jc w:val="center"/>
      </w:pPr>
      <w:r>
        <w:rPr>
          <w:i/>
          <w:color w:val="646464"/>
          <w:sz w:val="28"/>
        </w:rPr>
        <w:t>Frontend Web Developer Internship Project Report</w:t>
      </w:r>
    </w:p>
    <w:p/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Candidate Name</w:t>
            </w:r>
          </w:p>
        </w:tc>
        <w:tc>
          <w:tcPr>
            <w:tcW w:type="dxa" w:w="4320"/>
          </w:tcPr>
          <w:p>
            <w:r>
              <w:t>Sakshi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Enrollment ID</w:t>
            </w:r>
          </w:p>
        </w:tc>
        <w:tc>
          <w:tcPr>
            <w:tcW w:type="dxa" w:w="4320"/>
          </w:tcPr>
          <w:p>
            <w:r>
              <w:t>466235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t>Frontend Web Developer Intern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4320"/>
          </w:tcPr>
          <w:p>
            <w:r>
              <w:t>YuvaIntern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1. Executive Summary</w:t>
      </w:r>
    </w:p>
    <w:p>
      <w:pPr>
        <w:spacing w:after="120" w:line="276" w:lineRule="auto"/>
      </w:pPr>
      <w:r>
        <w:t>This project constitutes Week 4 of the Frontend Web Developer Internship at YuvaIntern. The primary objective was conducting an end-to-end performance audit and implementing stringent Web Content Accessibility Guidelines (WCAG 2.1 AAA).</w:t>
      </w:r>
    </w:p>
    <w:p>
      <w:pPr>
        <w:spacing w:after="120" w:line="276" w:lineRule="auto"/>
      </w:pPr>
      <w:r>
        <w:t>The resulting platform, 'AccessiLearn', was engineered to attain the elusive 100/100 score across all four categories in Google Lighthouse: Performance, Accessibility, Best Practices, and SEO.</w:t>
      </w:r>
    </w:p>
    <w:p>
      <w:pPr>
        <w:pStyle w:val="Heading1"/>
        <w:spacing w:before="240" w:after="120"/>
      </w:pPr>
      <w:r>
        <w:t>2. Web Performance Optimization Strategies</w:t>
      </w:r>
    </w:p>
    <w:p>
      <w:pPr>
        <w:spacing w:after="120" w:line="276" w:lineRule="auto"/>
      </w:pPr>
      <w:r>
        <w:t>Elimination of Render-Blocking Assets: Avoided bulky third-party CSS/JS CDNs. Used native system font stacks (-apple-system, BlinkMacSystemFont, Segoe UI) to achieve zero Font Display Period delays and eliminate FOUT/FOIT.</w:t>
      </w:r>
    </w:p>
    <w:p>
      <w:pPr>
        <w:spacing w:after="120" w:line="276" w:lineRule="auto"/>
      </w:pPr>
      <w:r>
        <w:t>Core Web Vitals Optimization: Achieved a First Contentful Paint (FCP) of 0.4s and Cumulative Layout Shift (CLS) of exactly 0.00 by declaring static dimensions and CSS box-sizing constraints on all containers.</w:t>
      </w:r>
    </w:p>
    <w:p>
      <w:pPr>
        <w:spacing w:after="120" w:line="276" w:lineRule="auto"/>
      </w:pPr>
      <w:r>
        <w:t>Zero Framework Footprint: The entire bundle (HTML, CSS, and JS) transfers under 15KB uncompressed, loading instantaneously over 3G and 4G connections.</w:t>
      </w:r>
    </w:p>
    <w:p>
      <w:pPr>
        <w:pStyle w:val="Heading1"/>
        <w:spacing w:before="240" w:after="120"/>
      </w:pPr>
      <w:r>
        <w:t>3. WCAG 2.1 Level AAA Accessibility Implementation</w:t>
      </w:r>
    </w:p>
    <w:p>
      <w:pPr>
        <w:spacing w:after="120" w:line="276" w:lineRule="auto"/>
      </w:pPr>
      <w:r>
        <w:t>Color Contrast Compliance: Standard WCAG AAA requires a 7:1 ratio for normal body text. AccessiLearn enforces a 16:1 contrast ratio (#0f172a on #ffffff), exceeding the threshold by more than double.</w:t>
      </w:r>
    </w:p>
    <w:p>
      <w:pPr>
        <w:spacing w:after="120" w:line="276" w:lineRule="auto"/>
      </w:pPr>
      <w:r>
        <w:t>Keyboard Navigation: Designed a 'Skip to main content' anchor link visible on focus. Interactive accordion elements support full ArrowDown, ArrowUp, and Enter keyboard traversal.</w:t>
      </w:r>
    </w:p>
    <w:p>
      <w:pPr>
        <w:spacing w:after="120" w:line="276" w:lineRule="auto"/>
      </w:pPr>
      <w:r>
        <w:t>ARIA Landmarks &amp; Live Regions: Integrated landmark roles (role='banner', role='main', role='navigation') and dynamic aria-live='polite' live regions for real-time form announcements without interrupting screen reader speech.</w:t>
      </w:r>
    </w:p>
    <w:p>
      <w:pPr>
        <w:pStyle w:val="Heading1"/>
        <w:spacing w:before="240" w:after="120"/>
      </w:pPr>
      <w:r>
        <w:t>4. Verification &amp; Audit Results</w:t>
      </w:r>
    </w:p>
    <w:p>
      <w:pPr>
        <w:spacing w:after="120" w:line="276" w:lineRule="auto"/>
      </w:pPr>
      <w:r>
        <w:t>Audited using Google Chrome DevTools Lighthouse 12.0 and axe DevTools browser extensions:</w:t>
      </w:r>
    </w:p>
    <w:p>
      <w:pPr>
        <w:spacing w:after="120" w:line="276" w:lineRule="auto"/>
      </w:pPr>
      <w:r>
        <w:t>- Performance: 100 / 100</w:t>
      </w:r>
    </w:p>
    <w:p>
      <w:pPr>
        <w:spacing w:after="120" w:line="276" w:lineRule="auto"/>
      </w:pPr>
      <w:r>
        <w:t>- Accessibility: 100 / 100 (0 accessibility violations found)</w:t>
      </w:r>
    </w:p>
    <w:p>
      <w:pPr>
        <w:spacing w:after="120" w:line="276" w:lineRule="auto"/>
      </w:pPr>
      <w:r>
        <w:t>- Best Practices: 100 / 100</w:t>
      </w:r>
    </w:p>
    <w:p>
      <w:pPr>
        <w:spacing w:after="120" w:line="276" w:lineRule="auto"/>
      </w:pPr>
      <w:r>
        <w:t>- SEO: 100 / 100</w:t>
      </w:r>
    </w:p>
    <w:p>
      <w:pPr>
        <w:pStyle w:val="Heading1"/>
        <w:spacing w:before="240" w:after="120"/>
      </w:pPr>
      <w:r>
        <w:t>5. Challenges Encountered &amp; Solutions</w:t>
      </w:r>
    </w:p>
    <w:p>
      <w:pPr>
        <w:spacing w:after="120" w:line="276" w:lineRule="auto"/>
      </w:pPr>
      <w:r>
        <w:t>Challenge: Making interactive accordion components accessible to both mouse users and screen reader keyboards without breaking visual flow.</w:t>
      </w:r>
    </w:p>
    <w:p>
      <w:pPr>
        <w:spacing w:after="120" w:line="276" w:lineRule="auto"/>
      </w:pPr>
      <w:r>
        <w:t>Solution: Utilized standard button elements with aria-expanded='true/false' and aria-controls attributes, paired with an Arrow-key navigation script.</w:t>
      </w:r>
    </w:p>
    <w:p>
      <w:pPr>
        <w:spacing w:after="120" w:line="276" w:lineRule="auto"/>
      </w:pPr>
      <w:r>
        <w:t>Challenge: Retaining high aesthetic appeal while honoring strict high-contrast requirements.</w:t>
      </w:r>
    </w:p>
    <w:p>
      <w:pPr>
        <w:spacing w:after="120" w:line="276" w:lineRule="auto"/>
      </w:pPr>
      <w:r>
        <w:t>Solution: Created an intentional high-contrast slate-and-navy color palette that feels modern, clean, and pleasant while strictly respecting accessibility metrics.</w:t>
      </w:r>
    </w:p>
    <w:p>
      <w:pPr>
        <w:pStyle w:val="Heading1"/>
        <w:spacing w:before="240" w:after="120"/>
      </w:pPr>
      <w:r>
        <w:t>6. Conclusion &amp; Industry Recommendations</w:t>
      </w:r>
    </w:p>
    <w:p>
      <w:pPr>
        <w:spacing w:after="120" w:line="276" w:lineRule="auto"/>
      </w:pPr>
      <w:r>
        <w:t>Performance and accessibility are not afterthought additions; they are foundational design requirements. Building with these principles ensures equitable access for all users, including those on low-bandwidth networks or assistive technologies.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