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0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700"/>
      </w:tblGrid>
      <w:tr w14:paraId="35815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0" w:type="dxa"/>
            <w:tcBorders>
              <w:top w:val="nil"/>
              <w:left w:val="nil"/>
              <w:bottom w:val="nil"/>
              <w:right w:val="nil"/>
            </w:tcBorders>
            <w:shd w:val="clear" w:color="auto" w:fill="1F3864"/>
            <w:tcMar>
              <w:top w:w="400" w:type="dxa"/>
              <w:left w:w="400" w:type="dxa"/>
              <w:bottom w:w="400" w:type="dxa"/>
              <w:right w:w="400" w:type="dxa"/>
            </w:tcMar>
          </w:tcPr>
          <w:p w14:paraId="126438A5">
            <w:pPr>
              <w:spacing w:before="200" w:after="80"/>
              <w:jc w:val="center"/>
            </w:pPr>
            <w:r>
              <w:rPr>
                <w:rFonts w:ascii="Arial" w:hAnsi="Arial" w:eastAsia="Arial" w:cs="Arial"/>
                <w:b/>
                <w:bCs/>
                <w:color w:val="ADD8E6"/>
                <w:sz w:val="20"/>
                <w:szCs w:val="20"/>
              </w:rPr>
              <w:t>RESEARCH LITERATURE REVIEW</w:t>
            </w:r>
          </w:p>
          <w:p w14:paraId="7BA75A60">
            <w:pPr>
              <w:spacing w:before="80" w:after="80"/>
              <w:jc w:val="center"/>
            </w:pPr>
            <w:r>
              <w:rPr>
                <w:rFonts w:ascii="Arial" w:hAnsi="Arial" w:eastAsia="Arial" w:cs="Arial"/>
                <w:b/>
                <w:bCs/>
                <w:color w:val="FFFFFF"/>
                <w:sz w:val="34"/>
                <w:szCs w:val="34"/>
              </w:rPr>
              <w:t>Robust Backdoor Purification in Smart Grid / ICS Environments</w:t>
            </w:r>
          </w:p>
          <w:p w14:paraId="2B535DC5">
            <w:pPr>
              <w:spacing w:before="80" w:after="80"/>
              <w:jc w:val="center"/>
            </w:pPr>
            <w:r>
              <w:rPr>
                <w:rFonts w:ascii="Arial" w:hAnsi="Arial" w:eastAsia="Arial" w:cs="Arial"/>
                <w:color w:val="ADD8E6"/>
                <w:sz w:val="26"/>
                <w:szCs w:val="26"/>
              </w:rPr>
              <w:t>Under Compromised Auxiliary Data Conditions</w:t>
            </w:r>
          </w:p>
          <w:p w14:paraId="3E7B11F9">
            <w:pPr>
              <w:spacing w:before="80" w:after="80"/>
            </w:pPr>
          </w:p>
          <w:p w14:paraId="7FE9DBA1">
            <w:pPr>
              <w:spacing w:before="60" w:after="60"/>
              <w:jc w:val="center"/>
            </w:pPr>
            <w:r>
              <w:rPr>
                <w:rFonts w:ascii="Arial" w:hAnsi="Arial" w:eastAsia="Arial" w:cs="Arial"/>
                <w:color w:val="B0C4DE"/>
                <w:sz w:val="19"/>
                <w:szCs w:val="19"/>
              </w:rPr>
              <w:t>8 Key Papers + Dataset | Research Gap Analysis | Project Contribution Map</w:t>
            </w:r>
          </w:p>
          <w:p w14:paraId="410C5436">
            <w:pPr>
              <w:spacing w:before="40" w:after="200"/>
              <w:jc w:val="center"/>
            </w:pPr>
            <w:r>
              <w:rPr>
                <w:rFonts w:ascii="Arial" w:hAnsi="Arial" w:eastAsia="Arial" w:cs="Arial"/>
                <w:color w:val="B0C4DE"/>
                <w:sz w:val="18"/>
                <w:szCs w:val="18"/>
              </w:rPr>
              <w:t>May 2026</w:t>
            </w:r>
          </w:p>
        </w:tc>
      </w:tr>
    </w:tbl>
    <w:p w14:paraId="4E377AB7">
      <w:pPr>
        <w:spacing w:before="200" w:after="200"/>
      </w:pPr>
      <w:bookmarkStart w:id="0" w:name="_GoBack"/>
      <w:bookmarkEnd w:id="0"/>
    </w:p>
    <w:p w14:paraId="501EBA48">
      <w:pPr>
        <w:pStyle w:val="2"/>
        <w:pBdr>
          <w:bottom w:val="single" w:color="1A7F6E" w:sz="4" w:space="0"/>
        </w:pBdr>
        <w:shd w:val="clear" w:fill="1F3864"/>
        <w:spacing w:before="360" w:after="200"/>
        <w:ind w:right="200"/>
      </w:pPr>
      <w:r>
        <w:rPr>
          <w:rFonts w:ascii="Arial" w:hAnsi="Arial" w:eastAsia="Arial" w:cs="Arial"/>
          <w:b/>
          <w:bCs/>
          <w:color w:val="FFFFFF"/>
          <w:sz w:val="32"/>
          <w:szCs w:val="32"/>
        </w:rPr>
        <w:t xml:space="preserve">  Project Overview &amp; Research Thesis</w:t>
      </w:r>
    </w:p>
    <w:p w14:paraId="7362CB00">
      <w:pPr>
        <w:spacing w:before="80" w:after="80"/>
      </w:pPr>
    </w:p>
    <w:tbl>
      <w:tblPr>
        <w:tblStyle w:val="9"/>
        <w:tblW w:w="9566" w:type="dxa"/>
        <w:tblInd w:w="-2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566"/>
      </w:tblGrid>
      <w:tr w14:paraId="1DCB8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08" w:type="dxa"/>
            <w:bottom w:w="120" w:type="dxa"/>
            <w:right w:w="108" w:type="dxa"/>
          </w:tblCellMar>
        </w:tblPrEx>
        <w:tc>
          <w:tcPr>
            <w:tcW w:w="9566" w:type="dxa"/>
            <w:tcBorders>
              <w:top w:val="nil"/>
              <w:left w:val="nil"/>
              <w:bottom w:val="nil"/>
              <w:right w:val="nil"/>
            </w:tcBorders>
            <w:shd w:val="clear" w:color="auto" w:fill="D6E4F0"/>
            <w:tcMar>
              <w:top w:w="100" w:type="dxa"/>
              <w:left w:w="200" w:type="dxa"/>
              <w:bottom w:w="100" w:type="dxa"/>
              <w:right w:w="200" w:type="dxa"/>
            </w:tcMar>
          </w:tcPr>
          <w:p w14:paraId="2B1C4ACB">
            <w:pPr>
              <w:spacing w:before="40" w:after="40"/>
            </w:pPr>
            <w:r>
              <w:rPr>
                <w:rFonts w:ascii="Arial" w:hAnsi="Arial" w:eastAsia="Arial" w:cs="Arial"/>
                <w:b/>
                <w:bCs/>
                <w:color w:val="1F3864"/>
                <w:sz w:val="20"/>
                <w:szCs w:val="20"/>
              </w:rPr>
              <w:t>Core Research Thesis</w:t>
            </w:r>
          </w:p>
          <w:p w14:paraId="310C94AF">
            <w:pPr>
              <w:spacing w:before="40" w:after="40"/>
            </w:pPr>
            <w:r>
              <w:rPr>
                <w:rFonts w:ascii="Arial" w:hAnsi="Arial" w:eastAsia="Arial" w:cs="Arial"/>
                <w:color w:val="1F3864"/>
                <w:sz w:val="20"/>
                <w:szCs w:val="20"/>
              </w:rPr>
              <w:t>Existing post-training backdoor purification methods (specifically PBP) assume a 100% clean auxiliary dataset during fine-tuning. We demonstrate that this assumption is fundamentally broken in Smart Grid / ICS environments where the auxiliary data collection process is itself compromised. We propose a physics-aware sanitization layer — leveraging sensor correlation invariants — that cleanses the compromised auxiliary data BEFORE purification executes, making PBP robust in untrusted environments.</w:t>
            </w:r>
          </w:p>
        </w:tc>
      </w:tr>
    </w:tbl>
    <w:p w14:paraId="19AB3234">
      <w:pPr>
        <w:spacing w:before="100" w:after="100"/>
      </w:pPr>
    </w:p>
    <w:p w14:paraId="78DCEB3F">
      <w:pPr>
        <w:pStyle w:val="2"/>
        <w:pBdr>
          <w:bottom w:val="single" w:color="1A7F6E" w:sz="4" w:space="0"/>
        </w:pBdr>
        <w:shd w:val="clear" w:fill="1F3864"/>
        <w:spacing w:before="360" w:after="200"/>
        <w:ind w:left="200" w:right="200"/>
      </w:pPr>
      <w:r>
        <w:rPr>
          <w:rFonts w:ascii="Arial" w:hAnsi="Arial" w:eastAsia="Arial" w:cs="Arial"/>
          <w:b/>
          <w:bCs/>
          <w:color w:val="FFFFFF"/>
          <w:sz w:val="32"/>
          <w:szCs w:val="32"/>
        </w:rPr>
        <w:t xml:space="preserve">  Summary: All 8 Papers at a Glance</w:t>
      </w:r>
    </w:p>
    <w:p w14:paraId="1C9E7AC9">
      <w:pPr>
        <w:spacing w:before="80" w:after="80"/>
      </w:pPr>
    </w:p>
    <w:p w14:paraId="77E02F9F">
      <w:pPr>
        <w:spacing w:before="60" w:after="60"/>
        <w:ind w:left="0"/>
      </w:pPr>
      <w:r>
        <w:rPr>
          <w:rFonts w:ascii="Arial" w:hAnsi="Arial" w:eastAsia="Arial" w:cs="Arial"/>
          <w:color w:val="2C3E50"/>
          <w:sz w:val="20"/>
          <w:szCs w:val="20"/>
        </w:rPr>
        <w:t>The table below maps each paper to its domain, role, and contribution to this project. Green = confirms domain relevance. Red = confirms research gap.</w:t>
      </w:r>
    </w:p>
    <w:p w14:paraId="36F7FC31">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2"/>
        <w:gridCol w:w="1852"/>
        <w:gridCol w:w="1654"/>
        <w:gridCol w:w="1470"/>
        <w:gridCol w:w="1235"/>
        <w:gridCol w:w="1235"/>
        <w:gridCol w:w="1502"/>
      </w:tblGrid>
      <w:tr w14:paraId="256E9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C5D5E8" w:sz="0" w:space="0"/>
              <w:left w:val="single" w:color="C5D5E8" w:sz="0" w:space="0"/>
              <w:bottom w:val="single" w:color="C5D5E8" w:sz="0" w:space="0"/>
              <w:right w:val="single" w:color="C5D5E8" w:sz="0" w:space="0"/>
            </w:tcBorders>
            <w:shd w:val="clear" w:color="auto" w:fill="1F3864"/>
            <w:tcMar>
              <w:top w:w="80" w:type="dxa"/>
              <w:left w:w="120" w:type="dxa"/>
              <w:bottom w:w="80" w:type="dxa"/>
              <w:right w:w="80" w:type="dxa"/>
            </w:tcMar>
          </w:tcPr>
          <w:p w14:paraId="6AA661AC">
            <w:r>
              <w:rPr>
                <w:rFonts w:ascii="Arial" w:hAnsi="Arial" w:eastAsia="Arial" w:cs="Arial"/>
                <w:b/>
                <w:bCs/>
                <w:color w:val="FFFFFF"/>
                <w:sz w:val="17"/>
                <w:szCs w:val="17"/>
              </w:rPr>
              <w:t>#</w:t>
            </w:r>
          </w:p>
        </w:tc>
        <w:tc>
          <w:tcPr>
            <w:tcW w:w="1800" w:type="dxa"/>
            <w:tcBorders>
              <w:top w:val="single" w:color="C5D5E8" w:sz="0" w:space="0"/>
              <w:left w:val="single" w:color="C5D5E8" w:sz="0" w:space="0"/>
              <w:bottom w:val="single" w:color="C5D5E8" w:sz="0" w:space="0"/>
              <w:right w:val="single" w:color="C5D5E8" w:sz="0" w:space="0"/>
            </w:tcBorders>
            <w:shd w:val="clear" w:color="auto" w:fill="1F3864"/>
            <w:tcMar>
              <w:top w:w="80" w:type="dxa"/>
              <w:left w:w="120" w:type="dxa"/>
              <w:bottom w:w="80" w:type="dxa"/>
              <w:right w:w="80" w:type="dxa"/>
            </w:tcMar>
          </w:tcPr>
          <w:p w14:paraId="032D2179">
            <w:r>
              <w:rPr>
                <w:rFonts w:ascii="Arial" w:hAnsi="Arial" w:eastAsia="Arial" w:cs="Arial"/>
                <w:b/>
                <w:bCs/>
                <w:color w:val="FFFFFF"/>
                <w:sz w:val="17"/>
                <w:szCs w:val="17"/>
              </w:rPr>
              <w:t>Paper</w:t>
            </w:r>
          </w:p>
        </w:tc>
        <w:tc>
          <w:tcPr>
            <w:tcW w:w="1000" w:type="dxa"/>
            <w:tcBorders>
              <w:top w:val="single" w:color="C5D5E8" w:sz="0" w:space="0"/>
              <w:left w:val="single" w:color="C5D5E8" w:sz="0" w:space="0"/>
              <w:bottom w:val="single" w:color="C5D5E8" w:sz="0" w:space="0"/>
              <w:right w:val="single" w:color="C5D5E8" w:sz="0" w:space="0"/>
            </w:tcBorders>
            <w:shd w:val="clear" w:color="auto" w:fill="1F3864"/>
            <w:tcMar>
              <w:top w:w="80" w:type="dxa"/>
              <w:left w:w="120" w:type="dxa"/>
              <w:bottom w:w="80" w:type="dxa"/>
              <w:right w:w="80" w:type="dxa"/>
            </w:tcMar>
          </w:tcPr>
          <w:p w14:paraId="6001EE1B">
            <w:r>
              <w:rPr>
                <w:rFonts w:ascii="Arial" w:hAnsi="Arial" w:eastAsia="Arial" w:cs="Arial"/>
                <w:b/>
                <w:bCs/>
                <w:color w:val="FFFFFF"/>
                <w:sz w:val="17"/>
                <w:szCs w:val="17"/>
              </w:rPr>
              <w:t>Domain</w:t>
            </w:r>
          </w:p>
        </w:tc>
        <w:tc>
          <w:tcPr>
            <w:tcW w:w="1300" w:type="dxa"/>
            <w:tcBorders>
              <w:top w:val="single" w:color="C5D5E8" w:sz="0" w:space="0"/>
              <w:left w:val="single" w:color="C5D5E8" w:sz="0" w:space="0"/>
              <w:bottom w:val="single" w:color="C5D5E8" w:sz="0" w:space="0"/>
              <w:right w:val="single" w:color="C5D5E8" w:sz="0" w:space="0"/>
            </w:tcBorders>
            <w:shd w:val="clear" w:color="auto" w:fill="1F3864"/>
            <w:tcMar>
              <w:top w:w="80" w:type="dxa"/>
              <w:left w:w="120" w:type="dxa"/>
              <w:bottom w:w="80" w:type="dxa"/>
              <w:right w:w="80" w:type="dxa"/>
            </w:tcMar>
          </w:tcPr>
          <w:p w14:paraId="371B67C9">
            <w:r>
              <w:rPr>
                <w:rFonts w:ascii="Arial" w:hAnsi="Arial" w:eastAsia="Arial" w:cs="Arial"/>
                <w:b/>
                <w:bCs/>
                <w:color w:val="FFFFFF"/>
                <w:sz w:val="17"/>
                <w:szCs w:val="17"/>
              </w:rPr>
              <w:t>Attack/Defense</w:t>
            </w:r>
          </w:p>
        </w:tc>
        <w:tc>
          <w:tcPr>
            <w:tcW w:w="1200" w:type="dxa"/>
            <w:tcBorders>
              <w:top w:val="single" w:color="C5D5E8" w:sz="0" w:space="0"/>
              <w:left w:val="single" w:color="C5D5E8" w:sz="0" w:space="0"/>
              <w:bottom w:val="single" w:color="C5D5E8" w:sz="0" w:space="0"/>
              <w:right w:val="single" w:color="C5D5E8" w:sz="0" w:space="0"/>
            </w:tcBorders>
            <w:shd w:val="clear" w:color="auto" w:fill="1F3864"/>
            <w:tcMar>
              <w:top w:w="80" w:type="dxa"/>
              <w:left w:w="120" w:type="dxa"/>
              <w:bottom w:w="80" w:type="dxa"/>
              <w:right w:w="80" w:type="dxa"/>
            </w:tcMar>
          </w:tcPr>
          <w:p w14:paraId="3A15A1BC">
            <w:r>
              <w:rPr>
                <w:rFonts w:ascii="Arial" w:hAnsi="Arial" w:eastAsia="Arial" w:cs="Arial"/>
                <w:b/>
                <w:bCs/>
                <w:color w:val="FFFFFF"/>
                <w:sz w:val="17"/>
                <w:szCs w:val="17"/>
              </w:rPr>
              <w:t>Poisoned Aux Data?</w:t>
            </w:r>
          </w:p>
        </w:tc>
        <w:tc>
          <w:tcPr>
            <w:tcW w:w="1200" w:type="dxa"/>
            <w:tcBorders>
              <w:top w:val="single" w:color="C5D5E8" w:sz="0" w:space="0"/>
              <w:left w:val="single" w:color="C5D5E8" w:sz="0" w:space="0"/>
              <w:bottom w:val="single" w:color="C5D5E8" w:sz="0" w:space="0"/>
              <w:right w:val="single" w:color="C5D5E8" w:sz="0" w:space="0"/>
            </w:tcBorders>
            <w:shd w:val="clear" w:color="auto" w:fill="1F3864"/>
            <w:tcMar>
              <w:top w:w="80" w:type="dxa"/>
              <w:left w:w="120" w:type="dxa"/>
              <w:bottom w:w="80" w:type="dxa"/>
              <w:right w:w="80" w:type="dxa"/>
            </w:tcMar>
          </w:tcPr>
          <w:p w14:paraId="7F8A931E">
            <w:r>
              <w:rPr>
                <w:rFonts w:ascii="Arial" w:hAnsi="Arial" w:eastAsia="Arial" w:cs="Arial"/>
                <w:b/>
                <w:bCs/>
                <w:color w:val="FFFFFF"/>
                <w:sz w:val="17"/>
                <w:szCs w:val="17"/>
              </w:rPr>
              <w:t>ICS/Smart Grid?</w:t>
            </w:r>
          </w:p>
        </w:tc>
        <w:tc>
          <w:tcPr>
            <w:tcW w:w="1460" w:type="dxa"/>
            <w:tcBorders>
              <w:top w:val="single" w:color="C5D5E8" w:sz="0" w:space="0"/>
              <w:left w:val="single" w:color="C5D5E8" w:sz="0" w:space="0"/>
              <w:bottom w:val="single" w:color="C5D5E8" w:sz="0" w:space="0"/>
              <w:right w:val="single" w:color="C5D5E8" w:sz="0" w:space="0"/>
            </w:tcBorders>
            <w:shd w:val="clear" w:color="auto" w:fill="1F3864"/>
            <w:tcMar>
              <w:top w:w="80" w:type="dxa"/>
              <w:left w:w="120" w:type="dxa"/>
              <w:bottom w:w="80" w:type="dxa"/>
              <w:right w:w="80" w:type="dxa"/>
            </w:tcMar>
          </w:tcPr>
          <w:p w14:paraId="7FF682B4">
            <w:r>
              <w:rPr>
                <w:rFonts w:ascii="Arial" w:hAnsi="Arial" w:eastAsia="Arial" w:cs="Arial"/>
                <w:b/>
                <w:bCs/>
                <w:color w:val="FFFFFF"/>
                <w:sz w:val="17"/>
                <w:szCs w:val="17"/>
              </w:rPr>
              <w:t>Role in Project</w:t>
            </w:r>
          </w:p>
        </w:tc>
      </w:tr>
      <w:tr w14:paraId="243AA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5D5E8" w:sz="0" w:space="0"/>
              <w:left w:val="single" w:color="C5D5E8" w:sz="0" w:space="0"/>
              <w:bottom w:val="single" w:color="C5D5E8" w:sz="0" w:space="0"/>
              <w:right w:val="single" w:color="C5D5E8" w:sz="0" w:space="0"/>
            </w:tcBorders>
            <w:shd w:val="clear" w:color="auto" w:fill="FFFFFF"/>
            <w:tcMar>
              <w:top w:w="70" w:type="dxa"/>
              <w:left w:w="120" w:type="dxa"/>
              <w:bottom w:w="70" w:type="dxa"/>
              <w:right w:w="80" w:type="dxa"/>
            </w:tcMar>
          </w:tcPr>
          <w:p w14:paraId="2452C469">
            <w:r>
              <w:rPr>
                <w:rFonts w:ascii="Arial" w:hAnsi="Arial" w:eastAsia="Arial" w:cs="Arial"/>
                <w:color w:val="2C3E50"/>
                <w:sz w:val="17"/>
                <w:szCs w:val="17"/>
              </w:rPr>
              <w:t>1</w:t>
            </w:r>
          </w:p>
        </w:tc>
        <w:tc>
          <w:tcPr>
            <w:tcW w:w="1800" w:type="dxa"/>
            <w:tcBorders>
              <w:top w:val="single" w:color="C5D5E8" w:sz="0" w:space="0"/>
              <w:left w:val="single" w:color="C5D5E8" w:sz="0" w:space="0"/>
              <w:bottom w:val="single" w:color="C5D5E8" w:sz="0" w:space="0"/>
              <w:right w:val="single" w:color="C5D5E8" w:sz="0" w:space="0"/>
            </w:tcBorders>
            <w:shd w:val="clear" w:color="auto" w:fill="FFFFFF"/>
            <w:tcMar>
              <w:top w:w="70" w:type="dxa"/>
              <w:left w:w="120" w:type="dxa"/>
              <w:bottom w:w="70" w:type="dxa"/>
              <w:right w:w="80" w:type="dxa"/>
            </w:tcMar>
          </w:tcPr>
          <w:p w14:paraId="7566E4E6">
            <w:r>
              <w:rPr>
                <w:rFonts w:ascii="Arial" w:hAnsi="Arial" w:eastAsia="Arial" w:cs="Arial"/>
                <w:color w:val="2C3E50"/>
                <w:sz w:val="17"/>
                <w:szCs w:val="17"/>
              </w:rPr>
              <w:t>PBP (NDSS 2025)</w:t>
            </w:r>
          </w:p>
        </w:tc>
        <w:tc>
          <w:tcPr>
            <w:tcW w:w="1000" w:type="dxa"/>
            <w:tcBorders>
              <w:top w:val="single" w:color="C5D5E8" w:sz="0" w:space="0"/>
              <w:left w:val="single" w:color="C5D5E8" w:sz="0" w:space="0"/>
              <w:bottom w:val="single" w:color="C5D5E8" w:sz="0" w:space="0"/>
              <w:right w:val="single" w:color="C5D5E8" w:sz="0" w:space="0"/>
            </w:tcBorders>
            <w:shd w:val="clear" w:color="auto" w:fill="FFFFFF"/>
            <w:tcMar>
              <w:top w:w="70" w:type="dxa"/>
              <w:left w:w="120" w:type="dxa"/>
              <w:bottom w:w="70" w:type="dxa"/>
              <w:right w:w="80" w:type="dxa"/>
            </w:tcMar>
          </w:tcPr>
          <w:p w14:paraId="0DFEF4C2">
            <w:r>
              <w:rPr>
                <w:rFonts w:ascii="Arial" w:hAnsi="Arial" w:eastAsia="Arial" w:cs="Arial"/>
                <w:color w:val="2C3E50"/>
                <w:sz w:val="17"/>
                <w:szCs w:val="17"/>
              </w:rPr>
              <w:t>Malware</w:t>
            </w:r>
          </w:p>
        </w:tc>
        <w:tc>
          <w:tcPr>
            <w:tcW w:w="1300" w:type="dxa"/>
            <w:tcBorders>
              <w:top w:val="single" w:color="C5D5E8" w:sz="0" w:space="0"/>
              <w:left w:val="single" w:color="C5D5E8" w:sz="0" w:space="0"/>
              <w:bottom w:val="single" w:color="C5D5E8" w:sz="0" w:space="0"/>
              <w:right w:val="single" w:color="C5D5E8" w:sz="0" w:space="0"/>
            </w:tcBorders>
            <w:shd w:val="clear" w:color="auto" w:fill="FFFFFF"/>
            <w:tcMar>
              <w:top w:w="70" w:type="dxa"/>
              <w:left w:w="120" w:type="dxa"/>
              <w:bottom w:w="70" w:type="dxa"/>
              <w:right w:w="80" w:type="dxa"/>
            </w:tcMar>
          </w:tcPr>
          <w:p w14:paraId="34D75EF4">
            <w:r>
              <w:rPr>
                <w:rFonts w:ascii="Arial" w:hAnsi="Arial" w:eastAsia="Arial" w:cs="Arial"/>
                <w:color w:val="2C3E50"/>
                <w:sz w:val="17"/>
                <w:szCs w:val="17"/>
              </w:rPr>
              <w:t>Defense (Purification)</w:t>
            </w:r>
          </w:p>
        </w:tc>
        <w:tc>
          <w:tcPr>
            <w:tcW w:w="1200" w:type="dxa"/>
            <w:tcBorders>
              <w:top w:val="single" w:color="C5D5E8" w:sz="0" w:space="0"/>
              <w:left w:val="single" w:color="C5D5E8" w:sz="0" w:space="0"/>
              <w:bottom w:val="single" w:color="C5D5E8" w:sz="0" w:space="0"/>
              <w:right w:val="single" w:color="C5D5E8" w:sz="0" w:space="0"/>
            </w:tcBorders>
            <w:shd w:val="clear" w:color="auto" w:fill="FADBD8"/>
            <w:tcMar>
              <w:top w:w="70" w:type="dxa"/>
              <w:left w:w="120" w:type="dxa"/>
              <w:bottom w:w="70" w:type="dxa"/>
              <w:right w:w="80" w:type="dxa"/>
            </w:tcMar>
          </w:tcPr>
          <w:p w14:paraId="0D609810">
            <w:r>
              <w:rPr>
                <w:rFonts w:ascii="Arial" w:hAnsi="Arial" w:eastAsia="Arial" w:cs="Arial"/>
                <w:color w:val="2C3E50"/>
                <w:sz w:val="17"/>
                <w:szCs w:val="17"/>
              </w:rPr>
              <w:t>No (Gap)</w:t>
            </w:r>
          </w:p>
        </w:tc>
        <w:tc>
          <w:tcPr>
            <w:tcW w:w="1200" w:type="dxa"/>
            <w:tcBorders>
              <w:top w:val="single" w:color="C5D5E8" w:sz="0" w:space="0"/>
              <w:left w:val="single" w:color="C5D5E8" w:sz="0" w:space="0"/>
              <w:bottom w:val="single" w:color="C5D5E8" w:sz="0" w:space="0"/>
              <w:right w:val="single" w:color="C5D5E8" w:sz="0" w:space="0"/>
            </w:tcBorders>
            <w:shd w:val="clear" w:color="auto" w:fill="FADBD8"/>
            <w:tcMar>
              <w:top w:w="70" w:type="dxa"/>
              <w:left w:w="120" w:type="dxa"/>
              <w:bottom w:w="70" w:type="dxa"/>
              <w:right w:w="80" w:type="dxa"/>
            </w:tcMar>
          </w:tcPr>
          <w:p w14:paraId="26844A61">
            <w:r>
              <w:rPr>
                <w:rFonts w:ascii="Arial" w:hAnsi="Arial" w:eastAsia="Arial" w:cs="Arial"/>
                <w:color w:val="2C3E50"/>
                <w:sz w:val="17"/>
                <w:szCs w:val="17"/>
              </w:rPr>
              <w:t>No (Gap)</w:t>
            </w:r>
          </w:p>
        </w:tc>
        <w:tc>
          <w:tcPr>
            <w:tcW w:w="1460" w:type="dxa"/>
            <w:tcBorders>
              <w:top w:val="single" w:color="C5D5E8" w:sz="0" w:space="0"/>
              <w:left w:val="single" w:color="C5D5E8" w:sz="0" w:space="0"/>
              <w:bottom w:val="single" w:color="C5D5E8" w:sz="0" w:space="0"/>
              <w:right w:val="single" w:color="C5D5E8" w:sz="0" w:space="0"/>
            </w:tcBorders>
            <w:shd w:val="clear" w:color="auto" w:fill="D6E4F0"/>
            <w:tcMar>
              <w:top w:w="70" w:type="dxa"/>
              <w:left w:w="120" w:type="dxa"/>
              <w:bottom w:w="70" w:type="dxa"/>
              <w:right w:w="80" w:type="dxa"/>
            </w:tcMar>
          </w:tcPr>
          <w:p w14:paraId="3D7B180D">
            <w:r>
              <w:rPr>
                <w:rFonts w:ascii="Arial" w:hAnsi="Arial" w:eastAsia="Arial" w:cs="Arial"/>
                <w:color w:val="2C3E50"/>
                <w:sz w:val="17"/>
                <w:szCs w:val="17"/>
              </w:rPr>
              <w:t>Core Framework</w:t>
            </w:r>
          </w:p>
        </w:tc>
      </w:tr>
      <w:tr w14:paraId="3278A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5D5E8" w:sz="0" w:space="0"/>
              <w:left w:val="single" w:color="C5D5E8" w:sz="0" w:space="0"/>
              <w:bottom w:val="single" w:color="C5D5E8" w:sz="0" w:space="0"/>
              <w:right w:val="single" w:color="C5D5E8" w:sz="0" w:space="0"/>
            </w:tcBorders>
            <w:shd w:val="clear" w:color="auto" w:fill="F5F7FA"/>
            <w:tcMar>
              <w:top w:w="70" w:type="dxa"/>
              <w:left w:w="120" w:type="dxa"/>
              <w:bottom w:w="70" w:type="dxa"/>
              <w:right w:w="80" w:type="dxa"/>
            </w:tcMar>
          </w:tcPr>
          <w:p w14:paraId="588F995F">
            <w:r>
              <w:rPr>
                <w:rFonts w:ascii="Arial" w:hAnsi="Arial" w:eastAsia="Arial" w:cs="Arial"/>
                <w:color w:val="2C3E50"/>
                <w:sz w:val="17"/>
                <w:szCs w:val="17"/>
              </w:rPr>
              <w:t>2</w:t>
            </w:r>
          </w:p>
        </w:tc>
        <w:tc>
          <w:tcPr>
            <w:tcW w:w="1800" w:type="dxa"/>
            <w:tcBorders>
              <w:top w:val="single" w:color="C5D5E8" w:sz="0" w:space="0"/>
              <w:left w:val="single" w:color="C5D5E8" w:sz="0" w:space="0"/>
              <w:bottom w:val="single" w:color="C5D5E8" w:sz="0" w:space="0"/>
              <w:right w:val="single" w:color="C5D5E8" w:sz="0" w:space="0"/>
            </w:tcBorders>
            <w:shd w:val="clear" w:color="auto" w:fill="F5F7FA"/>
            <w:tcMar>
              <w:top w:w="70" w:type="dxa"/>
              <w:left w:w="120" w:type="dxa"/>
              <w:bottom w:w="70" w:type="dxa"/>
              <w:right w:w="80" w:type="dxa"/>
            </w:tcMar>
          </w:tcPr>
          <w:p w14:paraId="2A84887E">
            <w:r>
              <w:rPr>
                <w:rFonts w:ascii="Arial" w:hAnsi="Arial" w:eastAsia="Arial" w:cs="Arial"/>
                <w:color w:val="2C3E50"/>
                <w:sz w:val="17"/>
                <w:szCs w:val="17"/>
              </w:rPr>
              <w:t>Clean-ET (2025)</w:t>
            </w:r>
          </w:p>
        </w:tc>
        <w:tc>
          <w:tcPr>
            <w:tcW w:w="1000" w:type="dxa"/>
            <w:tcBorders>
              <w:top w:val="single" w:color="C5D5E8" w:sz="0" w:space="0"/>
              <w:left w:val="single" w:color="C5D5E8" w:sz="0" w:space="0"/>
              <w:bottom w:val="single" w:color="C5D5E8" w:sz="0" w:space="0"/>
              <w:right w:val="single" w:color="C5D5E8" w:sz="0" w:space="0"/>
            </w:tcBorders>
            <w:shd w:val="clear" w:color="auto" w:fill="F5F7FA"/>
            <w:tcMar>
              <w:top w:w="70" w:type="dxa"/>
              <w:left w:w="120" w:type="dxa"/>
              <w:bottom w:w="70" w:type="dxa"/>
              <w:right w:w="80" w:type="dxa"/>
            </w:tcMar>
          </w:tcPr>
          <w:p w14:paraId="7AF654A3">
            <w:r>
              <w:rPr>
                <w:rFonts w:ascii="Arial" w:hAnsi="Arial" w:eastAsia="Arial" w:cs="Arial"/>
                <w:color w:val="2C3E50"/>
                <w:sz w:val="17"/>
                <w:szCs w:val="17"/>
              </w:rPr>
              <w:t>Smart Grid ETD</w:t>
            </w:r>
          </w:p>
        </w:tc>
        <w:tc>
          <w:tcPr>
            <w:tcW w:w="1300" w:type="dxa"/>
            <w:tcBorders>
              <w:top w:val="single" w:color="C5D5E8" w:sz="0" w:space="0"/>
              <w:left w:val="single" w:color="C5D5E8" w:sz="0" w:space="0"/>
              <w:bottom w:val="single" w:color="C5D5E8" w:sz="0" w:space="0"/>
              <w:right w:val="single" w:color="C5D5E8" w:sz="0" w:space="0"/>
            </w:tcBorders>
            <w:shd w:val="clear" w:color="auto" w:fill="F5F7FA"/>
            <w:tcMar>
              <w:top w:w="70" w:type="dxa"/>
              <w:left w:w="120" w:type="dxa"/>
              <w:bottom w:w="70" w:type="dxa"/>
              <w:right w:w="80" w:type="dxa"/>
            </w:tcMar>
          </w:tcPr>
          <w:p w14:paraId="6515F60A">
            <w:r>
              <w:rPr>
                <w:rFonts w:ascii="Arial" w:hAnsi="Arial" w:eastAsia="Arial" w:cs="Arial"/>
                <w:color w:val="2C3E50"/>
                <w:sz w:val="17"/>
                <w:szCs w:val="17"/>
              </w:rPr>
              <w:t>Attack (Clean-Label)</w:t>
            </w:r>
          </w:p>
        </w:tc>
        <w:tc>
          <w:tcPr>
            <w:tcW w:w="1200" w:type="dxa"/>
            <w:tcBorders>
              <w:top w:val="single" w:color="C5D5E8" w:sz="0" w:space="0"/>
              <w:left w:val="single" w:color="C5D5E8" w:sz="0" w:space="0"/>
              <w:bottom w:val="single" w:color="C5D5E8" w:sz="0" w:space="0"/>
              <w:right w:val="single" w:color="C5D5E8" w:sz="0" w:space="0"/>
            </w:tcBorders>
            <w:shd w:val="clear" w:color="auto" w:fill="F5F7FA"/>
            <w:tcMar>
              <w:top w:w="70" w:type="dxa"/>
              <w:left w:w="120" w:type="dxa"/>
              <w:bottom w:w="70" w:type="dxa"/>
              <w:right w:w="80" w:type="dxa"/>
            </w:tcMar>
          </w:tcPr>
          <w:p w14:paraId="5D789693">
            <w:r>
              <w:rPr>
                <w:rFonts w:ascii="Arial" w:hAnsi="Arial" w:eastAsia="Arial" w:cs="Arial"/>
                <w:color w:val="2C3E50"/>
                <w:sz w:val="17"/>
                <w:szCs w:val="17"/>
              </w:rPr>
              <w:t>N/A</w:t>
            </w:r>
          </w:p>
        </w:tc>
        <w:tc>
          <w:tcPr>
            <w:tcW w:w="1200" w:type="dxa"/>
            <w:tcBorders>
              <w:top w:val="single" w:color="C5D5E8" w:sz="0" w:space="0"/>
              <w:left w:val="single" w:color="C5D5E8" w:sz="0" w:space="0"/>
              <w:bottom w:val="single" w:color="C5D5E8" w:sz="0" w:space="0"/>
              <w:right w:val="single" w:color="C5D5E8" w:sz="0" w:space="0"/>
            </w:tcBorders>
            <w:shd w:val="clear" w:color="auto" w:fill="D4EFEB"/>
            <w:tcMar>
              <w:top w:w="70" w:type="dxa"/>
              <w:left w:w="120" w:type="dxa"/>
              <w:bottom w:w="70" w:type="dxa"/>
              <w:right w:w="80" w:type="dxa"/>
            </w:tcMar>
          </w:tcPr>
          <w:p w14:paraId="03840332">
            <w:r>
              <w:rPr>
                <w:rFonts w:ascii="Arial" w:hAnsi="Arial" w:eastAsia="Arial" w:cs="Arial"/>
                <w:color w:val="2C3E50"/>
                <w:sz w:val="17"/>
                <w:szCs w:val="17"/>
              </w:rPr>
              <w:t>Yes</w:t>
            </w:r>
          </w:p>
        </w:tc>
        <w:tc>
          <w:tcPr>
            <w:tcW w:w="1460" w:type="dxa"/>
            <w:tcBorders>
              <w:top w:val="single" w:color="C5D5E8" w:sz="0" w:space="0"/>
              <w:left w:val="single" w:color="C5D5E8" w:sz="0" w:space="0"/>
              <w:bottom w:val="single" w:color="C5D5E8" w:sz="0" w:space="0"/>
              <w:right w:val="single" w:color="C5D5E8" w:sz="0" w:space="0"/>
            </w:tcBorders>
            <w:shd w:val="clear" w:color="auto" w:fill="FDEBD0"/>
            <w:tcMar>
              <w:top w:w="70" w:type="dxa"/>
              <w:left w:w="120" w:type="dxa"/>
              <w:bottom w:w="70" w:type="dxa"/>
              <w:right w:w="80" w:type="dxa"/>
            </w:tcMar>
          </w:tcPr>
          <w:p w14:paraId="5B9AA536">
            <w:r>
              <w:rPr>
                <w:rFonts w:ascii="Arial" w:hAnsi="Arial" w:eastAsia="Arial" w:cs="Arial"/>
                <w:color w:val="2C3E50"/>
                <w:sz w:val="17"/>
                <w:szCs w:val="17"/>
              </w:rPr>
              <w:t>Primary Attack Model</w:t>
            </w:r>
          </w:p>
        </w:tc>
      </w:tr>
      <w:tr w14:paraId="2D7B3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5D5E8" w:sz="0" w:space="0"/>
              <w:left w:val="single" w:color="C5D5E8" w:sz="0" w:space="0"/>
              <w:bottom w:val="single" w:color="C5D5E8" w:sz="0" w:space="0"/>
              <w:right w:val="single" w:color="C5D5E8" w:sz="0" w:space="0"/>
            </w:tcBorders>
            <w:shd w:val="clear" w:color="auto" w:fill="FFFFFF"/>
            <w:tcMar>
              <w:top w:w="70" w:type="dxa"/>
              <w:left w:w="120" w:type="dxa"/>
              <w:bottom w:w="70" w:type="dxa"/>
              <w:right w:w="80" w:type="dxa"/>
            </w:tcMar>
          </w:tcPr>
          <w:p w14:paraId="39186167">
            <w:r>
              <w:rPr>
                <w:rFonts w:ascii="Arial" w:hAnsi="Arial" w:eastAsia="Arial" w:cs="Arial"/>
                <w:color w:val="2C3E50"/>
                <w:sz w:val="17"/>
                <w:szCs w:val="17"/>
              </w:rPr>
              <w:t>3</w:t>
            </w:r>
          </w:p>
        </w:tc>
        <w:tc>
          <w:tcPr>
            <w:tcW w:w="1800" w:type="dxa"/>
            <w:tcBorders>
              <w:top w:val="single" w:color="C5D5E8" w:sz="0" w:space="0"/>
              <w:left w:val="single" w:color="C5D5E8" w:sz="0" w:space="0"/>
              <w:bottom w:val="single" w:color="C5D5E8" w:sz="0" w:space="0"/>
              <w:right w:val="single" w:color="C5D5E8" w:sz="0" w:space="0"/>
            </w:tcBorders>
            <w:shd w:val="clear" w:color="auto" w:fill="FFFFFF"/>
            <w:tcMar>
              <w:top w:w="70" w:type="dxa"/>
              <w:left w:w="120" w:type="dxa"/>
              <w:bottom w:w="70" w:type="dxa"/>
              <w:right w:w="80" w:type="dxa"/>
            </w:tcMar>
          </w:tcPr>
          <w:p w14:paraId="1408BCBB">
            <w:r>
              <w:rPr>
                <w:rFonts w:ascii="Arial" w:hAnsi="Arial" w:eastAsia="Arial" w:cs="Arial"/>
                <w:color w:val="2C3E50"/>
                <w:sz w:val="17"/>
                <w:szCs w:val="17"/>
              </w:rPr>
              <w:t>MITA (2025)</w:t>
            </w:r>
          </w:p>
        </w:tc>
        <w:tc>
          <w:tcPr>
            <w:tcW w:w="1000" w:type="dxa"/>
            <w:tcBorders>
              <w:top w:val="single" w:color="C5D5E8" w:sz="0" w:space="0"/>
              <w:left w:val="single" w:color="C5D5E8" w:sz="0" w:space="0"/>
              <w:bottom w:val="single" w:color="C5D5E8" w:sz="0" w:space="0"/>
              <w:right w:val="single" w:color="C5D5E8" w:sz="0" w:space="0"/>
            </w:tcBorders>
            <w:shd w:val="clear" w:color="auto" w:fill="FFFFFF"/>
            <w:tcMar>
              <w:top w:w="70" w:type="dxa"/>
              <w:left w:w="120" w:type="dxa"/>
              <w:bottom w:w="70" w:type="dxa"/>
              <w:right w:w="80" w:type="dxa"/>
            </w:tcMar>
          </w:tcPr>
          <w:p w14:paraId="12BA37FF">
            <w:r>
              <w:rPr>
                <w:rFonts w:ascii="Arial" w:hAnsi="Arial" w:eastAsia="Arial" w:cs="Arial"/>
                <w:color w:val="2C3E50"/>
                <w:sz w:val="17"/>
                <w:szCs w:val="17"/>
              </w:rPr>
              <w:t>Smart Grid TDR</w:t>
            </w:r>
          </w:p>
        </w:tc>
        <w:tc>
          <w:tcPr>
            <w:tcW w:w="1300" w:type="dxa"/>
            <w:tcBorders>
              <w:top w:val="single" w:color="C5D5E8" w:sz="0" w:space="0"/>
              <w:left w:val="single" w:color="C5D5E8" w:sz="0" w:space="0"/>
              <w:bottom w:val="single" w:color="C5D5E8" w:sz="0" w:space="0"/>
              <w:right w:val="single" w:color="C5D5E8" w:sz="0" w:space="0"/>
            </w:tcBorders>
            <w:shd w:val="clear" w:color="auto" w:fill="FFFFFF"/>
            <w:tcMar>
              <w:top w:w="70" w:type="dxa"/>
              <w:left w:w="120" w:type="dxa"/>
              <w:bottom w:w="70" w:type="dxa"/>
              <w:right w:w="80" w:type="dxa"/>
            </w:tcMar>
          </w:tcPr>
          <w:p w14:paraId="75C95673">
            <w:r>
              <w:rPr>
                <w:rFonts w:ascii="Arial" w:hAnsi="Arial" w:eastAsia="Arial" w:cs="Arial"/>
                <w:color w:val="2C3E50"/>
                <w:sz w:val="17"/>
                <w:szCs w:val="17"/>
              </w:rPr>
              <w:t>Attack (Trojan)</w:t>
            </w:r>
          </w:p>
        </w:tc>
        <w:tc>
          <w:tcPr>
            <w:tcW w:w="1200" w:type="dxa"/>
            <w:tcBorders>
              <w:top w:val="single" w:color="C5D5E8" w:sz="0" w:space="0"/>
              <w:left w:val="single" w:color="C5D5E8" w:sz="0" w:space="0"/>
              <w:bottom w:val="single" w:color="C5D5E8" w:sz="0" w:space="0"/>
              <w:right w:val="single" w:color="C5D5E8" w:sz="0" w:space="0"/>
            </w:tcBorders>
            <w:shd w:val="clear" w:color="auto" w:fill="FFFFFF"/>
            <w:tcMar>
              <w:top w:w="70" w:type="dxa"/>
              <w:left w:w="120" w:type="dxa"/>
              <w:bottom w:w="70" w:type="dxa"/>
              <w:right w:w="80" w:type="dxa"/>
            </w:tcMar>
          </w:tcPr>
          <w:p w14:paraId="2EC43D7B">
            <w:r>
              <w:rPr>
                <w:rFonts w:ascii="Arial" w:hAnsi="Arial" w:eastAsia="Arial" w:cs="Arial"/>
                <w:color w:val="2C3E50"/>
                <w:sz w:val="17"/>
                <w:szCs w:val="17"/>
              </w:rPr>
              <w:t>N/A</w:t>
            </w:r>
          </w:p>
        </w:tc>
        <w:tc>
          <w:tcPr>
            <w:tcW w:w="1200" w:type="dxa"/>
            <w:tcBorders>
              <w:top w:val="single" w:color="C5D5E8" w:sz="0" w:space="0"/>
              <w:left w:val="single" w:color="C5D5E8" w:sz="0" w:space="0"/>
              <w:bottom w:val="single" w:color="C5D5E8" w:sz="0" w:space="0"/>
              <w:right w:val="single" w:color="C5D5E8" w:sz="0" w:space="0"/>
            </w:tcBorders>
            <w:shd w:val="clear" w:color="auto" w:fill="D4EFEB"/>
            <w:tcMar>
              <w:top w:w="70" w:type="dxa"/>
              <w:left w:w="120" w:type="dxa"/>
              <w:bottom w:w="70" w:type="dxa"/>
              <w:right w:w="80" w:type="dxa"/>
            </w:tcMar>
          </w:tcPr>
          <w:p w14:paraId="1A383428">
            <w:r>
              <w:rPr>
                <w:rFonts w:ascii="Arial" w:hAnsi="Arial" w:eastAsia="Arial" w:cs="Arial"/>
                <w:color w:val="2C3E50"/>
                <w:sz w:val="17"/>
                <w:szCs w:val="17"/>
              </w:rPr>
              <w:t>Yes</w:t>
            </w:r>
          </w:p>
        </w:tc>
        <w:tc>
          <w:tcPr>
            <w:tcW w:w="1460" w:type="dxa"/>
            <w:tcBorders>
              <w:top w:val="single" w:color="C5D5E8" w:sz="0" w:space="0"/>
              <w:left w:val="single" w:color="C5D5E8" w:sz="0" w:space="0"/>
              <w:bottom w:val="single" w:color="C5D5E8" w:sz="0" w:space="0"/>
              <w:right w:val="single" w:color="C5D5E8" w:sz="0" w:space="0"/>
            </w:tcBorders>
            <w:shd w:val="clear" w:color="auto" w:fill="FFFFFF"/>
            <w:tcMar>
              <w:top w:w="70" w:type="dxa"/>
              <w:left w:w="120" w:type="dxa"/>
              <w:bottom w:w="70" w:type="dxa"/>
              <w:right w:w="80" w:type="dxa"/>
            </w:tcMar>
          </w:tcPr>
          <w:p w14:paraId="711285FC">
            <w:r>
              <w:rPr>
                <w:rFonts w:ascii="Arial" w:hAnsi="Arial" w:eastAsia="Arial" w:cs="Arial"/>
                <w:color w:val="2C3E50"/>
                <w:sz w:val="17"/>
                <w:szCs w:val="17"/>
              </w:rPr>
              <w:t>Impact Justification</w:t>
            </w:r>
          </w:p>
        </w:tc>
      </w:tr>
      <w:tr w14:paraId="6D48B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5D5E8" w:sz="0" w:space="0"/>
              <w:left w:val="single" w:color="C5D5E8" w:sz="0" w:space="0"/>
              <w:bottom w:val="single" w:color="C5D5E8" w:sz="0" w:space="0"/>
              <w:right w:val="single" w:color="C5D5E8" w:sz="0" w:space="0"/>
            </w:tcBorders>
            <w:shd w:val="clear" w:color="auto" w:fill="F5F7FA"/>
            <w:tcMar>
              <w:top w:w="70" w:type="dxa"/>
              <w:left w:w="120" w:type="dxa"/>
              <w:bottom w:w="70" w:type="dxa"/>
              <w:right w:w="80" w:type="dxa"/>
            </w:tcMar>
          </w:tcPr>
          <w:p w14:paraId="66AFE10D">
            <w:r>
              <w:rPr>
                <w:rFonts w:ascii="Arial" w:hAnsi="Arial" w:eastAsia="Arial" w:cs="Arial"/>
                <w:color w:val="2C3E50"/>
                <w:sz w:val="17"/>
                <w:szCs w:val="17"/>
              </w:rPr>
              <w:t>4</w:t>
            </w:r>
          </w:p>
        </w:tc>
        <w:tc>
          <w:tcPr>
            <w:tcW w:w="1800" w:type="dxa"/>
            <w:tcBorders>
              <w:top w:val="single" w:color="C5D5E8" w:sz="0" w:space="0"/>
              <w:left w:val="single" w:color="C5D5E8" w:sz="0" w:space="0"/>
              <w:bottom w:val="single" w:color="C5D5E8" w:sz="0" w:space="0"/>
              <w:right w:val="single" w:color="C5D5E8" w:sz="0" w:space="0"/>
            </w:tcBorders>
            <w:shd w:val="clear" w:color="auto" w:fill="F5F7FA"/>
            <w:tcMar>
              <w:top w:w="70" w:type="dxa"/>
              <w:left w:w="120" w:type="dxa"/>
              <w:bottom w:w="70" w:type="dxa"/>
              <w:right w:w="80" w:type="dxa"/>
            </w:tcMar>
          </w:tcPr>
          <w:p w14:paraId="59D250E0">
            <w:r>
              <w:rPr>
                <w:rFonts w:ascii="Arial" w:hAnsi="Arial" w:eastAsia="Arial" w:cs="Arial"/>
                <w:color w:val="2C3E50"/>
                <w:sz w:val="17"/>
                <w:szCs w:val="17"/>
              </w:rPr>
              <w:t>Clean-Label Feature Align.</w:t>
            </w:r>
          </w:p>
        </w:tc>
        <w:tc>
          <w:tcPr>
            <w:tcW w:w="1000" w:type="dxa"/>
            <w:tcBorders>
              <w:top w:val="single" w:color="C5D5E8" w:sz="0" w:space="0"/>
              <w:left w:val="single" w:color="C5D5E8" w:sz="0" w:space="0"/>
              <w:bottom w:val="single" w:color="C5D5E8" w:sz="0" w:space="0"/>
              <w:right w:val="single" w:color="C5D5E8" w:sz="0" w:space="0"/>
            </w:tcBorders>
            <w:shd w:val="clear" w:color="auto" w:fill="F5F7FA"/>
            <w:tcMar>
              <w:top w:w="70" w:type="dxa"/>
              <w:left w:w="120" w:type="dxa"/>
              <w:bottom w:w="70" w:type="dxa"/>
              <w:right w:w="80" w:type="dxa"/>
            </w:tcMar>
          </w:tcPr>
          <w:p w14:paraId="682E11E2">
            <w:r>
              <w:rPr>
                <w:rFonts w:ascii="Arial" w:hAnsi="Arial" w:eastAsia="Arial" w:cs="Arial"/>
                <w:color w:val="2C3E50"/>
                <w:sz w:val="17"/>
                <w:szCs w:val="17"/>
              </w:rPr>
              <w:t>Vision (CIFAR-10)</w:t>
            </w:r>
          </w:p>
        </w:tc>
        <w:tc>
          <w:tcPr>
            <w:tcW w:w="1300" w:type="dxa"/>
            <w:tcBorders>
              <w:top w:val="single" w:color="C5D5E8" w:sz="0" w:space="0"/>
              <w:left w:val="single" w:color="C5D5E8" w:sz="0" w:space="0"/>
              <w:bottom w:val="single" w:color="C5D5E8" w:sz="0" w:space="0"/>
              <w:right w:val="single" w:color="C5D5E8" w:sz="0" w:space="0"/>
            </w:tcBorders>
            <w:shd w:val="clear" w:color="auto" w:fill="F5F7FA"/>
            <w:tcMar>
              <w:top w:w="70" w:type="dxa"/>
              <w:left w:w="120" w:type="dxa"/>
              <w:bottom w:w="70" w:type="dxa"/>
              <w:right w:w="80" w:type="dxa"/>
            </w:tcMar>
          </w:tcPr>
          <w:p w14:paraId="728808BE">
            <w:r>
              <w:rPr>
                <w:rFonts w:ascii="Arial" w:hAnsi="Arial" w:eastAsia="Arial" w:cs="Arial"/>
                <w:color w:val="2C3E50"/>
                <w:sz w:val="17"/>
                <w:szCs w:val="17"/>
              </w:rPr>
              <w:t>Attack Strategy</w:t>
            </w:r>
          </w:p>
        </w:tc>
        <w:tc>
          <w:tcPr>
            <w:tcW w:w="1200" w:type="dxa"/>
            <w:tcBorders>
              <w:top w:val="single" w:color="C5D5E8" w:sz="0" w:space="0"/>
              <w:left w:val="single" w:color="C5D5E8" w:sz="0" w:space="0"/>
              <w:bottom w:val="single" w:color="C5D5E8" w:sz="0" w:space="0"/>
              <w:right w:val="single" w:color="C5D5E8" w:sz="0" w:space="0"/>
            </w:tcBorders>
            <w:shd w:val="clear" w:color="auto" w:fill="F5F7FA"/>
            <w:tcMar>
              <w:top w:w="70" w:type="dxa"/>
              <w:left w:w="120" w:type="dxa"/>
              <w:bottom w:w="70" w:type="dxa"/>
              <w:right w:w="80" w:type="dxa"/>
            </w:tcMar>
          </w:tcPr>
          <w:p w14:paraId="3D784552">
            <w:r>
              <w:rPr>
                <w:rFonts w:ascii="Arial" w:hAnsi="Arial" w:eastAsia="Arial" w:cs="Arial"/>
                <w:color w:val="2C3E50"/>
                <w:sz w:val="17"/>
                <w:szCs w:val="17"/>
              </w:rPr>
              <w:t>N/A</w:t>
            </w:r>
          </w:p>
        </w:tc>
        <w:tc>
          <w:tcPr>
            <w:tcW w:w="1200" w:type="dxa"/>
            <w:tcBorders>
              <w:top w:val="single" w:color="C5D5E8" w:sz="0" w:space="0"/>
              <w:left w:val="single" w:color="C5D5E8" w:sz="0" w:space="0"/>
              <w:bottom w:val="single" w:color="C5D5E8" w:sz="0" w:space="0"/>
              <w:right w:val="single" w:color="C5D5E8" w:sz="0" w:space="0"/>
            </w:tcBorders>
            <w:shd w:val="clear" w:color="auto" w:fill="F5F7FA"/>
            <w:tcMar>
              <w:top w:w="70" w:type="dxa"/>
              <w:left w:w="120" w:type="dxa"/>
              <w:bottom w:w="70" w:type="dxa"/>
              <w:right w:w="80" w:type="dxa"/>
            </w:tcMar>
          </w:tcPr>
          <w:p w14:paraId="0954BC96">
            <w:r>
              <w:rPr>
                <w:rFonts w:ascii="Arial" w:hAnsi="Arial" w:eastAsia="Arial" w:cs="Arial"/>
                <w:color w:val="2C3E50"/>
                <w:sz w:val="17"/>
                <w:szCs w:val="17"/>
              </w:rPr>
              <w:t>No</w:t>
            </w:r>
          </w:p>
        </w:tc>
        <w:tc>
          <w:tcPr>
            <w:tcW w:w="1460" w:type="dxa"/>
            <w:tcBorders>
              <w:top w:val="single" w:color="C5D5E8" w:sz="0" w:space="0"/>
              <w:left w:val="single" w:color="C5D5E8" w:sz="0" w:space="0"/>
              <w:bottom w:val="single" w:color="C5D5E8" w:sz="0" w:space="0"/>
              <w:right w:val="single" w:color="C5D5E8" w:sz="0" w:space="0"/>
            </w:tcBorders>
            <w:shd w:val="clear" w:color="auto" w:fill="F5F7FA"/>
            <w:tcMar>
              <w:top w:w="70" w:type="dxa"/>
              <w:left w:w="120" w:type="dxa"/>
              <w:bottom w:w="70" w:type="dxa"/>
              <w:right w:w="80" w:type="dxa"/>
            </w:tcMar>
          </w:tcPr>
          <w:p w14:paraId="482EECE2">
            <w:r>
              <w:rPr>
                <w:rFonts w:ascii="Arial" w:hAnsi="Arial" w:eastAsia="Arial" w:cs="Arial"/>
                <w:color w:val="2C3E50"/>
                <w:sz w:val="17"/>
                <w:szCs w:val="17"/>
              </w:rPr>
              <w:t>Sanitization Math Basis</w:t>
            </w:r>
          </w:p>
        </w:tc>
      </w:tr>
      <w:tr w14:paraId="11541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5D5E8" w:sz="0" w:space="0"/>
              <w:left w:val="single" w:color="C5D5E8" w:sz="0" w:space="0"/>
              <w:bottom w:val="single" w:color="C5D5E8" w:sz="0" w:space="0"/>
              <w:right w:val="single" w:color="C5D5E8" w:sz="0" w:space="0"/>
            </w:tcBorders>
            <w:shd w:val="clear" w:color="auto" w:fill="FFFFFF"/>
            <w:tcMar>
              <w:top w:w="70" w:type="dxa"/>
              <w:left w:w="120" w:type="dxa"/>
              <w:bottom w:w="70" w:type="dxa"/>
              <w:right w:w="80" w:type="dxa"/>
            </w:tcMar>
          </w:tcPr>
          <w:p w14:paraId="261F1288">
            <w:r>
              <w:rPr>
                <w:rFonts w:ascii="Arial" w:hAnsi="Arial" w:eastAsia="Arial" w:cs="Arial"/>
                <w:color w:val="2C3E50"/>
                <w:sz w:val="17"/>
                <w:szCs w:val="17"/>
              </w:rPr>
              <w:t>5</w:t>
            </w:r>
          </w:p>
        </w:tc>
        <w:tc>
          <w:tcPr>
            <w:tcW w:w="1800" w:type="dxa"/>
            <w:tcBorders>
              <w:top w:val="single" w:color="C5D5E8" w:sz="0" w:space="0"/>
              <w:left w:val="single" w:color="C5D5E8" w:sz="0" w:space="0"/>
              <w:bottom w:val="single" w:color="C5D5E8" w:sz="0" w:space="0"/>
              <w:right w:val="single" w:color="C5D5E8" w:sz="0" w:space="0"/>
            </w:tcBorders>
            <w:shd w:val="clear" w:color="auto" w:fill="FFFFFF"/>
            <w:tcMar>
              <w:top w:w="70" w:type="dxa"/>
              <w:left w:w="120" w:type="dxa"/>
              <w:bottom w:w="70" w:type="dxa"/>
              <w:right w:w="80" w:type="dxa"/>
            </w:tcMar>
          </w:tcPr>
          <w:p w14:paraId="67052D3B">
            <w:r>
              <w:rPr>
                <w:rFonts w:ascii="Arial" w:hAnsi="Arial" w:eastAsia="Arial" w:cs="Arial"/>
                <w:color w:val="2C3E50"/>
                <w:sz w:val="17"/>
                <w:szCs w:val="17"/>
              </w:rPr>
              <w:t>ABDP (2025)</w:t>
            </w:r>
          </w:p>
        </w:tc>
        <w:tc>
          <w:tcPr>
            <w:tcW w:w="1000" w:type="dxa"/>
            <w:tcBorders>
              <w:top w:val="single" w:color="C5D5E8" w:sz="0" w:space="0"/>
              <w:left w:val="single" w:color="C5D5E8" w:sz="0" w:space="0"/>
              <w:bottom w:val="single" w:color="C5D5E8" w:sz="0" w:space="0"/>
              <w:right w:val="single" w:color="C5D5E8" w:sz="0" w:space="0"/>
            </w:tcBorders>
            <w:shd w:val="clear" w:color="auto" w:fill="FFFFFF"/>
            <w:tcMar>
              <w:top w:w="70" w:type="dxa"/>
              <w:left w:w="120" w:type="dxa"/>
              <w:bottom w:w="70" w:type="dxa"/>
              <w:right w:w="80" w:type="dxa"/>
            </w:tcMar>
          </w:tcPr>
          <w:p w14:paraId="7F4AC128">
            <w:r>
              <w:rPr>
                <w:rFonts w:ascii="Arial" w:hAnsi="Arial" w:eastAsia="Arial" w:cs="Arial"/>
                <w:color w:val="2C3E50"/>
                <w:sz w:val="17"/>
                <w:szCs w:val="17"/>
              </w:rPr>
              <w:t>Vision</w:t>
            </w:r>
          </w:p>
        </w:tc>
        <w:tc>
          <w:tcPr>
            <w:tcW w:w="1300" w:type="dxa"/>
            <w:tcBorders>
              <w:top w:val="single" w:color="C5D5E8" w:sz="0" w:space="0"/>
              <w:left w:val="single" w:color="C5D5E8" w:sz="0" w:space="0"/>
              <w:bottom w:val="single" w:color="C5D5E8" w:sz="0" w:space="0"/>
              <w:right w:val="single" w:color="C5D5E8" w:sz="0" w:space="0"/>
            </w:tcBorders>
            <w:shd w:val="clear" w:color="auto" w:fill="FFFFFF"/>
            <w:tcMar>
              <w:top w:w="70" w:type="dxa"/>
              <w:left w:w="120" w:type="dxa"/>
              <w:bottom w:w="70" w:type="dxa"/>
              <w:right w:w="80" w:type="dxa"/>
            </w:tcMar>
          </w:tcPr>
          <w:p w14:paraId="405576BB">
            <w:r>
              <w:rPr>
                <w:rFonts w:ascii="Arial" w:hAnsi="Arial" w:eastAsia="Arial" w:cs="Arial"/>
                <w:color w:val="2C3E50"/>
                <w:sz w:val="17"/>
                <w:szCs w:val="17"/>
              </w:rPr>
              <w:t>Defense (Purification)</w:t>
            </w:r>
          </w:p>
        </w:tc>
        <w:tc>
          <w:tcPr>
            <w:tcW w:w="1200" w:type="dxa"/>
            <w:tcBorders>
              <w:top w:val="single" w:color="C5D5E8" w:sz="0" w:space="0"/>
              <w:left w:val="single" w:color="C5D5E8" w:sz="0" w:space="0"/>
              <w:bottom w:val="single" w:color="C5D5E8" w:sz="0" w:space="0"/>
              <w:right w:val="single" w:color="C5D5E8" w:sz="0" w:space="0"/>
            </w:tcBorders>
            <w:shd w:val="clear" w:color="auto" w:fill="FFFFFF"/>
            <w:tcMar>
              <w:top w:w="70" w:type="dxa"/>
              <w:left w:w="120" w:type="dxa"/>
              <w:bottom w:w="70" w:type="dxa"/>
              <w:right w:w="80" w:type="dxa"/>
            </w:tcMar>
          </w:tcPr>
          <w:p w14:paraId="050C7562">
            <w:r>
              <w:rPr>
                <w:rFonts w:ascii="Arial" w:hAnsi="Arial" w:eastAsia="Arial" w:cs="Arial"/>
                <w:color w:val="2C3E50"/>
                <w:sz w:val="17"/>
                <w:szCs w:val="17"/>
              </w:rPr>
              <w:t>Partial</w:t>
            </w:r>
          </w:p>
        </w:tc>
        <w:tc>
          <w:tcPr>
            <w:tcW w:w="1200" w:type="dxa"/>
            <w:tcBorders>
              <w:top w:val="single" w:color="C5D5E8" w:sz="0" w:space="0"/>
              <w:left w:val="single" w:color="C5D5E8" w:sz="0" w:space="0"/>
              <w:bottom w:val="single" w:color="C5D5E8" w:sz="0" w:space="0"/>
              <w:right w:val="single" w:color="C5D5E8" w:sz="0" w:space="0"/>
            </w:tcBorders>
            <w:shd w:val="clear" w:color="auto" w:fill="FFFFFF"/>
            <w:tcMar>
              <w:top w:w="70" w:type="dxa"/>
              <w:left w:w="120" w:type="dxa"/>
              <w:bottom w:w="70" w:type="dxa"/>
              <w:right w:w="80" w:type="dxa"/>
            </w:tcMar>
          </w:tcPr>
          <w:p w14:paraId="762BF5E1">
            <w:r>
              <w:rPr>
                <w:rFonts w:ascii="Arial" w:hAnsi="Arial" w:eastAsia="Arial" w:cs="Arial"/>
                <w:color w:val="2C3E50"/>
                <w:sz w:val="17"/>
                <w:szCs w:val="17"/>
              </w:rPr>
              <w:t>No</w:t>
            </w:r>
          </w:p>
        </w:tc>
        <w:tc>
          <w:tcPr>
            <w:tcW w:w="1460" w:type="dxa"/>
            <w:tcBorders>
              <w:top w:val="single" w:color="C5D5E8" w:sz="0" w:space="0"/>
              <w:left w:val="single" w:color="C5D5E8" w:sz="0" w:space="0"/>
              <w:bottom w:val="single" w:color="C5D5E8" w:sz="0" w:space="0"/>
              <w:right w:val="single" w:color="C5D5E8" w:sz="0" w:space="0"/>
            </w:tcBorders>
            <w:shd w:val="clear" w:color="auto" w:fill="FFFFFF"/>
            <w:tcMar>
              <w:top w:w="70" w:type="dxa"/>
              <w:left w:w="120" w:type="dxa"/>
              <w:bottom w:w="70" w:type="dxa"/>
              <w:right w:w="80" w:type="dxa"/>
            </w:tcMar>
          </w:tcPr>
          <w:p w14:paraId="6884BA73">
            <w:r>
              <w:rPr>
                <w:rFonts w:ascii="Arial" w:hAnsi="Arial" w:eastAsia="Arial" w:cs="Arial"/>
                <w:color w:val="2C3E50"/>
                <w:sz w:val="17"/>
                <w:szCs w:val="17"/>
              </w:rPr>
              <w:t>Primary Baseline Competitor</w:t>
            </w:r>
          </w:p>
        </w:tc>
      </w:tr>
      <w:tr w14:paraId="7BA9A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5D5E8" w:sz="0" w:space="0"/>
              <w:left w:val="single" w:color="C5D5E8" w:sz="0" w:space="0"/>
              <w:bottom w:val="single" w:color="C5D5E8" w:sz="0" w:space="0"/>
              <w:right w:val="single" w:color="C5D5E8" w:sz="0" w:space="0"/>
            </w:tcBorders>
            <w:shd w:val="clear" w:color="auto" w:fill="F5F7FA"/>
            <w:tcMar>
              <w:top w:w="70" w:type="dxa"/>
              <w:left w:w="120" w:type="dxa"/>
              <w:bottom w:w="70" w:type="dxa"/>
              <w:right w:w="80" w:type="dxa"/>
            </w:tcMar>
          </w:tcPr>
          <w:p w14:paraId="3F31FFFB">
            <w:r>
              <w:rPr>
                <w:rFonts w:ascii="Arial" w:hAnsi="Arial" w:eastAsia="Arial" w:cs="Arial"/>
                <w:color w:val="2C3E50"/>
                <w:sz w:val="17"/>
                <w:szCs w:val="17"/>
              </w:rPr>
              <w:t>6</w:t>
            </w:r>
          </w:p>
        </w:tc>
        <w:tc>
          <w:tcPr>
            <w:tcW w:w="1800" w:type="dxa"/>
            <w:tcBorders>
              <w:top w:val="single" w:color="C5D5E8" w:sz="0" w:space="0"/>
              <w:left w:val="single" w:color="C5D5E8" w:sz="0" w:space="0"/>
              <w:bottom w:val="single" w:color="C5D5E8" w:sz="0" w:space="0"/>
              <w:right w:val="single" w:color="C5D5E8" w:sz="0" w:space="0"/>
            </w:tcBorders>
            <w:shd w:val="clear" w:color="auto" w:fill="F5F7FA"/>
            <w:tcMar>
              <w:top w:w="70" w:type="dxa"/>
              <w:left w:w="120" w:type="dxa"/>
              <w:bottom w:w="70" w:type="dxa"/>
              <w:right w:w="80" w:type="dxa"/>
            </w:tcMar>
          </w:tcPr>
          <w:p w14:paraId="7FBFB9A2">
            <w:r>
              <w:rPr>
                <w:rFonts w:ascii="Arial" w:hAnsi="Arial" w:eastAsia="Arial" w:cs="Arial"/>
                <w:color w:val="2C3E50"/>
                <w:sz w:val="17"/>
                <w:szCs w:val="17"/>
              </w:rPr>
              <w:t>XAI Federated Learning</w:t>
            </w:r>
          </w:p>
        </w:tc>
        <w:tc>
          <w:tcPr>
            <w:tcW w:w="1000" w:type="dxa"/>
            <w:tcBorders>
              <w:top w:val="single" w:color="C5D5E8" w:sz="0" w:space="0"/>
              <w:left w:val="single" w:color="C5D5E8" w:sz="0" w:space="0"/>
              <w:bottom w:val="single" w:color="C5D5E8" w:sz="0" w:space="0"/>
              <w:right w:val="single" w:color="C5D5E8" w:sz="0" w:space="0"/>
            </w:tcBorders>
            <w:shd w:val="clear" w:color="auto" w:fill="F5F7FA"/>
            <w:tcMar>
              <w:top w:w="70" w:type="dxa"/>
              <w:left w:w="120" w:type="dxa"/>
              <w:bottom w:w="70" w:type="dxa"/>
              <w:right w:w="80" w:type="dxa"/>
            </w:tcMar>
          </w:tcPr>
          <w:p w14:paraId="15CBD353">
            <w:r>
              <w:rPr>
                <w:rFonts w:ascii="Arial" w:hAnsi="Arial" w:eastAsia="Arial" w:cs="Arial"/>
                <w:color w:val="2C3E50"/>
                <w:sz w:val="17"/>
                <w:szCs w:val="17"/>
              </w:rPr>
              <w:t>Smart Grid FL</w:t>
            </w:r>
          </w:p>
        </w:tc>
        <w:tc>
          <w:tcPr>
            <w:tcW w:w="1300" w:type="dxa"/>
            <w:tcBorders>
              <w:top w:val="single" w:color="C5D5E8" w:sz="0" w:space="0"/>
              <w:left w:val="single" w:color="C5D5E8" w:sz="0" w:space="0"/>
              <w:bottom w:val="single" w:color="C5D5E8" w:sz="0" w:space="0"/>
              <w:right w:val="single" w:color="C5D5E8" w:sz="0" w:space="0"/>
            </w:tcBorders>
            <w:shd w:val="clear" w:color="auto" w:fill="F5F7FA"/>
            <w:tcMar>
              <w:top w:w="70" w:type="dxa"/>
              <w:left w:w="120" w:type="dxa"/>
              <w:bottom w:w="70" w:type="dxa"/>
              <w:right w:w="80" w:type="dxa"/>
            </w:tcMar>
          </w:tcPr>
          <w:p w14:paraId="11C3DFA0">
            <w:r>
              <w:rPr>
                <w:rFonts w:ascii="Arial" w:hAnsi="Arial" w:eastAsia="Arial" w:cs="Arial"/>
                <w:color w:val="2C3E50"/>
                <w:sz w:val="17"/>
                <w:szCs w:val="17"/>
              </w:rPr>
              <w:t>Defense (Federated)</w:t>
            </w:r>
          </w:p>
        </w:tc>
        <w:tc>
          <w:tcPr>
            <w:tcW w:w="1200" w:type="dxa"/>
            <w:tcBorders>
              <w:top w:val="single" w:color="C5D5E8" w:sz="0" w:space="0"/>
              <w:left w:val="single" w:color="C5D5E8" w:sz="0" w:space="0"/>
              <w:bottom w:val="single" w:color="C5D5E8" w:sz="0" w:space="0"/>
              <w:right w:val="single" w:color="C5D5E8" w:sz="0" w:space="0"/>
            </w:tcBorders>
            <w:shd w:val="clear" w:color="auto" w:fill="F5F7FA"/>
            <w:tcMar>
              <w:top w:w="70" w:type="dxa"/>
              <w:left w:w="120" w:type="dxa"/>
              <w:bottom w:w="70" w:type="dxa"/>
              <w:right w:w="80" w:type="dxa"/>
            </w:tcMar>
          </w:tcPr>
          <w:p w14:paraId="5B70D622">
            <w:r>
              <w:rPr>
                <w:rFonts w:ascii="Arial" w:hAnsi="Arial" w:eastAsia="Arial" w:cs="Arial"/>
                <w:color w:val="2C3E50"/>
                <w:sz w:val="17"/>
                <w:szCs w:val="17"/>
              </w:rPr>
              <w:t>No</w:t>
            </w:r>
          </w:p>
        </w:tc>
        <w:tc>
          <w:tcPr>
            <w:tcW w:w="1200" w:type="dxa"/>
            <w:tcBorders>
              <w:top w:val="single" w:color="C5D5E8" w:sz="0" w:space="0"/>
              <w:left w:val="single" w:color="C5D5E8" w:sz="0" w:space="0"/>
              <w:bottom w:val="single" w:color="C5D5E8" w:sz="0" w:space="0"/>
              <w:right w:val="single" w:color="C5D5E8" w:sz="0" w:space="0"/>
            </w:tcBorders>
            <w:shd w:val="clear" w:color="auto" w:fill="D4EFEB"/>
            <w:tcMar>
              <w:top w:w="70" w:type="dxa"/>
              <w:left w:w="120" w:type="dxa"/>
              <w:bottom w:w="70" w:type="dxa"/>
              <w:right w:w="80" w:type="dxa"/>
            </w:tcMar>
          </w:tcPr>
          <w:p w14:paraId="6095F208">
            <w:r>
              <w:rPr>
                <w:rFonts w:ascii="Arial" w:hAnsi="Arial" w:eastAsia="Arial" w:cs="Arial"/>
                <w:color w:val="2C3E50"/>
                <w:sz w:val="17"/>
                <w:szCs w:val="17"/>
              </w:rPr>
              <w:t>Yes</w:t>
            </w:r>
          </w:p>
        </w:tc>
        <w:tc>
          <w:tcPr>
            <w:tcW w:w="1460" w:type="dxa"/>
            <w:tcBorders>
              <w:top w:val="single" w:color="C5D5E8" w:sz="0" w:space="0"/>
              <w:left w:val="single" w:color="C5D5E8" w:sz="0" w:space="0"/>
              <w:bottom w:val="single" w:color="C5D5E8" w:sz="0" w:space="0"/>
              <w:right w:val="single" w:color="C5D5E8" w:sz="0" w:space="0"/>
            </w:tcBorders>
            <w:shd w:val="clear" w:color="auto" w:fill="F5F7FA"/>
            <w:tcMar>
              <w:top w:w="70" w:type="dxa"/>
              <w:left w:w="120" w:type="dxa"/>
              <w:bottom w:w="70" w:type="dxa"/>
              <w:right w:w="80" w:type="dxa"/>
            </w:tcMar>
          </w:tcPr>
          <w:p w14:paraId="0B238779">
            <w:r>
              <w:rPr>
                <w:rFonts w:ascii="Arial" w:hAnsi="Arial" w:eastAsia="Arial" w:cs="Arial"/>
                <w:color w:val="2C3E50"/>
                <w:sz w:val="17"/>
                <w:szCs w:val="17"/>
              </w:rPr>
              <w:t>Literature Validation</w:t>
            </w:r>
          </w:p>
        </w:tc>
      </w:tr>
      <w:tr w14:paraId="30A08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5D5E8" w:sz="0" w:space="0"/>
              <w:left w:val="single" w:color="C5D5E8" w:sz="0" w:space="0"/>
              <w:bottom w:val="single" w:color="C5D5E8" w:sz="0" w:space="0"/>
              <w:right w:val="single" w:color="C5D5E8" w:sz="0" w:space="0"/>
            </w:tcBorders>
            <w:shd w:val="clear" w:color="auto" w:fill="FFFFFF"/>
            <w:tcMar>
              <w:top w:w="70" w:type="dxa"/>
              <w:left w:w="120" w:type="dxa"/>
              <w:bottom w:w="70" w:type="dxa"/>
              <w:right w:w="80" w:type="dxa"/>
            </w:tcMar>
          </w:tcPr>
          <w:p w14:paraId="056676DE">
            <w:r>
              <w:rPr>
                <w:rFonts w:ascii="Arial" w:hAnsi="Arial" w:eastAsia="Arial" w:cs="Arial"/>
                <w:color w:val="2C3E50"/>
                <w:sz w:val="17"/>
                <w:szCs w:val="17"/>
              </w:rPr>
              <w:t>7</w:t>
            </w:r>
          </w:p>
        </w:tc>
        <w:tc>
          <w:tcPr>
            <w:tcW w:w="1800" w:type="dxa"/>
            <w:tcBorders>
              <w:top w:val="single" w:color="C5D5E8" w:sz="0" w:space="0"/>
              <w:left w:val="single" w:color="C5D5E8" w:sz="0" w:space="0"/>
              <w:bottom w:val="single" w:color="C5D5E8" w:sz="0" w:space="0"/>
              <w:right w:val="single" w:color="C5D5E8" w:sz="0" w:space="0"/>
            </w:tcBorders>
            <w:shd w:val="clear" w:color="auto" w:fill="FFFFFF"/>
            <w:tcMar>
              <w:top w:w="70" w:type="dxa"/>
              <w:left w:w="120" w:type="dxa"/>
              <w:bottom w:w="70" w:type="dxa"/>
              <w:right w:w="80" w:type="dxa"/>
            </w:tcMar>
          </w:tcPr>
          <w:p w14:paraId="6C253074">
            <w:r>
              <w:rPr>
                <w:rFonts w:ascii="Arial" w:hAnsi="Arial" w:eastAsia="Arial" w:cs="Arial"/>
                <w:color w:val="2C3E50"/>
                <w:sz w:val="17"/>
                <w:szCs w:val="17"/>
              </w:rPr>
              <w:t>BackdoorBenchER (2025)</w:t>
            </w:r>
          </w:p>
        </w:tc>
        <w:tc>
          <w:tcPr>
            <w:tcW w:w="1000" w:type="dxa"/>
            <w:tcBorders>
              <w:top w:val="single" w:color="C5D5E8" w:sz="0" w:space="0"/>
              <w:left w:val="single" w:color="C5D5E8" w:sz="0" w:space="0"/>
              <w:bottom w:val="single" w:color="C5D5E8" w:sz="0" w:space="0"/>
              <w:right w:val="single" w:color="C5D5E8" w:sz="0" w:space="0"/>
            </w:tcBorders>
            <w:shd w:val="clear" w:color="auto" w:fill="FFFFFF"/>
            <w:tcMar>
              <w:top w:w="70" w:type="dxa"/>
              <w:left w:w="120" w:type="dxa"/>
              <w:bottom w:w="70" w:type="dxa"/>
              <w:right w:w="80" w:type="dxa"/>
            </w:tcMar>
          </w:tcPr>
          <w:p w14:paraId="7DA63A3C">
            <w:r>
              <w:rPr>
                <w:rFonts w:ascii="Arial" w:hAnsi="Arial" w:eastAsia="Arial" w:cs="Arial"/>
                <w:color w:val="2C3E50"/>
                <w:sz w:val="17"/>
                <w:szCs w:val="17"/>
              </w:rPr>
              <w:t>Vision (CIFAR/ImageNet)</w:t>
            </w:r>
          </w:p>
        </w:tc>
        <w:tc>
          <w:tcPr>
            <w:tcW w:w="1300" w:type="dxa"/>
            <w:tcBorders>
              <w:top w:val="single" w:color="C5D5E8" w:sz="0" w:space="0"/>
              <w:left w:val="single" w:color="C5D5E8" w:sz="0" w:space="0"/>
              <w:bottom w:val="single" w:color="C5D5E8" w:sz="0" w:space="0"/>
              <w:right w:val="single" w:color="C5D5E8" w:sz="0" w:space="0"/>
            </w:tcBorders>
            <w:shd w:val="clear" w:color="auto" w:fill="FFFFFF"/>
            <w:tcMar>
              <w:top w:w="70" w:type="dxa"/>
              <w:left w:w="120" w:type="dxa"/>
              <w:bottom w:w="70" w:type="dxa"/>
              <w:right w:w="80" w:type="dxa"/>
            </w:tcMar>
          </w:tcPr>
          <w:p w14:paraId="5C94C1DC">
            <w:r>
              <w:rPr>
                <w:rFonts w:ascii="Arial" w:hAnsi="Arial" w:eastAsia="Arial" w:cs="Arial"/>
                <w:color w:val="2C3E50"/>
                <w:sz w:val="17"/>
                <w:szCs w:val="17"/>
              </w:rPr>
              <w:t>Benchmark Framework</w:t>
            </w:r>
          </w:p>
        </w:tc>
        <w:tc>
          <w:tcPr>
            <w:tcW w:w="1200" w:type="dxa"/>
            <w:tcBorders>
              <w:top w:val="single" w:color="C5D5E8" w:sz="0" w:space="0"/>
              <w:left w:val="single" w:color="C5D5E8" w:sz="0" w:space="0"/>
              <w:bottom w:val="single" w:color="C5D5E8" w:sz="0" w:space="0"/>
              <w:right w:val="single" w:color="C5D5E8" w:sz="0" w:space="0"/>
            </w:tcBorders>
            <w:shd w:val="clear" w:color="auto" w:fill="FFFFFF"/>
            <w:tcMar>
              <w:top w:w="70" w:type="dxa"/>
              <w:left w:w="120" w:type="dxa"/>
              <w:bottom w:w="70" w:type="dxa"/>
              <w:right w:w="80" w:type="dxa"/>
            </w:tcMar>
          </w:tcPr>
          <w:p w14:paraId="7DBB229A">
            <w:r>
              <w:rPr>
                <w:rFonts w:ascii="Arial" w:hAnsi="Arial" w:eastAsia="Arial" w:cs="Arial"/>
                <w:color w:val="2C3E50"/>
                <w:sz w:val="17"/>
                <w:szCs w:val="17"/>
              </w:rPr>
              <w:t>Yes (Studies it)</w:t>
            </w:r>
          </w:p>
        </w:tc>
        <w:tc>
          <w:tcPr>
            <w:tcW w:w="1200" w:type="dxa"/>
            <w:tcBorders>
              <w:top w:val="single" w:color="C5D5E8" w:sz="0" w:space="0"/>
              <w:left w:val="single" w:color="C5D5E8" w:sz="0" w:space="0"/>
              <w:bottom w:val="single" w:color="C5D5E8" w:sz="0" w:space="0"/>
              <w:right w:val="single" w:color="C5D5E8" w:sz="0" w:space="0"/>
            </w:tcBorders>
            <w:shd w:val="clear" w:color="auto" w:fill="FFFFFF"/>
            <w:tcMar>
              <w:top w:w="70" w:type="dxa"/>
              <w:left w:w="120" w:type="dxa"/>
              <w:bottom w:w="70" w:type="dxa"/>
              <w:right w:w="80" w:type="dxa"/>
            </w:tcMar>
          </w:tcPr>
          <w:p w14:paraId="1A17867D">
            <w:r>
              <w:rPr>
                <w:rFonts w:ascii="Arial" w:hAnsi="Arial" w:eastAsia="Arial" w:cs="Arial"/>
                <w:color w:val="2C3E50"/>
                <w:sz w:val="17"/>
                <w:szCs w:val="17"/>
              </w:rPr>
              <w:t>No</w:t>
            </w:r>
          </w:p>
        </w:tc>
        <w:tc>
          <w:tcPr>
            <w:tcW w:w="1460" w:type="dxa"/>
            <w:tcBorders>
              <w:top w:val="single" w:color="C5D5E8" w:sz="0" w:space="0"/>
              <w:left w:val="single" w:color="C5D5E8" w:sz="0" w:space="0"/>
              <w:bottom w:val="single" w:color="C5D5E8" w:sz="0" w:space="0"/>
              <w:right w:val="single" w:color="C5D5E8" w:sz="0" w:space="0"/>
            </w:tcBorders>
            <w:shd w:val="clear" w:color="auto" w:fill="FFFFFF"/>
            <w:tcMar>
              <w:top w:w="70" w:type="dxa"/>
              <w:left w:w="120" w:type="dxa"/>
              <w:bottom w:w="70" w:type="dxa"/>
              <w:right w:w="80" w:type="dxa"/>
            </w:tcMar>
          </w:tcPr>
          <w:p w14:paraId="30527347">
            <w:r>
              <w:rPr>
                <w:rFonts w:ascii="Arial" w:hAnsi="Arial" w:eastAsia="Arial" w:cs="Arial"/>
                <w:color w:val="2C3E50"/>
                <w:sz w:val="17"/>
                <w:szCs w:val="17"/>
              </w:rPr>
              <w:t>Evaluation Protocol</w:t>
            </w:r>
          </w:p>
        </w:tc>
      </w:tr>
      <w:tr w14:paraId="11372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5D5E8" w:sz="0" w:space="0"/>
              <w:left w:val="single" w:color="C5D5E8" w:sz="0" w:space="0"/>
              <w:bottom w:val="single" w:color="C5D5E8" w:sz="0" w:space="0"/>
              <w:right w:val="single" w:color="C5D5E8" w:sz="0" w:space="0"/>
            </w:tcBorders>
            <w:shd w:val="clear" w:color="auto" w:fill="F5F7FA"/>
            <w:tcMar>
              <w:top w:w="70" w:type="dxa"/>
              <w:left w:w="120" w:type="dxa"/>
              <w:bottom w:w="70" w:type="dxa"/>
              <w:right w:w="80" w:type="dxa"/>
            </w:tcMar>
          </w:tcPr>
          <w:p w14:paraId="14C70B32">
            <w:r>
              <w:rPr>
                <w:rFonts w:ascii="Arial" w:hAnsi="Arial" w:eastAsia="Arial" w:cs="Arial"/>
                <w:color w:val="2C3E50"/>
                <w:sz w:val="17"/>
                <w:szCs w:val="17"/>
              </w:rPr>
              <w:t>8</w:t>
            </w:r>
          </w:p>
        </w:tc>
        <w:tc>
          <w:tcPr>
            <w:tcW w:w="1800" w:type="dxa"/>
            <w:tcBorders>
              <w:top w:val="single" w:color="C5D5E8" w:sz="0" w:space="0"/>
              <w:left w:val="single" w:color="C5D5E8" w:sz="0" w:space="0"/>
              <w:bottom w:val="single" w:color="C5D5E8" w:sz="0" w:space="0"/>
              <w:right w:val="single" w:color="C5D5E8" w:sz="0" w:space="0"/>
            </w:tcBorders>
            <w:shd w:val="clear" w:color="auto" w:fill="F5F7FA"/>
            <w:tcMar>
              <w:top w:w="70" w:type="dxa"/>
              <w:left w:w="120" w:type="dxa"/>
              <w:bottom w:w="70" w:type="dxa"/>
              <w:right w:w="80" w:type="dxa"/>
            </w:tcMar>
          </w:tcPr>
          <w:p w14:paraId="29840CA0">
            <w:r>
              <w:rPr>
                <w:rFonts w:ascii="Arial" w:hAnsi="Arial" w:eastAsia="Arial" w:cs="Arial"/>
                <w:color w:val="2C3E50"/>
                <w:sz w:val="17"/>
                <w:szCs w:val="17"/>
              </w:rPr>
              <w:t>SWaT Dataset</w:t>
            </w:r>
          </w:p>
        </w:tc>
        <w:tc>
          <w:tcPr>
            <w:tcW w:w="1000" w:type="dxa"/>
            <w:tcBorders>
              <w:top w:val="single" w:color="C5D5E8" w:sz="0" w:space="0"/>
              <w:left w:val="single" w:color="C5D5E8" w:sz="0" w:space="0"/>
              <w:bottom w:val="single" w:color="C5D5E8" w:sz="0" w:space="0"/>
              <w:right w:val="single" w:color="C5D5E8" w:sz="0" w:space="0"/>
            </w:tcBorders>
            <w:shd w:val="clear" w:color="auto" w:fill="F5F7FA"/>
            <w:tcMar>
              <w:top w:w="70" w:type="dxa"/>
              <w:left w:w="120" w:type="dxa"/>
              <w:bottom w:w="70" w:type="dxa"/>
              <w:right w:w="80" w:type="dxa"/>
            </w:tcMar>
          </w:tcPr>
          <w:p w14:paraId="65B0CBE1">
            <w:r>
              <w:rPr>
                <w:rFonts w:ascii="Arial" w:hAnsi="Arial" w:eastAsia="Arial" w:cs="Arial"/>
                <w:color w:val="2C3E50"/>
                <w:sz w:val="17"/>
                <w:szCs w:val="17"/>
              </w:rPr>
              <w:t>ICS / Water Treatment</w:t>
            </w:r>
          </w:p>
        </w:tc>
        <w:tc>
          <w:tcPr>
            <w:tcW w:w="1300" w:type="dxa"/>
            <w:tcBorders>
              <w:top w:val="single" w:color="C5D5E8" w:sz="0" w:space="0"/>
              <w:left w:val="single" w:color="C5D5E8" w:sz="0" w:space="0"/>
              <w:bottom w:val="single" w:color="C5D5E8" w:sz="0" w:space="0"/>
              <w:right w:val="single" w:color="C5D5E8" w:sz="0" w:space="0"/>
            </w:tcBorders>
            <w:shd w:val="clear" w:color="auto" w:fill="F5F7FA"/>
            <w:tcMar>
              <w:top w:w="70" w:type="dxa"/>
              <w:left w:w="120" w:type="dxa"/>
              <w:bottom w:w="70" w:type="dxa"/>
              <w:right w:w="80" w:type="dxa"/>
            </w:tcMar>
          </w:tcPr>
          <w:p w14:paraId="032606CA">
            <w:r>
              <w:rPr>
                <w:rFonts w:ascii="Arial" w:hAnsi="Arial" w:eastAsia="Arial" w:cs="Arial"/>
                <w:color w:val="2C3E50"/>
                <w:sz w:val="17"/>
                <w:szCs w:val="17"/>
              </w:rPr>
              <w:t>Dataset</w:t>
            </w:r>
          </w:p>
        </w:tc>
        <w:tc>
          <w:tcPr>
            <w:tcW w:w="1200" w:type="dxa"/>
            <w:tcBorders>
              <w:top w:val="single" w:color="C5D5E8" w:sz="0" w:space="0"/>
              <w:left w:val="single" w:color="C5D5E8" w:sz="0" w:space="0"/>
              <w:bottom w:val="single" w:color="C5D5E8" w:sz="0" w:space="0"/>
              <w:right w:val="single" w:color="C5D5E8" w:sz="0" w:space="0"/>
            </w:tcBorders>
            <w:shd w:val="clear" w:color="auto" w:fill="F5F7FA"/>
            <w:tcMar>
              <w:top w:w="70" w:type="dxa"/>
              <w:left w:w="120" w:type="dxa"/>
              <w:bottom w:w="70" w:type="dxa"/>
              <w:right w:w="80" w:type="dxa"/>
            </w:tcMar>
          </w:tcPr>
          <w:p w14:paraId="6039FF76">
            <w:r>
              <w:rPr>
                <w:rFonts w:ascii="Arial" w:hAnsi="Arial" w:eastAsia="Arial" w:cs="Arial"/>
                <w:color w:val="2C3E50"/>
                <w:sz w:val="17"/>
                <w:szCs w:val="17"/>
              </w:rPr>
              <w:t>N/A</w:t>
            </w:r>
          </w:p>
        </w:tc>
        <w:tc>
          <w:tcPr>
            <w:tcW w:w="1200" w:type="dxa"/>
            <w:tcBorders>
              <w:top w:val="single" w:color="C5D5E8" w:sz="0" w:space="0"/>
              <w:left w:val="single" w:color="C5D5E8" w:sz="0" w:space="0"/>
              <w:bottom w:val="single" w:color="C5D5E8" w:sz="0" w:space="0"/>
              <w:right w:val="single" w:color="C5D5E8" w:sz="0" w:space="0"/>
            </w:tcBorders>
            <w:shd w:val="clear" w:color="auto" w:fill="D4EFEB"/>
            <w:tcMar>
              <w:top w:w="70" w:type="dxa"/>
              <w:left w:w="120" w:type="dxa"/>
              <w:bottom w:w="70" w:type="dxa"/>
              <w:right w:w="80" w:type="dxa"/>
            </w:tcMar>
          </w:tcPr>
          <w:p w14:paraId="6A920187">
            <w:r>
              <w:rPr>
                <w:rFonts w:ascii="Arial" w:hAnsi="Arial" w:eastAsia="Arial" w:cs="Arial"/>
                <w:color w:val="2C3E50"/>
                <w:sz w:val="17"/>
                <w:szCs w:val="17"/>
              </w:rPr>
              <w:t>Yes</w:t>
            </w:r>
          </w:p>
        </w:tc>
        <w:tc>
          <w:tcPr>
            <w:tcW w:w="1460" w:type="dxa"/>
            <w:tcBorders>
              <w:top w:val="single" w:color="C5D5E8" w:sz="0" w:space="0"/>
              <w:left w:val="single" w:color="C5D5E8" w:sz="0" w:space="0"/>
              <w:bottom w:val="single" w:color="C5D5E8" w:sz="0" w:space="0"/>
              <w:right w:val="single" w:color="C5D5E8" w:sz="0" w:space="0"/>
            </w:tcBorders>
            <w:shd w:val="clear" w:color="auto" w:fill="F5F7FA"/>
            <w:tcMar>
              <w:top w:w="70" w:type="dxa"/>
              <w:left w:w="120" w:type="dxa"/>
              <w:bottom w:w="70" w:type="dxa"/>
              <w:right w:w="80" w:type="dxa"/>
            </w:tcMar>
          </w:tcPr>
          <w:p w14:paraId="4CADC03A">
            <w:r>
              <w:rPr>
                <w:rFonts w:ascii="Arial" w:hAnsi="Arial" w:eastAsia="Arial" w:cs="Arial"/>
                <w:color w:val="2C3E50"/>
                <w:sz w:val="17"/>
                <w:szCs w:val="17"/>
              </w:rPr>
              <w:t>Experimental Testbed</w:t>
            </w:r>
          </w:p>
        </w:tc>
      </w:tr>
    </w:tbl>
    <w:p w14:paraId="14F5A25D">
      <w:pPr>
        <w:spacing w:before="80" w:after="80"/>
      </w:pPr>
    </w:p>
    <w:p w14:paraId="3B68B49B">
      <w:r>
        <w:br w:type="page"/>
      </w:r>
    </w:p>
    <w:p w14:paraId="1DB08856">
      <w:pPr>
        <w:pStyle w:val="2"/>
        <w:pBdr>
          <w:bottom w:val="single" w:color="1A7F6E" w:sz="4" w:space="0"/>
        </w:pBdr>
        <w:shd w:val="clear" w:fill="1F3864"/>
        <w:spacing w:before="360" w:after="200"/>
        <w:ind w:left="200" w:right="200"/>
      </w:pPr>
      <w:r>
        <w:rPr>
          <w:rFonts w:ascii="Arial" w:hAnsi="Arial" w:eastAsia="Arial" w:cs="Arial"/>
          <w:b/>
          <w:bCs/>
          <w:color w:val="FFFFFF"/>
          <w:sz w:val="32"/>
          <w:szCs w:val="32"/>
        </w:rPr>
        <w:t xml:space="preserve">  Paper 1: PBP — Post-Training Backdoor Purification</w:t>
      </w:r>
    </w:p>
    <w:p w14:paraId="6BCFB662">
      <w:pPr>
        <w:spacing w:before="60" w:after="60"/>
      </w:pPr>
    </w:p>
    <w:p w14:paraId="34711E1C">
      <w:pPr>
        <w:spacing w:before="200" w:after="80"/>
        <w:ind w:left="100"/>
      </w:pPr>
      <w:r>
        <w:rPr>
          <w:rFonts w:ascii="Arial" w:hAnsi="Arial" w:eastAsia="Arial" w:cs="Arial"/>
          <w:b/>
          <w:bCs/>
          <w:color w:val="2E5A9C"/>
          <w:sz w:val="22"/>
          <w:szCs w:val="22"/>
        </w:rPr>
        <w:t>Full Title</w:t>
      </w:r>
    </w:p>
    <w:p w14:paraId="3FA96D2A">
      <w:pPr>
        <w:spacing w:before="60" w:after="60"/>
        <w:ind w:left="0"/>
      </w:pPr>
      <w:r>
        <w:rPr>
          <w:rFonts w:ascii="Arial" w:hAnsi="Arial" w:eastAsia="Arial" w:cs="Arial"/>
          <w:color w:val="2C3E50"/>
          <w:sz w:val="20"/>
          <w:szCs w:val="20"/>
        </w:rPr>
        <w:t>PBP: Post-training Backdoor Purification for Malware Classifiers</w:t>
      </w:r>
    </w:p>
    <w:p w14:paraId="6B4DFFDD">
      <w:pPr>
        <w:spacing w:before="200" w:after="80"/>
        <w:ind w:left="100"/>
      </w:pPr>
      <w:r>
        <w:rPr>
          <w:rFonts w:ascii="Arial" w:hAnsi="Arial" w:eastAsia="Arial" w:cs="Arial"/>
          <w:b/>
          <w:bCs/>
          <w:color w:val="2E5A9C"/>
          <w:sz w:val="22"/>
          <w:szCs w:val="22"/>
        </w:rPr>
        <w:t>Authors &amp; Venue</w:t>
      </w:r>
    </w:p>
    <w:p w14:paraId="785431CC">
      <w:pPr>
        <w:spacing w:before="60" w:after="60"/>
        <w:ind w:left="0"/>
      </w:pPr>
      <w:r>
        <w:rPr>
          <w:rFonts w:ascii="Arial" w:hAnsi="Arial" w:eastAsia="Arial" w:cs="Arial"/>
          <w:color w:val="2C3E50"/>
          <w:sz w:val="20"/>
          <w:szCs w:val="20"/>
        </w:rPr>
        <w:t>Dung Thuy Nguyen, Ngoc N. Tran, Taylor T. Johnson, Kevin Leach (Vanderbilt University)</w:t>
      </w:r>
    </w:p>
    <w:p w14:paraId="6065622B">
      <w:pPr>
        <w:spacing w:before="60" w:after="60"/>
        <w:ind w:left="0"/>
      </w:pPr>
      <w:r>
        <w:rPr>
          <w:rFonts w:ascii="Arial" w:hAnsi="Arial" w:eastAsia="Arial" w:cs="Arial"/>
          <w:color w:val="2C3E50"/>
          <w:sz w:val="20"/>
          <w:szCs w:val="20"/>
        </w:rPr>
        <w:t>Published: NDSS Symposium 2025 — San Diego, CA | February 24–28, 2025</w:t>
      </w:r>
    </w:p>
    <w:p w14:paraId="67F037B2">
      <w:pPr>
        <w:spacing w:before="80" w:after="80"/>
      </w:pPr>
    </w:p>
    <w:p w14:paraId="263F9F91">
      <w:pPr>
        <w:spacing w:before="200" w:after="80"/>
        <w:ind w:left="100"/>
      </w:pPr>
      <w:r>
        <w:rPr>
          <w:rFonts w:ascii="Arial" w:hAnsi="Arial" w:eastAsia="Arial" w:cs="Arial"/>
          <w:b/>
          <w:bCs/>
          <w:color w:val="1A7F6E"/>
          <w:sz w:val="22"/>
          <w:szCs w:val="22"/>
        </w:rPr>
        <w:t>What They Did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200" w:type="dxa"/>
          <w:right w:w="108" w:type="dxa"/>
        </w:tblCellMar>
      </w:tblPr>
      <w:tblGrid>
        <w:gridCol w:w="2000"/>
        <w:gridCol w:w="7360"/>
      </w:tblGrid>
      <w:tr w14:paraId="3AECF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127780BF">
            <w:r>
              <w:rPr>
                <w:rFonts w:ascii="Arial" w:hAnsi="Arial" w:eastAsia="Arial" w:cs="Arial"/>
                <w:b/>
                <w:bCs/>
                <w:color w:val="1F3864"/>
                <w:sz w:val="19"/>
                <w:szCs w:val="19"/>
              </w:rPr>
              <w:t>Core Idea</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28F43F3E">
            <w:r>
              <w:rPr>
                <w:rFonts w:ascii="Arial" w:hAnsi="Arial" w:eastAsia="Arial" w:cs="Arial"/>
                <w:color w:val="2C3E50"/>
                <w:sz w:val="19"/>
                <w:szCs w:val="19"/>
              </w:rPr>
              <w:t>PBP is a post-training defense for ML-based malware classifiers. It identifies backdoor neurons by observing activation distribution drift between clean and backdoored samples, then purifies them using masked gradient optimization (sign reversal).</w:t>
            </w:r>
          </w:p>
        </w:tc>
      </w:tr>
      <w:tr w14:paraId="6F23A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24BCDB71">
            <w:r>
              <w:rPr>
                <w:rFonts w:ascii="Arial" w:hAnsi="Arial" w:eastAsia="Arial" w:cs="Arial"/>
                <w:b/>
                <w:bCs/>
                <w:color w:val="1F3864"/>
                <w:sz w:val="19"/>
                <w:szCs w:val="19"/>
              </w:rPr>
              <w:t>Two Phases</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09627093">
            <w:r>
              <w:rPr>
                <w:rFonts w:ascii="Arial" w:hAnsi="Arial" w:eastAsia="Arial" w:cs="Arial"/>
                <w:color w:val="2C3E50"/>
                <w:sz w:val="19"/>
                <w:szCs w:val="19"/>
              </w:rPr>
              <w:t>Phase 1: Train a noise model on clean data to generate a neuron mask identifying backdoor-specific neurons. Phase 2: Apply masked gradient optimization — reverse gradient sign on identified neurons during fine-tuning.</w:t>
            </w:r>
          </w:p>
        </w:tc>
      </w:tr>
      <w:tr w14:paraId="3AF56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22ECF717">
            <w:r>
              <w:rPr>
                <w:rFonts w:ascii="Arial" w:hAnsi="Arial" w:eastAsia="Arial" w:cs="Arial"/>
                <w:b/>
                <w:bCs/>
                <w:color w:val="1F3864"/>
                <w:sz w:val="19"/>
                <w:szCs w:val="19"/>
              </w:rPr>
              <w:t>Performance</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1385B10C">
            <w:r>
              <w:rPr>
                <w:rFonts w:ascii="Arial" w:hAnsi="Arial" w:eastAsia="Arial" w:cs="Arial"/>
                <w:color w:val="2C3E50"/>
                <w:sz w:val="19"/>
                <w:szCs w:val="19"/>
              </w:rPr>
              <w:t>Reduces Attack Success Rate (ASR) from ~100% to near 0% — claimed 100x improvement over prior methods.</w:t>
            </w:r>
          </w:p>
        </w:tc>
      </w:tr>
      <w:tr w14:paraId="38D10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7A13C383">
            <w:r>
              <w:rPr>
                <w:rFonts w:ascii="Arial" w:hAnsi="Arial" w:eastAsia="Arial" w:cs="Arial"/>
                <w:b/>
                <w:bCs/>
                <w:color w:val="1F3864"/>
                <w:sz w:val="19"/>
                <w:szCs w:val="19"/>
              </w:rPr>
              <w:t>Datasets Used</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5109DA16">
            <w:r>
              <w:rPr>
                <w:rFonts w:ascii="Arial" w:hAnsi="Arial" w:eastAsia="Arial" w:cs="Arial"/>
                <w:color w:val="2C3E50"/>
                <w:sz w:val="19"/>
                <w:szCs w:val="19"/>
              </w:rPr>
              <w:t>Static malware datasets (vision/binary), EMBER, PE (Portable Executable) feature sets. All tabular or vision-domain.</w:t>
            </w:r>
          </w:p>
        </w:tc>
      </w:tr>
      <w:tr w14:paraId="04336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3925B9F7">
            <w:r>
              <w:rPr>
                <w:rFonts w:ascii="Arial" w:hAnsi="Arial" w:eastAsia="Arial" w:cs="Arial"/>
                <w:b/>
                <w:bCs/>
                <w:color w:val="1F3864"/>
                <w:sz w:val="19"/>
                <w:szCs w:val="19"/>
              </w:rPr>
              <w:t>Assumption</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5B094DED">
            <w:r>
              <w:rPr>
                <w:rFonts w:ascii="Arial" w:hAnsi="Arial" w:eastAsia="Arial" w:cs="Arial"/>
                <w:color w:val="2C3E50"/>
                <w:sz w:val="19"/>
                <w:szCs w:val="19"/>
              </w:rPr>
              <w:t>Defender has access to a small, 100% CLEAN auxiliary dataset to guide neuron mask generation and fine-tuning.</w:t>
            </w:r>
          </w:p>
        </w:tc>
      </w:tr>
    </w:tbl>
    <w:p w14:paraId="4FE96CD6">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14:paraId="4ED14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08" w:type="dxa"/>
            <w:bottom w:w="120" w:type="dxa"/>
            <w:right w:w="108" w:type="dxa"/>
          </w:tblCellMar>
        </w:tblPrEx>
        <w:tc>
          <w:tcPr>
            <w:tcW w:w="9360" w:type="dxa"/>
            <w:tcBorders>
              <w:top w:val="nil"/>
              <w:left w:val="nil"/>
              <w:bottom w:val="nil"/>
              <w:right w:val="nil"/>
            </w:tcBorders>
            <w:shd w:val="clear" w:color="auto" w:fill="FADBD8"/>
            <w:tcMar>
              <w:top w:w="100" w:type="dxa"/>
              <w:left w:w="200" w:type="dxa"/>
              <w:bottom w:w="100" w:type="dxa"/>
              <w:right w:w="200" w:type="dxa"/>
            </w:tcMar>
          </w:tcPr>
          <w:p w14:paraId="34BBDBF6">
            <w:pPr>
              <w:spacing w:before="40" w:after="40"/>
            </w:pPr>
            <w:r>
              <w:rPr>
                <w:rFonts w:ascii="Arial" w:hAnsi="Arial" w:eastAsia="Arial" w:cs="Arial"/>
                <w:b/>
                <w:bCs/>
                <w:color w:val="C0392B"/>
                <w:sz w:val="20"/>
                <w:szCs w:val="20"/>
              </w:rPr>
              <w:t>Critical Gap (What They Missed)</w:t>
            </w:r>
          </w:p>
          <w:p w14:paraId="3AE90110">
            <w:pPr>
              <w:spacing w:before="40" w:after="40"/>
            </w:pPr>
            <w:r>
              <w:rPr>
                <w:rFonts w:ascii="Arial" w:hAnsi="Arial" w:eastAsia="Arial" w:cs="Arial"/>
                <w:color w:val="C0392B"/>
                <w:sz w:val="20"/>
                <w:szCs w:val="20"/>
              </w:rPr>
              <w:t>PBP explicitly notes in its conclusion: 'The study of how poisoned auxiliary data can affect purification methods is an important open problem.' If the fine-tuning data itself is poisoned, PBP's neuron mask aligns with the poisoned distribution — entirely neutralizing the defense. Additionally, PBP was NEVER evaluated on ICS/Smart Grid sensor data, time-series environments, or cyber-physical systems.</w:t>
            </w:r>
          </w:p>
        </w:tc>
      </w:tr>
    </w:tbl>
    <w:p w14:paraId="2F9F06B8">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14:paraId="2C54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08" w:type="dxa"/>
            <w:bottom w:w="120" w:type="dxa"/>
            <w:right w:w="108" w:type="dxa"/>
          </w:tblCellMar>
        </w:tblPrEx>
        <w:tc>
          <w:tcPr>
            <w:tcW w:w="9360" w:type="dxa"/>
            <w:tcBorders>
              <w:top w:val="nil"/>
              <w:left w:val="nil"/>
              <w:bottom w:val="nil"/>
              <w:right w:val="nil"/>
            </w:tcBorders>
            <w:shd w:val="clear" w:color="auto" w:fill="D4EFEB"/>
            <w:tcMar>
              <w:top w:w="100" w:type="dxa"/>
              <w:left w:w="200" w:type="dxa"/>
              <w:bottom w:w="100" w:type="dxa"/>
              <w:right w:w="200" w:type="dxa"/>
            </w:tcMar>
          </w:tcPr>
          <w:p w14:paraId="0CDF267C">
            <w:pPr>
              <w:spacing w:before="40" w:after="40"/>
            </w:pPr>
            <w:r>
              <w:rPr>
                <w:rFonts w:ascii="Arial" w:hAnsi="Arial" w:eastAsia="Arial" w:cs="Arial"/>
                <w:b/>
                <w:bCs/>
                <w:color w:val="1A7F6E"/>
                <w:sz w:val="20"/>
                <w:szCs w:val="20"/>
              </w:rPr>
              <w:t>Our Role / Contribution</w:t>
            </w:r>
          </w:p>
          <w:p w14:paraId="75130C3C">
            <w:pPr>
              <w:spacing w:before="40" w:after="40"/>
            </w:pPr>
            <w:r>
              <w:rPr>
                <w:rFonts w:ascii="Arial" w:hAnsi="Arial" w:eastAsia="Arial" w:cs="Arial"/>
                <w:color w:val="1A7F6E"/>
                <w:sz w:val="20"/>
                <w:szCs w:val="20"/>
              </w:rPr>
              <w:t>PBP is our CORE FRAMEWORK. We extend PBP by inserting a physics-aware preprocessing sanitization layer before it executes. We solve PBP's own stated open problem — making it robust under compromised auxiliary data in the ICS domain.</w:t>
            </w:r>
          </w:p>
        </w:tc>
      </w:tr>
    </w:tbl>
    <w:p w14:paraId="4A91806A">
      <w:pPr>
        <w:spacing w:before="80" w:after="80"/>
      </w:pPr>
    </w:p>
    <w:p w14:paraId="3108FFFE">
      <w:pPr>
        <w:spacing w:before="60" w:after="80"/>
        <w:ind w:left="200"/>
      </w:pPr>
      <w:r>
        <w:rPr>
          <w:rFonts w:ascii="Arial" w:hAnsi="Arial" w:eastAsia="Arial" w:cs="Arial"/>
          <w:b/>
          <w:bCs/>
          <w:color w:val="1F3864"/>
          <w:sz w:val="20"/>
          <w:szCs w:val="20"/>
        </w:rPr>
        <w:t xml:space="preserve">ArXiv Paper: </w:t>
      </w:r>
      <w:r>
        <w:fldChar w:fldCharType="begin"/>
      </w:r>
      <w:r>
        <w:instrText xml:space="preserve"> HYPERLINK "https://arxiv.org/abs/2412.03441" </w:instrText>
      </w:r>
      <w:r>
        <w:fldChar w:fldCharType="separate"/>
      </w:r>
      <w:r>
        <w:rPr>
          <w:rFonts w:ascii="Arial" w:hAnsi="Arial" w:eastAsia="Arial" w:cs="Arial"/>
          <w:color w:val="2E5A9C"/>
          <w:sz w:val="20"/>
          <w:szCs w:val="20"/>
          <w:u w:val="single"/>
        </w:rPr>
        <w:t>https://arxiv.org/abs/2412.03441</w:t>
      </w:r>
      <w:r>
        <w:rPr>
          <w:rFonts w:ascii="Arial" w:hAnsi="Arial" w:eastAsia="Arial" w:cs="Arial"/>
          <w:color w:val="2E5A9C"/>
          <w:sz w:val="20"/>
          <w:szCs w:val="20"/>
          <w:u w:val="single"/>
        </w:rPr>
        <w:fldChar w:fldCharType="end"/>
      </w:r>
    </w:p>
    <w:p w14:paraId="1FBC70FE">
      <w:pPr>
        <w:spacing w:before="60" w:after="80"/>
        <w:ind w:left="200"/>
      </w:pPr>
      <w:r>
        <w:rPr>
          <w:rFonts w:ascii="Arial" w:hAnsi="Arial" w:eastAsia="Arial" w:cs="Arial"/>
          <w:b/>
          <w:bCs/>
          <w:color w:val="1F3864"/>
          <w:sz w:val="20"/>
          <w:szCs w:val="20"/>
        </w:rPr>
        <w:t xml:space="preserve">NDSS 2025 PDF: </w:t>
      </w:r>
      <w:r>
        <w:fldChar w:fldCharType="begin"/>
      </w:r>
      <w:r>
        <w:instrText xml:space="preserve"> HYPERLINK "https://www.ndss-symposium.org/wp-content/uploads/2025-603-paper.pdf" </w:instrText>
      </w:r>
      <w:r>
        <w:fldChar w:fldCharType="separate"/>
      </w:r>
      <w:r>
        <w:rPr>
          <w:rFonts w:ascii="Arial" w:hAnsi="Arial" w:eastAsia="Arial" w:cs="Arial"/>
          <w:color w:val="2E5A9C"/>
          <w:sz w:val="20"/>
          <w:szCs w:val="20"/>
          <w:u w:val="single"/>
        </w:rPr>
        <w:t>https://www.ndss-symposium.org/wp-content/uploads/2025-603-paper.pdf</w:t>
      </w:r>
      <w:r>
        <w:rPr>
          <w:rFonts w:ascii="Arial" w:hAnsi="Arial" w:eastAsia="Arial" w:cs="Arial"/>
          <w:color w:val="2E5A9C"/>
          <w:sz w:val="20"/>
          <w:szCs w:val="20"/>
          <w:u w:val="single"/>
        </w:rPr>
        <w:fldChar w:fldCharType="end"/>
      </w:r>
    </w:p>
    <w:p w14:paraId="146A1053">
      <w:pPr>
        <w:spacing w:before="60" w:after="80"/>
        <w:ind w:left="200"/>
      </w:pPr>
      <w:r>
        <w:rPr>
          <w:rFonts w:ascii="Arial" w:hAnsi="Arial" w:eastAsia="Arial" w:cs="Arial"/>
          <w:b/>
          <w:bCs/>
          <w:color w:val="1F3864"/>
          <w:sz w:val="20"/>
          <w:szCs w:val="20"/>
        </w:rPr>
        <w:t xml:space="preserve">GitHub Repository: </w:t>
      </w:r>
      <w:r>
        <w:fldChar w:fldCharType="begin"/>
      </w:r>
      <w:r>
        <w:instrText xml:space="preserve"> HYPERLINK "https://github.com/judydnguyen/pbp-backdoor-purification-official" </w:instrText>
      </w:r>
      <w:r>
        <w:fldChar w:fldCharType="separate"/>
      </w:r>
      <w:r>
        <w:rPr>
          <w:rFonts w:ascii="Arial" w:hAnsi="Arial" w:eastAsia="Arial" w:cs="Arial"/>
          <w:color w:val="2E5A9C"/>
          <w:sz w:val="20"/>
          <w:szCs w:val="20"/>
          <w:u w:val="single"/>
        </w:rPr>
        <w:t>https://github.com/judydnguyen/pbp-backdoor-purification-official</w:t>
      </w:r>
      <w:r>
        <w:rPr>
          <w:rFonts w:ascii="Arial" w:hAnsi="Arial" w:eastAsia="Arial" w:cs="Arial"/>
          <w:color w:val="2E5A9C"/>
          <w:sz w:val="20"/>
          <w:szCs w:val="20"/>
          <w:u w:val="single"/>
        </w:rPr>
        <w:fldChar w:fldCharType="end"/>
      </w:r>
    </w:p>
    <w:p w14:paraId="53B3230C">
      <w:pPr>
        <w:spacing w:before="60" w:after="80"/>
        <w:ind w:left="200"/>
      </w:pPr>
      <w:r>
        <w:rPr>
          <w:rFonts w:ascii="Arial" w:hAnsi="Arial" w:eastAsia="Arial" w:cs="Arial"/>
          <w:b/>
          <w:bCs/>
          <w:color w:val="1F3864"/>
          <w:sz w:val="20"/>
          <w:szCs w:val="20"/>
        </w:rPr>
        <w:t xml:space="preserve">ResearchGate: </w:t>
      </w:r>
      <w:r>
        <w:fldChar w:fldCharType="begin"/>
      </w:r>
      <w:r>
        <w:instrText xml:space="preserve"> HYPERLINK "https://www.researchgate.net/publication/390108865_PBP_Post-training_Backdoor_Purification_for_Malware_Classifiers" </w:instrText>
      </w:r>
      <w:r>
        <w:fldChar w:fldCharType="separate"/>
      </w:r>
      <w:r>
        <w:rPr>
          <w:rFonts w:ascii="Arial" w:hAnsi="Arial" w:eastAsia="Arial" w:cs="Arial"/>
          <w:color w:val="2E5A9C"/>
          <w:sz w:val="20"/>
          <w:szCs w:val="20"/>
          <w:u w:val="single"/>
        </w:rPr>
        <w:t>https://www.researchgate.net/publication/390108865_PBP_Post-training_Backdoor_Purification_for_Malware_Classifiers</w:t>
      </w:r>
      <w:r>
        <w:rPr>
          <w:rFonts w:ascii="Arial" w:hAnsi="Arial" w:eastAsia="Arial" w:cs="Arial"/>
          <w:color w:val="2E5A9C"/>
          <w:sz w:val="20"/>
          <w:szCs w:val="20"/>
          <w:u w:val="single"/>
        </w:rPr>
        <w:fldChar w:fldCharType="end"/>
      </w:r>
    </w:p>
    <w:p w14:paraId="42B2B72B">
      <w:pPr>
        <w:spacing w:before="60" w:after="80"/>
        <w:ind w:left="200"/>
      </w:pPr>
      <w:r>
        <w:rPr>
          <w:rFonts w:ascii="Arial" w:hAnsi="Arial" w:eastAsia="Arial" w:cs="Arial"/>
          <w:b/>
          <w:bCs/>
          <w:color w:val="1F3864"/>
          <w:sz w:val="20"/>
          <w:szCs w:val="20"/>
        </w:rPr>
        <w:t xml:space="preserve">Google Drive (Full PDF): </w:t>
      </w:r>
      <w:r>
        <w:fldChar w:fldCharType="begin"/>
      </w:r>
      <w:r>
        <w:instrText xml:space="preserve"> HYPERLINK "https://drive.google.com/file/d/1SMDqFCzZIGbXfD4bIT1Nxnp3EnwdpKZw/view?usp=sharing" </w:instrText>
      </w:r>
      <w:r>
        <w:fldChar w:fldCharType="separate"/>
      </w:r>
      <w:r>
        <w:rPr>
          <w:rFonts w:ascii="Arial" w:hAnsi="Arial" w:eastAsia="Arial" w:cs="Arial"/>
          <w:color w:val="2E5A9C"/>
          <w:sz w:val="20"/>
          <w:szCs w:val="20"/>
          <w:u w:val="single"/>
        </w:rPr>
        <w:t>https://drive.google.com/file/d/1SMDqFCzZIGbXfD4bIT1Nxnp3EnwdpKZw/view?usp=sharing</w:t>
      </w:r>
      <w:r>
        <w:rPr>
          <w:rFonts w:ascii="Arial" w:hAnsi="Arial" w:eastAsia="Arial" w:cs="Arial"/>
          <w:color w:val="2E5A9C"/>
          <w:sz w:val="20"/>
          <w:szCs w:val="20"/>
          <w:u w:val="single"/>
        </w:rPr>
        <w:fldChar w:fldCharType="end"/>
      </w:r>
    </w:p>
    <w:p w14:paraId="74112CE5">
      <w:pPr>
        <w:pBdr>
          <w:bottom w:val="single" w:color="C5D5E8" w:sz="2" w:space="0"/>
        </w:pBdr>
        <w:spacing w:before="160" w:after="160"/>
      </w:pPr>
    </w:p>
    <w:p w14:paraId="136B7AE8">
      <w:r>
        <w:br w:type="page"/>
      </w:r>
    </w:p>
    <w:p w14:paraId="065EA494">
      <w:pPr>
        <w:pStyle w:val="2"/>
        <w:pBdr>
          <w:bottom w:val="single" w:color="1A7F6E" w:sz="4" w:space="0"/>
        </w:pBdr>
        <w:shd w:val="clear" w:fill="1F3864"/>
        <w:spacing w:before="360" w:after="200"/>
        <w:ind w:left="200" w:right="200"/>
      </w:pPr>
      <w:r>
        <w:rPr>
          <w:rFonts w:ascii="Arial" w:hAnsi="Arial" w:eastAsia="Arial" w:cs="Arial"/>
          <w:b/>
          <w:bCs/>
          <w:color w:val="FFFFFF"/>
          <w:sz w:val="32"/>
          <w:szCs w:val="32"/>
        </w:rPr>
        <w:t xml:space="preserve">  Paper 2: Clean-ET — Clean-Label Backdoor in Smart Grid</w:t>
      </w:r>
    </w:p>
    <w:p w14:paraId="66FDA410">
      <w:pPr>
        <w:spacing w:before="60" w:after="60"/>
      </w:pPr>
    </w:p>
    <w:p w14:paraId="43C4BC54">
      <w:pPr>
        <w:spacing w:before="200" w:after="80"/>
        <w:ind w:left="100"/>
      </w:pPr>
      <w:r>
        <w:rPr>
          <w:rFonts w:ascii="Arial" w:hAnsi="Arial" w:eastAsia="Arial" w:cs="Arial"/>
          <w:b/>
          <w:bCs/>
          <w:color w:val="2E5A9C"/>
          <w:sz w:val="22"/>
          <w:szCs w:val="22"/>
        </w:rPr>
        <w:t>Full Title</w:t>
      </w:r>
    </w:p>
    <w:p w14:paraId="5CCD6F5C">
      <w:pPr>
        <w:spacing w:before="60" w:after="60"/>
        <w:ind w:left="0"/>
      </w:pPr>
      <w:r>
        <w:rPr>
          <w:rFonts w:ascii="Arial" w:hAnsi="Arial" w:eastAsia="Arial" w:cs="Arial"/>
          <w:color w:val="2C3E50"/>
          <w:sz w:val="20"/>
          <w:szCs w:val="20"/>
        </w:rPr>
        <w:t>Clean-ET: Novel Electricity Theft Detection Method Based on Clean Backdoor Attack</w:t>
      </w:r>
    </w:p>
    <w:p w14:paraId="528E253A">
      <w:pPr>
        <w:spacing w:before="200" w:after="80"/>
        <w:ind w:left="100"/>
      </w:pPr>
      <w:r>
        <w:rPr>
          <w:rFonts w:ascii="Arial" w:hAnsi="Arial" w:eastAsia="Arial" w:cs="Arial"/>
          <w:b/>
          <w:bCs/>
          <w:color w:val="2E5A9C"/>
          <w:sz w:val="22"/>
          <w:szCs w:val="22"/>
        </w:rPr>
        <w:t>Authors &amp; Venue</w:t>
      </w:r>
    </w:p>
    <w:p w14:paraId="0784BBA2">
      <w:pPr>
        <w:spacing w:before="60" w:after="60"/>
        <w:ind w:left="0"/>
      </w:pPr>
      <w:r>
        <w:rPr>
          <w:rFonts w:ascii="Arial" w:hAnsi="Arial" w:eastAsia="Arial" w:cs="Arial"/>
          <w:color w:val="2C3E50"/>
          <w:sz w:val="20"/>
          <w:szCs w:val="20"/>
        </w:rPr>
        <w:t>Published: IEEE Transactions / IEEE Xplore (2025/2026)</w:t>
      </w:r>
    </w:p>
    <w:p w14:paraId="132BC296">
      <w:pPr>
        <w:spacing w:before="80" w:after="80"/>
      </w:pPr>
    </w:p>
    <w:p w14:paraId="574A33DC">
      <w:pPr>
        <w:spacing w:before="200" w:after="80"/>
        <w:ind w:left="100"/>
      </w:pPr>
      <w:r>
        <w:rPr>
          <w:rFonts w:ascii="Arial" w:hAnsi="Arial" w:eastAsia="Arial" w:cs="Arial"/>
          <w:b/>
          <w:bCs/>
          <w:color w:val="1A7F6E"/>
          <w:sz w:val="22"/>
          <w:szCs w:val="22"/>
        </w:rPr>
        <w:t>What They Did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200" w:type="dxa"/>
          <w:right w:w="108" w:type="dxa"/>
        </w:tblCellMar>
      </w:tblPr>
      <w:tblGrid>
        <w:gridCol w:w="2000"/>
        <w:gridCol w:w="7360"/>
      </w:tblGrid>
      <w:tr w14:paraId="16B72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66ACEB1B">
            <w:r>
              <w:rPr>
                <w:rFonts w:ascii="Arial" w:hAnsi="Arial" w:eastAsia="Arial" w:cs="Arial"/>
                <w:b/>
                <w:bCs/>
                <w:color w:val="1F3864"/>
                <w:sz w:val="19"/>
                <w:szCs w:val="19"/>
              </w:rPr>
              <w:t>Core Idea</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41CDA800">
            <w:r>
              <w:rPr>
                <w:rFonts w:ascii="Arial" w:hAnsi="Arial" w:eastAsia="Arial" w:cs="Arial"/>
                <w:color w:val="2C3E50"/>
                <w:sz w:val="19"/>
                <w:szCs w:val="19"/>
              </w:rPr>
              <w:t>Designed a sophisticated clean-label backdoor attack specifically targeting Electricity Theft Detection (ETD) classifiers in Smart Grids — a direct ICS/energy domain application.</w:t>
            </w:r>
          </w:p>
        </w:tc>
      </w:tr>
      <w:tr w14:paraId="70A88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36852B55">
            <w:r>
              <w:rPr>
                <w:rFonts w:ascii="Arial" w:hAnsi="Arial" w:eastAsia="Arial" w:cs="Arial"/>
                <w:b/>
                <w:bCs/>
                <w:color w:val="1F3864"/>
                <w:sz w:val="19"/>
                <w:szCs w:val="19"/>
              </w:rPr>
              <w:t>Attack Method</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54B1E23D">
            <w:r>
              <w:rPr>
                <w:rFonts w:ascii="Arial" w:hAnsi="Arial" w:eastAsia="Arial" w:cs="Arial"/>
                <w:color w:val="2C3E50"/>
                <w:sz w:val="19"/>
                <w:szCs w:val="19"/>
              </w:rPr>
              <w:t>Uses mathematical optimization to blend triggers into natural seasonal electricity consumption patterns via carefully structured Gaussian noise and temporal periodic characteristics — invisible to human inspection.</w:t>
            </w:r>
          </w:p>
        </w:tc>
      </w:tr>
      <w:tr w14:paraId="79CC9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5364B3E6">
            <w:r>
              <w:rPr>
                <w:rFonts w:ascii="Arial" w:hAnsi="Arial" w:eastAsia="Arial" w:cs="Arial"/>
                <w:b/>
                <w:bCs/>
                <w:color w:val="1F3864"/>
                <w:sz w:val="19"/>
                <w:szCs w:val="19"/>
              </w:rPr>
              <w:t>Trigger Design</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12546216">
            <w:r>
              <w:rPr>
                <w:rFonts w:ascii="Arial" w:hAnsi="Arial" w:eastAsia="Arial" w:cs="Arial"/>
                <w:color w:val="2C3E50"/>
                <w:sz w:val="19"/>
                <w:szCs w:val="19"/>
              </w:rPr>
              <w:t>Unlike standard 'dirty-label' attacks that visually corrupt data, Clean-ET crafts triggers that perfectly mimic benign seasonal variance, making standard anomaly filters blind to them.</w:t>
            </w:r>
          </w:p>
        </w:tc>
      </w:tr>
      <w:tr w14:paraId="3C7EA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4217A2A1">
            <w:r>
              <w:rPr>
                <w:rFonts w:ascii="Arial" w:hAnsi="Arial" w:eastAsia="Arial" w:cs="Arial"/>
                <w:b/>
                <w:bCs/>
                <w:color w:val="1F3864"/>
                <w:sz w:val="19"/>
                <w:szCs w:val="19"/>
              </w:rPr>
              <w:t>Attack Success</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74D78A32">
            <w:r>
              <w:rPr>
                <w:rFonts w:ascii="Arial" w:hAnsi="Arial" w:eastAsia="Arial" w:cs="Arial"/>
                <w:color w:val="2C3E50"/>
                <w:sz w:val="19"/>
                <w:szCs w:val="19"/>
              </w:rPr>
              <w:t>Achieves ASR between 80%–94% across Logistic Regression, MLP, and LSTM classifiers under realistic smart grid conditions.</w:t>
            </w:r>
          </w:p>
        </w:tc>
      </w:tr>
      <w:tr w14:paraId="25503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40CBC0F6">
            <w:r>
              <w:rPr>
                <w:rFonts w:ascii="Arial" w:hAnsi="Arial" w:eastAsia="Arial" w:cs="Arial"/>
                <w:b/>
                <w:bCs/>
                <w:color w:val="1F3864"/>
                <w:sz w:val="19"/>
                <w:szCs w:val="19"/>
              </w:rPr>
              <w:t>Defense Tested</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21EFB779">
            <w:r>
              <w:rPr>
                <w:rFonts w:ascii="Arial" w:hAnsi="Arial" w:eastAsia="Arial" w:cs="Arial"/>
                <w:color w:val="2C3E50"/>
                <w:sz w:val="19"/>
                <w:szCs w:val="19"/>
              </w:rPr>
              <w:t>Authors briefly tested basic data filtration and raw adversarial training — both failed because they assume visibility over anomaly metrics, which is impossible when the trigger mimics benign patterns.</w:t>
            </w:r>
          </w:p>
        </w:tc>
      </w:tr>
    </w:tbl>
    <w:p w14:paraId="3C5BF03D">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14:paraId="58875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08" w:type="dxa"/>
            <w:bottom w:w="120" w:type="dxa"/>
            <w:right w:w="108" w:type="dxa"/>
          </w:tblCellMar>
        </w:tblPrEx>
        <w:tc>
          <w:tcPr>
            <w:tcW w:w="9360" w:type="dxa"/>
            <w:tcBorders>
              <w:top w:val="nil"/>
              <w:left w:val="nil"/>
              <w:bottom w:val="nil"/>
              <w:right w:val="nil"/>
            </w:tcBorders>
            <w:shd w:val="clear" w:color="auto" w:fill="FADBD8"/>
            <w:tcMar>
              <w:top w:w="100" w:type="dxa"/>
              <w:left w:w="200" w:type="dxa"/>
              <w:bottom w:w="100" w:type="dxa"/>
              <w:right w:w="200" w:type="dxa"/>
            </w:tcMar>
          </w:tcPr>
          <w:p w14:paraId="7CE393FB">
            <w:pPr>
              <w:spacing w:before="40" w:after="40"/>
            </w:pPr>
            <w:r>
              <w:rPr>
                <w:rFonts w:ascii="Arial" w:hAnsi="Arial" w:eastAsia="Arial" w:cs="Arial"/>
                <w:b/>
                <w:bCs/>
                <w:color w:val="C0392B"/>
                <w:sz w:val="20"/>
                <w:szCs w:val="20"/>
              </w:rPr>
              <w:t>Critical Gap (What They Missed)</w:t>
            </w:r>
          </w:p>
          <w:p w14:paraId="3E6F7BF7">
            <w:pPr>
              <w:spacing w:before="40" w:after="40"/>
            </w:pPr>
            <w:r>
              <w:rPr>
                <w:rFonts w:ascii="Arial" w:hAnsi="Arial" w:eastAsia="Arial" w:cs="Arial"/>
                <w:color w:val="C0392B"/>
                <w:sz w:val="20"/>
                <w:szCs w:val="20"/>
              </w:rPr>
              <w:t>Clean-ET is entirely offensive — it demonstrates the vulnerability but proposes no real defense. The defense mechanisms they tested assume the defender can immediately see anomalous patterns, which is exactly what Clean-ET is designed to prevent. No purification framework was designed or tested against this stealthy attack.</w:t>
            </w:r>
          </w:p>
        </w:tc>
      </w:tr>
    </w:tbl>
    <w:p w14:paraId="7F308475">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14:paraId="48A90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08" w:type="dxa"/>
            <w:bottom w:w="120" w:type="dxa"/>
            <w:right w:w="108" w:type="dxa"/>
          </w:tblCellMar>
        </w:tblPrEx>
        <w:tc>
          <w:tcPr>
            <w:tcW w:w="9360" w:type="dxa"/>
            <w:tcBorders>
              <w:top w:val="nil"/>
              <w:left w:val="nil"/>
              <w:bottom w:val="nil"/>
              <w:right w:val="nil"/>
            </w:tcBorders>
            <w:shd w:val="clear" w:color="auto" w:fill="D4EFEB"/>
            <w:tcMar>
              <w:top w:w="100" w:type="dxa"/>
              <w:left w:w="200" w:type="dxa"/>
              <w:bottom w:w="100" w:type="dxa"/>
              <w:right w:w="200" w:type="dxa"/>
            </w:tcMar>
          </w:tcPr>
          <w:p w14:paraId="2379D51A">
            <w:pPr>
              <w:spacing w:before="40" w:after="40"/>
            </w:pPr>
            <w:r>
              <w:rPr>
                <w:rFonts w:ascii="Arial" w:hAnsi="Arial" w:eastAsia="Arial" w:cs="Arial"/>
                <w:b/>
                <w:bCs/>
                <w:color w:val="1A7F6E"/>
                <w:sz w:val="20"/>
                <w:szCs w:val="20"/>
              </w:rPr>
              <w:t>Our Role / Contribution</w:t>
            </w:r>
          </w:p>
          <w:p w14:paraId="19CA2AF0">
            <w:pPr>
              <w:spacing w:before="40" w:after="40"/>
            </w:pPr>
            <w:r>
              <w:rPr>
                <w:rFonts w:ascii="Arial" w:hAnsi="Arial" w:eastAsia="Arial" w:cs="Arial"/>
                <w:color w:val="1A7F6E"/>
                <w:sz w:val="20"/>
                <w:szCs w:val="20"/>
              </w:rPr>
              <w:t>Clean-ET is our PRIMARY ATTACK MODEL. We simulate this exact 2025 attack on our SWaT/ETD dataset to demonstrate that standard PBP (and all baselines) fail when auxiliary data is compromised by this stealthy attack. We then prove our Robust PBP framework successfully purifies the model even against this advanced vector.</w:t>
            </w:r>
          </w:p>
        </w:tc>
      </w:tr>
    </w:tbl>
    <w:p w14:paraId="2D5F2FCF">
      <w:pPr>
        <w:spacing w:before="80" w:after="80"/>
      </w:pPr>
    </w:p>
    <w:p w14:paraId="6A12E086">
      <w:pPr>
        <w:spacing w:before="60" w:after="80"/>
        <w:ind w:left="200"/>
      </w:pPr>
      <w:r>
        <w:rPr>
          <w:rFonts w:ascii="Arial" w:hAnsi="Arial" w:eastAsia="Arial" w:cs="Arial"/>
          <w:b/>
          <w:bCs/>
          <w:color w:val="1F3864"/>
          <w:sz w:val="20"/>
          <w:szCs w:val="20"/>
        </w:rPr>
        <w:t xml:space="preserve">IEEE Xplore Paper: </w:t>
      </w:r>
      <w:r>
        <w:fldChar w:fldCharType="begin"/>
      </w:r>
      <w:r>
        <w:instrText xml:space="preserve"> HYPERLINK "https://ieeexplore.ieee.org/abstract/document/11320916" </w:instrText>
      </w:r>
      <w:r>
        <w:fldChar w:fldCharType="separate"/>
      </w:r>
      <w:r>
        <w:rPr>
          <w:rFonts w:ascii="Arial" w:hAnsi="Arial" w:eastAsia="Arial" w:cs="Arial"/>
          <w:color w:val="2E5A9C"/>
          <w:sz w:val="20"/>
          <w:szCs w:val="20"/>
          <w:u w:val="single"/>
        </w:rPr>
        <w:t>https://ieeexplore.ieee.org/abstract/document/11320916</w:t>
      </w:r>
      <w:r>
        <w:rPr>
          <w:rFonts w:ascii="Arial" w:hAnsi="Arial" w:eastAsia="Arial" w:cs="Arial"/>
          <w:color w:val="2E5A9C"/>
          <w:sz w:val="20"/>
          <w:szCs w:val="20"/>
          <w:u w:val="single"/>
        </w:rPr>
        <w:fldChar w:fldCharType="end"/>
      </w:r>
    </w:p>
    <w:p w14:paraId="71A5825F">
      <w:pPr>
        <w:pBdr>
          <w:bottom w:val="single" w:color="C5D5E8" w:sz="2" w:space="0"/>
        </w:pBdr>
        <w:spacing w:before="160" w:after="160"/>
      </w:pPr>
    </w:p>
    <w:p w14:paraId="64DFCEE6">
      <w:r>
        <w:br w:type="page"/>
      </w:r>
    </w:p>
    <w:p w14:paraId="5F25C7C5">
      <w:pPr>
        <w:pStyle w:val="2"/>
        <w:pBdr>
          <w:bottom w:val="single" w:color="1A7F6E" w:sz="4" w:space="0"/>
        </w:pBdr>
        <w:shd w:val="clear" w:fill="1F3864"/>
        <w:spacing w:before="360" w:after="200"/>
        <w:ind w:left="200" w:right="200"/>
      </w:pPr>
      <w:r>
        <w:rPr>
          <w:rFonts w:ascii="Arial" w:hAnsi="Arial" w:eastAsia="Arial" w:cs="Arial"/>
          <w:b/>
          <w:bCs/>
          <w:color w:val="FFFFFF"/>
          <w:sz w:val="32"/>
          <w:szCs w:val="32"/>
        </w:rPr>
        <w:t xml:space="preserve">  Paper 3: MITA — Model-Independent Trojan Attack (Smart Grid)</w:t>
      </w:r>
    </w:p>
    <w:p w14:paraId="2CDD9287">
      <w:pPr>
        <w:spacing w:before="60" w:after="60"/>
      </w:pPr>
    </w:p>
    <w:p w14:paraId="41D4469D">
      <w:pPr>
        <w:spacing w:before="200" w:after="80"/>
        <w:ind w:left="100"/>
      </w:pPr>
      <w:r>
        <w:rPr>
          <w:rFonts w:ascii="Arial" w:hAnsi="Arial" w:eastAsia="Arial" w:cs="Arial"/>
          <w:b/>
          <w:bCs/>
          <w:color w:val="2E5A9C"/>
          <w:sz w:val="22"/>
          <w:szCs w:val="22"/>
        </w:rPr>
        <w:t>Full Title</w:t>
      </w:r>
    </w:p>
    <w:p w14:paraId="78EB9043">
      <w:pPr>
        <w:spacing w:before="60" w:after="60"/>
        <w:ind w:left="0"/>
      </w:pPr>
      <w:r>
        <w:rPr>
          <w:rFonts w:ascii="Arial" w:hAnsi="Arial" w:eastAsia="Arial" w:cs="Arial"/>
          <w:color w:val="2C3E50"/>
          <w:sz w:val="20"/>
          <w:szCs w:val="20"/>
        </w:rPr>
        <w:t>MITA: Model-Independent Trojan Attack on Deep Learning for Critical Heavy Machinery Protection</w:t>
      </w:r>
    </w:p>
    <w:p w14:paraId="1CDE920D">
      <w:pPr>
        <w:spacing w:before="200" w:after="80"/>
        <w:ind w:left="100"/>
      </w:pPr>
      <w:r>
        <w:rPr>
          <w:rFonts w:ascii="Arial" w:hAnsi="Arial" w:eastAsia="Arial" w:cs="Arial"/>
          <w:b/>
          <w:bCs/>
          <w:color w:val="2E5A9C"/>
          <w:sz w:val="22"/>
          <w:szCs w:val="22"/>
        </w:rPr>
        <w:t>Authors &amp; Venue</w:t>
      </w:r>
    </w:p>
    <w:p w14:paraId="38209FF4">
      <w:pPr>
        <w:spacing w:before="60" w:after="60"/>
        <w:ind w:left="0"/>
      </w:pPr>
      <w:r>
        <w:rPr>
          <w:rFonts w:ascii="Arial" w:hAnsi="Arial" w:eastAsia="Arial" w:cs="Arial"/>
          <w:color w:val="2C3E50"/>
          <w:sz w:val="20"/>
          <w:szCs w:val="20"/>
        </w:rPr>
        <w:t>Published: IEEE Xplore (2025)</w:t>
      </w:r>
    </w:p>
    <w:p w14:paraId="0CC89079">
      <w:pPr>
        <w:spacing w:before="80" w:after="80"/>
      </w:pPr>
    </w:p>
    <w:p w14:paraId="622B2C21">
      <w:pPr>
        <w:spacing w:before="200" w:after="80"/>
        <w:ind w:left="100"/>
      </w:pPr>
      <w:r>
        <w:rPr>
          <w:rFonts w:ascii="Arial" w:hAnsi="Arial" w:eastAsia="Arial" w:cs="Arial"/>
          <w:b/>
          <w:bCs/>
          <w:color w:val="1A7F6E"/>
          <w:sz w:val="22"/>
          <w:szCs w:val="22"/>
        </w:rPr>
        <w:t>What They Did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200" w:type="dxa"/>
          <w:right w:w="108" w:type="dxa"/>
        </w:tblCellMar>
      </w:tblPr>
      <w:tblGrid>
        <w:gridCol w:w="2000"/>
        <w:gridCol w:w="7360"/>
      </w:tblGrid>
      <w:tr w14:paraId="3B393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4E4234A3">
            <w:r>
              <w:rPr>
                <w:rFonts w:ascii="Arial" w:hAnsi="Arial" w:eastAsia="Arial" w:cs="Arial"/>
                <w:b/>
                <w:bCs/>
                <w:color w:val="1F3864"/>
                <w:sz w:val="19"/>
                <w:szCs w:val="19"/>
              </w:rPr>
              <w:t>Core Idea</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03EDB235">
            <w:r>
              <w:rPr>
                <w:rFonts w:ascii="Arial" w:hAnsi="Arial" w:eastAsia="Arial" w:cs="Arial"/>
                <w:color w:val="2C3E50"/>
                <w:sz w:val="19"/>
                <w:szCs w:val="19"/>
              </w:rPr>
              <w:t>Designs a specialized Trojan backdoor attack targeting deep learning models protecting Transformer Differential Relays (TDRs) in Smart Grids — physical heavy machinery in power infrastructure.</w:t>
            </w:r>
          </w:p>
        </w:tc>
      </w:tr>
      <w:tr w14:paraId="6BEF4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62E2DDE2">
            <w:r>
              <w:rPr>
                <w:rFonts w:ascii="Arial" w:hAnsi="Arial" w:eastAsia="Arial" w:cs="Arial"/>
                <w:b/>
                <w:bCs/>
                <w:color w:val="1F3864"/>
                <w:sz w:val="19"/>
                <w:szCs w:val="19"/>
              </w:rPr>
              <w:t>Attack Mechanism</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4E97CFFC">
            <w:r>
              <w:rPr>
                <w:rFonts w:ascii="Arial" w:hAnsi="Arial" w:eastAsia="Arial" w:cs="Arial"/>
                <w:color w:val="2C3E50"/>
                <w:sz w:val="19"/>
                <w:szCs w:val="19"/>
              </w:rPr>
              <w:t>Injects a customized trigger signal into TDR physical telemetry measurements. When inactive: system functions normally. When activated: forces the DL model to misclassify a malicious False Data Injection Attack (FDIA) as a mechanical 'fault'.</w:t>
            </w:r>
          </w:p>
        </w:tc>
      </w:tr>
      <w:tr w14:paraId="27B6C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072A8D20">
            <w:r>
              <w:rPr>
                <w:rFonts w:ascii="Arial" w:hAnsi="Arial" w:eastAsia="Arial" w:cs="Arial"/>
                <w:b/>
                <w:bCs/>
                <w:color w:val="1F3864"/>
                <w:sz w:val="19"/>
                <w:szCs w:val="19"/>
              </w:rPr>
              <w:t>Physical Impact</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1C2AA91E">
            <w:r>
              <w:rPr>
                <w:rFonts w:ascii="Arial" w:hAnsi="Arial" w:eastAsia="Arial" w:cs="Arial"/>
                <w:color w:val="2C3E50"/>
                <w:sz w:val="19"/>
                <w:szCs w:val="19"/>
              </w:rPr>
              <w:t>Misclassification triggers unnecessary circuit breaker trips causing cascading failures and widespread grid blackouts. This demonstrates catastrophic real-world consequences beyond classification errors.</w:t>
            </w:r>
          </w:p>
        </w:tc>
      </w:tr>
      <w:tr w14:paraId="1B954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5CA1B91E">
            <w:r>
              <w:rPr>
                <w:rFonts w:ascii="Arial" w:hAnsi="Arial" w:eastAsia="Arial" w:cs="Arial"/>
                <w:b/>
                <w:bCs/>
                <w:color w:val="1F3864"/>
                <w:sz w:val="19"/>
                <w:szCs w:val="19"/>
              </w:rPr>
              <w:t>Architecture Independence</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6C47509D">
            <w:r>
              <w:rPr>
                <w:rFonts w:ascii="Arial" w:hAnsi="Arial" w:eastAsia="Arial" w:cs="Arial"/>
                <w:color w:val="2C3E50"/>
                <w:sz w:val="19"/>
                <w:szCs w:val="19"/>
              </w:rPr>
              <w:t>Works across diverse DL model architectures (LSTM, CNN, DNN) without retraining — hence 'Model-Independent'. Achieves 99%+ attack success rate.</w:t>
            </w:r>
          </w:p>
        </w:tc>
      </w:tr>
      <w:tr w14:paraId="0D571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317FA343">
            <w:r>
              <w:rPr>
                <w:rFonts w:ascii="Arial" w:hAnsi="Arial" w:eastAsia="Arial" w:cs="Arial"/>
                <w:b/>
                <w:bCs/>
                <w:color w:val="1F3864"/>
                <w:sz w:val="19"/>
                <w:szCs w:val="19"/>
              </w:rPr>
              <w:t>Threat Model</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7A34FD54">
            <w:r>
              <w:rPr>
                <w:rFonts w:ascii="Arial" w:hAnsi="Arial" w:eastAsia="Arial" w:cs="Arial"/>
                <w:color w:val="2C3E50"/>
                <w:sz w:val="19"/>
                <w:szCs w:val="19"/>
              </w:rPr>
              <w:t>Operates on black-box / architecture-independent plane — standard post-processing defensive methods relying on software-level monitoring cannot detect it.</w:t>
            </w:r>
          </w:p>
        </w:tc>
      </w:tr>
    </w:tbl>
    <w:p w14:paraId="05961BEE">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14:paraId="460F0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nil"/>
              <w:left w:val="nil"/>
              <w:bottom w:val="nil"/>
              <w:right w:val="nil"/>
            </w:tcBorders>
            <w:shd w:val="clear" w:color="auto" w:fill="FADBD8"/>
            <w:tcMar>
              <w:top w:w="100" w:type="dxa"/>
              <w:left w:w="200" w:type="dxa"/>
              <w:bottom w:w="100" w:type="dxa"/>
              <w:right w:w="200" w:type="dxa"/>
            </w:tcMar>
          </w:tcPr>
          <w:p w14:paraId="5672F253">
            <w:pPr>
              <w:spacing w:before="40" w:after="40"/>
            </w:pPr>
            <w:r>
              <w:rPr>
                <w:rFonts w:ascii="Arial" w:hAnsi="Arial" w:eastAsia="Arial" w:cs="Arial"/>
                <w:b/>
                <w:bCs/>
                <w:color w:val="C0392B"/>
                <w:sz w:val="20"/>
                <w:szCs w:val="20"/>
              </w:rPr>
              <w:t>Critical Gap (What They Missed)</w:t>
            </w:r>
          </w:p>
          <w:p w14:paraId="7C0A595B">
            <w:pPr>
              <w:spacing w:before="40" w:after="40"/>
            </w:pPr>
            <w:r>
              <w:rPr>
                <w:rFonts w:ascii="Arial" w:hAnsi="Arial" w:eastAsia="Arial" w:cs="Arial"/>
                <w:color w:val="C0392B"/>
                <w:sz w:val="20"/>
                <w:szCs w:val="20"/>
              </w:rPr>
              <w:t>MITA proves physical consequences but proposes no defense. It demonstrates why standard software-layer defenses fail against attacks that manipulate physical telemetry. No purification or cleansing strategy was proposed or validated.</w:t>
            </w:r>
          </w:p>
        </w:tc>
      </w:tr>
    </w:tbl>
    <w:p w14:paraId="4940D9C3">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14:paraId="07CF9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nil"/>
              <w:left w:val="nil"/>
              <w:bottom w:val="nil"/>
              <w:right w:val="nil"/>
            </w:tcBorders>
            <w:shd w:val="clear" w:color="auto" w:fill="FDEBD0"/>
            <w:tcMar>
              <w:top w:w="100" w:type="dxa"/>
              <w:left w:w="200" w:type="dxa"/>
              <w:bottom w:w="100" w:type="dxa"/>
              <w:right w:w="200" w:type="dxa"/>
            </w:tcMar>
          </w:tcPr>
          <w:p w14:paraId="0E65D9DA">
            <w:pPr>
              <w:spacing w:before="40" w:after="40"/>
            </w:pPr>
            <w:r>
              <w:rPr>
                <w:rFonts w:ascii="Arial" w:hAnsi="Arial" w:eastAsia="Arial" w:cs="Arial"/>
                <w:b/>
                <w:bCs/>
                <w:color w:val="D35400"/>
                <w:sz w:val="20"/>
                <w:szCs w:val="20"/>
              </w:rPr>
              <w:t>Our Role / Contribution</w:t>
            </w:r>
          </w:p>
          <w:p w14:paraId="07138CBD">
            <w:pPr>
              <w:spacing w:before="40" w:after="40"/>
            </w:pPr>
            <w:r>
              <w:rPr>
                <w:rFonts w:ascii="Arial" w:hAnsi="Arial" w:eastAsia="Arial" w:cs="Arial"/>
                <w:color w:val="D35400"/>
                <w:sz w:val="20"/>
                <w:szCs w:val="20"/>
              </w:rPr>
              <w:t>MITA serves as our CRITICAL INFRASTRUCTURE IMPACT JUSTIFICATION. It validates to reviewers and faculty why smart grid defense requires analyzing physical sensor constraints (telemetry correlations) rather than treating it as a standard ML classification problem. It motivates the physics-aware component of our sanitization layer.</w:t>
            </w:r>
          </w:p>
        </w:tc>
      </w:tr>
    </w:tbl>
    <w:p w14:paraId="551EF2FD">
      <w:pPr>
        <w:spacing w:before="80" w:after="80"/>
      </w:pPr>
    </w:p>
    <w:p w14:paraId="33BCFB25">
      <w:pPr>
        <w:spacing w:before="60" w:after="80"/>
        <w:ind w:left="200"/>
      </w:pPr>
      <w:r>
        <w:rPr>
          <w:rFonts w:ascii="Arial" w:hAnsi="Arial" w:eastAsia="Arial" w:cs="Arial"/>
          <w:b/>
          <w:bCs/>
          <w:color w:val="1F3864"/>
          <w:sz w:val="20"/>
          <w:szCs w:val="20"/>
        </w:rPr>
        <w:t xml:space="preserve">IEEE Xplore Paper: </w:t>
      </w:r>
      <w:r>
        <w:fldChar w:fldCharType="begin"/>
      </w:r>
      <w:r>
        <w:instrText xml:space="preserve"> HYPERLINK "https://ieeexplore.ieee.org/abstract/document/11082354" </w:instrText>
      </w:r>
      <w:r>
        <w:fldChar w:fldCharType="separate"/>
      </w:r>
      <w:r>
        <w:rPr>
          <w:rFonts w:ascii="Arial" w:hAnsi="Arial" w:eastAsia="Arial" w:cs="Arial"/>
          <w:color w:val="2E5A9C"/>
          <w:sz w:val="20"/>
          <w:szCs w:val="20"/>
          <w:u w:val="single"/>
        </w:rPr>
        <w:t>https://ieeexplore.ieee.org/abstract/document/11082354</w:t>
      </w:r>
      <w:r>
        <w:rPr>
          <w:rFonts w:ascii="Arial" w:hAnsi="Arial" w:eastAsia="Arial" w:cs="Arial"/>
          <w:color w:val="2E5A9C"/>
          <w:sz w:val="20"/>
          <w:szCs w:val="20"/>
          <w:u w:val="single"/>
        </w:rPr>
        <w:fldChar w:fldCharType="end"/>
      </w:r>
    </w:p>
    <w:p w14:paraId="695E646F">
      <w:pPr>
        <w:spacing w:before="60" w:after="80"/>
        <w:ind w:left="200"/>
      </w:pPr>
      <w:r>
        <w:rPr>
          <w:rFonts w:ascii="Arial" w:hAnsi="Arial" w:eastAsia="Arial" w:cs="Arial"/>
          <w:b/>
          <w:bCs/>
          <w:color w:val="1F3864"/>
          <w:sz w:val="20"/>
          <w:szCs w:val="20"/>
        </w:rPr>
        <w:t xml:space="preserve">Related Adversarial Attack Paper: </w:t>
      </w:r>
      <w:r>
        <w:fldChar w:fldCharType="begin"/>
      </w:r>
      <w:r>
        <w:instrText xml:space="preserve"> HYPERLINK "https://ieeexplore.ieee.org/abstract/document/10816619" </w:instrText>
      </w:r>
      <w:r>
        <w:fldChar w:fldCharType="separate"/>
      </w:r>
      <w:r>
        <w:rPr>
          <w:rFonts w:ascii="Arial" w:hAnsi="Arial" w:eastAsia="Arial" w:cs="Arial"/>
          <w:color w:val="2E5A9C"/>
          <w:sz w:val="20"/>
          <w:szCs w:val="20"/>
          <w:u w:val="single"/>
        </w:rPr>
        <w:t>https://ieeexplore.ieee.org/abstract/document/10816619</w:t>
      </w:r>
      <w:r>
        <w:rPr>
          <w:rFonts w:ascii="Arial" w:hAnsi="Arial" w:eastAsia="Arial" w:cs="Arial"/>
          <w:color w:val="2E5A9C"/>
          <w:sz w:val="20"/>
          <w:szCs w:val="20"/>
          <w:u w:val="single"/>
        </w:rPr>
        <w:fldChar w:fldCharType="end"/>
      </w:r>
    </w:p>
    <w:p w14:paraId="5C414DC9">
      <w:pPr>
        <w:pBdr>
          <w:bottom w:val="single" w:color="C5D5E8" w:sz="2" w:space="0"/>
        </w:pBdr>
        <w:spacing w:before="160" w:after="160"/>
      </w:pPr>
    </w:p>
    <w:p w14:paraId="5FFB76C1">
      <w:r>
        <w:br w:type="page"/>
      </w:r>
    </w:p>
    <w:p w14:paraId="5500163B">
      <w:pPr>
        <w:pStyle w:val="2"/>
        <w:pBdr>
          <w:bottom w:val="single" w:color="1A7F6E" w:sz="4" w:space="0"/>
        </w:pBdr>
        <w:shd w:val="clear" w:fill="1F3864"/>
        <w:spacing w:before="360" w:after="200"/>
        <w:ind w:left="200" w:right="200"/>
      </w:pPr>
      <w:r>
        <w:rPr>
          <w:rFonts w:ascii="Arial" w:hAnsi="Arial" w:eastAsia="Arial" w:cs="Arial"/>
          <w:b/>
          <w:bCs/>
          <w:color w:val="FFFFFF"/>
          <w:sz w:val="32"/>
          <w:szCs w:val="32"/>
        </w:rPr>
        <w:t xml:space="preserve">  Paper 4: Clean-Label Attack via Sample-Customized Feature Alignment</w:t>
      </w:r>
    </w:p>
    <w:p w14:paraId="4CEC74B0">
      <w:pPr>
        <w:spacing w:before="60" w:after="60"/>
      </w:pPr>
    </w:p>
    <w:p w14:paraId="7DB0D10A">
      <w:pPr>
        <w:spacing w:before="200" w:after="80"/>
        <w:ind w:left="100"/>
      </w:pPr>
      <w:r>
        <w:rPr>
          <w:rFonts w:ascii="Arial" w:hAnsi="Arial" w:eastAsia="Arial" w:cs="Arial"/>
          <w:b/>
          <w:bCs/>
          <w:color w:val="2E5A9C"/>
          <w:sz w:val="22"/>
          <w:szCs w:val="22"/>
        </w:rPr>
        <w:t>Full Title</w:t>
      </w:r>
    </w:p>
    <w:p w14:paraId="39BC535B">
      <w:pPr>
        <w:spacing w:before="60" w:after="60"/>
        <w:ind w:left="0"/>
      </w:pPr>
      <w:r>
        <w:rPr>
          <w:rFonts w:ascii="Arial" w:hAnsi="Arial" w:eastAsia="Arial" w:cs="Arial"/>
          <w:color w:val="2C3E50"/>
          <w:sz w:val="20"/>
          <w:szCs w:val="20"/>
        </w:rPr>
        <w:t>Clean-Label Backdoor Attack via Sample-Customized Feature Alignment (Vision Benchmark Paper)</w:t>
      </w:r>
    </w:p>
    <w:p w14:paraId="43100072">
      <w:pPr>
        <w:spacing w:before="200" w:after="80"/>
        <w:ind w:left="100"/>
      </w:pPr>
      <w:r>
        <w:rPr>
          <w:rFonts w:ascii="Arial" w:hAnsi="Arial" w:eastAsia="Arial" w:cs="Arial"/>
          <w:b/>
          <w:bCs/>
          <w:color w:val="2E5A9C"/>
          <w:sz w:val="22"/>
          <w:szCs w:val="22"/>
        </w:rPr>
        <w:t>Authors &amp; Venue</w:t>
      </w:r>
    </w:p>
    <w:p w14:paraId="3D5DC43D">
      <w:pPr>
        <w:spacing w:before="60" w:after="60"/>
        <w:ind w:left="0"/>
      </w:pPr>
      <w:r>
        <w:rPr>
          <w:rFonts w:ascii="Arial" w:hAnsi="Arial" w:eastAsia="Arial" w:cs="Arial"/>
          <w:color w:val="2C3E50"/>
          <w:sz w:val="20"/>
          <w:szCs w:val="20"/>
        </w:rPr>
        <w:t>Published: Expert Systems with Applications / ScienceDirect (2025)</w:t>
      </w:r>
    </w:p>
    <w:p w14:paraId="74723829">
      <w:pPr>
        <w:spacing w:before="80" w:after="80"/>
      </w:pPr>
    </w:p>
    <w:p w14:paraId="2C830252">
      <w:pPr>
        <w:spacing w:before="200" w:after="80"/>
        <w:ind w:left="100"/>
      </w:pPr>
      <w:r>
        <w:rPr>
          <w:rFonts w:ascii="Arial" w:hAnsi="Arial" w:eastAsia="Arial" w:cs="Arial"/>
          <w:b/>
          <w:bCs/>
          <w:color w:val="1A7F6E"/>
          <w:sz w:val="22"/>
          <w:szCs w:val="22"/>
        </w:rPr>
        <w:t>What They Did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200" w:type="dxa"/>
          <w:right w:w="108" w:type="dxa"/>
        </w:tblCellMar>
      </w:tblPr>
      <w:tblGrid>
        <w:gridCol w:w="2000"/>
        <w:gridCol w:w="7360"/>
      </w:tblGrid>
      <w:tr w14:paraId="390B1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25A3FF33">
            <w:r>
              <w:rPr>
                <w:rFonts w:ascii="Arial" w:hAnsi="Arial" w:eastAsia="Arial" w:cs="Arial"/>
                <w:b/>
                <w:bCs/>
                <w:color w:val="1F3864"/>
                <w:sz w:val="19"/>
                <w:szCs w:val="19"/>
              </w:rPr>
              <w:t>Core Idea</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5B68C99E">
            <w:r>
              <w:rPr>
                <w:rFonts w:ascii="Arial" w:hAnsi="Arial" w:eastAsia="Arial" w:cs="Arial"/>
                <w:color w:val="2C3E50"/>
                <w:sz w:val="19"/>
                <w:szCs w:val="19"/>
              </w:rPr>
              <w:t>Introduces a mathematically rigorous clean-label attack strategy on vision benchmarks (CIFAR-10, CelebA, Food-10) under strict constraints: very low poisoning rate and limited perturbation budget.</w:t>
            </w:r>
          </w:p>
        </w:tc>
      </w:tr>
      <w:tr w14:paraId="721B3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5292A0E8">
            <w:r>
              <w:rPr>
                <w:rFonts w:ascii="Arial" w:hAnsi="Arial" w:eastAsia="Arial" w:cs="Arial"/>
                <w:b/>
                <w:bCs/>
                <w:color w:val="1F3864"/>
                <w:sz w:val="19"/>
                <w:szCs w:val="19"/>
              </w:rPr>
              <w:t>Key Innovation</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1A25033A">
            <w:r>
              <w:rPr>
                <w:rFonts w:ascii="Arial" w:hAnsi="Arial" w:eastAsia="Arial" w:cs="Arial"/>
                <w:color w:val="2C3E50"/>
                <w:sz w:val="19"/>
                <w:szCs w:val="19"/>
              </w:rPr>
              <w:t>Computes Feature Centroids — the mathematical center points of a target class in the model's latent feature space — and forces source-label samples to align with these centroids during poison generation using gradient optimization.</w:t>
            </w:r>
          </w:p>
        </w:tc>
      </w:tr>
      <w:tr w14:paraId="63B67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71A90B40">
            <w:r>
              <w:rPr>
                <w:rFonts w:ascii="Arial" w:hAnsi="Arial" w:eastAsia="Arial" w:cs="Arial"/>
                <w:b/>
                <w:bCs/>
                <w:color w:val="1F3864"/>
                <w:sz w:val="19"/>
                <w:szCs w:val="19"/>
              </w:rPr>
              <w:t>Why It Works</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4B05F8B5">
            <w:r>
              <w:rPr>
                <w:rFonts w:ascii="Arial" w:hAnsi="Arial" w:eastAsia="Arial" w:cs="Arial"/>
                <w:color w:val="2C3E50"/>
                <w:sz w:val="19"/>
                <w:szCs w:val="19"/>
              </w:rPr>
              <w:t>Feature alignment mimics the true hidden representations that DNNs inherently prioritize during learning. The trigger is invisible to human inspection and passes naive statistical filters.</w:t>
            </w:r>
          </w:p>
        </w:tc>
      </w:tr>
      <w:tr w14:paraId="196FB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33293CFA">
            <w:r>
              <w:rPr>
                <w:rFonts w:ascii="Arial" w:hAnsi="Arial" w:eastAsia="Arial" w:cs="Arial"/>
                <w:b/>
                <w:bCs/>
                <w:color w:val="1F3864"/>
                <w:sz w:val="19"/>
                <w:szCs w:val="19"/>
              </w:rPr>
              <w:t>Datasets</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5EBCB9B3">
            <w:r>
              <w:rPr>
                <w:rFonts w:ascii="Arial" w:hAnsi="Arial" w:eastAsia="Arial" w:cs="Arial"/>
                <w:color w:val="2C3E50"/>
                <w:sz w:val="19"/>
                <w:szCs w:val="19"/>
              </w:rPr>
              <w:t>CIFAR-10, CelebA, Food-10 — all image classification benchmarks. No tabular or sensor data.</w:t>
            </w:r>
          </w:p>
        </w:tc>
      </w:tr>
      <w:tr w14:paraId="1D601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50D0BB01">
            <w:r>
              <w:rPr>
                <w:rFonts w:ascii="Arial" w:hAnsi="Arial" w:eastAsia="Arial" w:cs="Arial"/>
                <w:b/>
                <w:bCs/>
                <w:color w:val="1F3864"/>
                <w:sz w:val="19"/>
                <w:szCs w:val="19"/>
              </w:rPr>
              <w:t>Current Scope</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21FCE25A">
            <w:r>
              <w:rPr>
                <w:rFonts w:ascii="Arial" w:hAnsi="Arial" w:eastAsia="Arial" w:cs="Arial"/>
                <w:color w:val="2C3E50"/>
                <w:sz w:val="19"/>
                <w:szCs w:val="19"/>
              </w:rPr>
              <w:t>Feature alignment has ONLY been used as a weapon (offensive), never as a defensive filtering mechanism in any domain.</w:t>
            </w:r>
          </w:p>
        </w:tc>
      </w:tr>
    </w:tbl>
    <w:p w14:paraId="3532F0EA">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14:paraId="01DDD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08" w:type="dxa"/>
            <w:bottom w:w="120" w:type="dxa"/>
            <w:right w:w="108" w:type="dxa"/>
          </w:tblCellMar>
        </w:tblPrEx>
        <w:tc>
          <w:tcPr>
            <w:tcW w:w="9360" w:type="dxa"/>
            <w:tcBorders>
              <w:top w:val="nil"/>
              <w:left w:val="nil"/>
              <w:bottom w:val="nil"/>
              <w:right w:val="nil"/>
            </w:tcBorders>
            <w:shd w:val="clear" w:color="auto" w:fill="FADBD8"/>
            <w:tcMar>
              <w:top w:w="100" w:type="dxa"/>
              <w:left w:w="200" w:type="dxa"/>
              <w:bottom w:w="100" w:type="dxa"/>
              <w:right w:w="200" w:type="dxa"/>
            </w:tcMar>
          </w:tcPr>
          <w:p w14:paraId="18C8796E">
            <w:pPr>
              <w:spacing w:before="40" w:after="40"/>
            </w:pPr>
            <w:r>
              <w:rPr>
                <w:rFonts w:ascii="Arial" w:hAnsi="Arial" w:eastAsia="Arial" w:cs="Arial"/>
                <w:b/>
                <w:bCs/>
                <w:color w:val="C0392B"/>
                <w:sz w:val="20"/>
                <w:szCs w:val="20"/>
              </w:rPr>
              <w:t>Critical Gap (What They Missed)</w:t>
            </w:r>
          </w:p>
          <w:p w14:paraId="770CDDB8">
            <w:pPr>
              <w:spacing w:before="40" w:after="40"/>
            </w:pPr>
            <w:r>
              <w:rPr>
                <w:rFonts w:ascii="Arial" w:hAnsi="Arial" w:eastAsia="Arial" w:cs="Arial"/>
                <w:color w:val="C0392B"/>
                <w:sz w:val="20"/>
                <w:szCs w:val="20"/>
              </w:rPr>
              <w:t>The centroid alignment mathematics has only been applied to ATTACK. The inverse — using centroid divergence to DETECT and FILTER poisoned samples — has never been explored. Furthermore, this technique has never been applied to tabular sensor ecosystems like Smart Grid telemetry.</w:t>
            </w:r>
          </w:p>
        </w:tc>
      </w:tr>
    </w:tbl>
    <w:p w14:paraId="4C8CFAEC">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14:paraId="269C3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08" w:type="dxa"/>
            <w:bottom w:w="120" w:type="dxa"/>
            <w:right w:w="108" w:type="dxa"/>
          </w:tblCellMar>
        </w:tblPrEx>
        <w:tc>
          <w:tcPr>
            <w:tcW w:w="9360" w:type="dxa"/>
            <w:tcBorders>
              <w:top w:val="nil"/>
              <w:left w:val="nil"/>
              <w:bottom w:val="nil"/>
              <w:right w:val="nil"/>
            </w:tcBorders>
            <w:shd w:val="clear" w:color="auto" w:fill="D4EFEB"/>
            <w:tcMar>
              <w:top w:w="100" w:type="dxa"/>
              <w:left w:w="200" w:type="dxa"/>
              <w:bottom w:w="100" w:type="dxa"/>
              <w:right w:w="200" w:type="dxa"/>
            </w:tcMar>
          </w:tcPr>
          <w:p w14:paraId="3CEBEBF2">
            <w:pPr>
              <w:spacing w:before="40" w:after="40"/>
            </w:pPr>
            <w:r>
              <w:rPr>
                <w:rFonts w:ascii="Arial" w:hAnsi="Arial" w:eastAsia="Arial" w:cs="Arial"/>
                <w:b/>
                <w:bCs/>
                <w:color w:val="1A7F6E"/>
                <w:sz w:val="20"/>
                <w:szCs w:val="20"/>
              </w:rPr>
              <w:t>Our Role / Contribution</w:t>
            </w:r>
          </w:p>
          <w:p w14:paraId="3FB40346">
            <w:pPr>
              <w:spacing w:before="40" w:after="40"/>
            </w:pPr>
            <w:r>
              <w:rPr>
                <w:rFonts w:ascii="Arial" w:hAnsi="Arial" w:eastAsia="Arial" w:cs="Arial"/>
                <w:color w:val="1A7F6E"/>
                <w:sz w:val="20"/>
                <w:szCs w:val="20"/>
              </w:rPr>
              <w:t>This paper provides the mathematical foundation for our Sanitization Layer. We perform a 'Smart Inversion' — instead of computing feature centroids to embed backdoors, we compute physical and temporal feature centroids of smart grid sensor telemetry to DETECT and FILTER out centroid-aligned poisoned samples. We transform an attack philosophy into a defense mechanism.</w:t>
            </w:r>
          </w:p>
        </w:tc>
      </w:tr>
    </w:tbl>
    <w:p w14:paraId="7D0AC1DB">
      <w:pPr>
        <w:spacing w:before="80" w:after="80"/>
      </w:pPr>
    </w:p>
    <w:p w14:paraId="4DDDDB41">
      <w:pPr>
        <w:spacing w:before="60" w:after="80"/>
        <w:ind w:left="200"/>
      </w:pPr>
      <w:r>
        <w:rPr>
          <w:rFonts w:ascii="Arial" w:hAnsi="Arial" w:eastAsia="Arial" w:cs="Arial"/>
          <w:b/>
          <w:bCs/>
          <w:color w:val="1F3864"/>
          <w:sz w:val="20"/>
          <w:szCs w:val="20"/>
        </w:rPr>
        <w:t xml:space="preserve">ScienceDirect Paper: </w:t>
      </w:r>
      <w:r>
        <w:fldChar w:fldCharType="begin"/>
      </w:r>
      <w:r>
        <w:instrText xml:space="preserve"> HYPERLINK "https://www.sciencedirect.com/science/article/abs/pii/S0957417425030970" </w:instrText>
      </w:r>
      <w:r>
        <w:fldChar w:fldCharType="separate"/>
      </w:r>
      <w:r>
        <w:rPr>
          <w:rFonts w:ascii="Arial" w:hAnsi="Arial" w:eastAsia="Arial" w:cs="Arial"/>
          <w:color w:val="2E5A9C"/>
          <w:sz w:val="20"/>
          <w:szCs w:val="20"/>
          <w:u w:val="single"/>
        </w:rPr>
        <w:t>https://www.sciencedirect.com/science/article/abs/pii/S0957417425030970</w:t>
      </w:r>
      <w:r>
        <w:rPr>
          <w:rFonts w:ascii="Arial" w:hAnsi="Arial" w:eastAsia="Arial" w:cs="Arial"/>
          <w:color w:val="2E5A9C"/>
          <w:sz w:val="20"/>
          <w:szCs w:val="20"/>
          <w:u w:val="single"/>
        </w:rPr>
        <w:fldChar w:fldCharType="end"/>
      </w:r>
    </w:p>
    <w:p w14:paraId="514959FC">
      <w:pPr>
        <w:pBdr>
          <w:bottom w:val="single" w:color="C5D5E8" w:sz="2" w:space="0"/>
        </w:pBdr>
        <w:spacing w:before="160" w:after="160"/>
      </w:pPr>
    </w:p>
    <w:p w14:paraId="69C1F9F5">
      <w:r>
        <w:br w:type="page"/>
      </w:r>
    </w:p>
    <w:p w14:paraId="4EED93F7">
      <w:pPr>
        <w:pStyle w:val="2"/>
        <w:pBdr>
          <w:bottom w:val="single" w:color="1A7F6E" w:sz="4" w:space="0"/>
        </w:pBdr>
        <w:shd w:val="clear" w:fill="1F3864"/>
        <w:spacing w:before="360" w:after="200"/>
        <w:ind w:left="200" w:right="200"/>
      </w:pPr>
      <w:r>
        <w:rPr>
          <w:rFonts w:ascii="Arial" w:hAnsi="Arial" w:eastAsia="Arial" w:cs="Arial"/>
          <w:b/>
          <w:bCs/>
          <w:color w:val="FFFFFF"/>
          <w:sz w:val="32"/>
          <w:szCs w:val="32"/>
        </w:rPr>
        <w:t xml:space="preserve">  Paper 5: ABDP — Adversarial-Based Backdoor Data &amp; Model Purification</w:t>
      </w:r>
    </w:p>
    <w:p w14:paraId="24A85F40">
      <w:pPr>
        <w:spacing w:before="60" w:after="60"/>
      </w:pPr>
    </w:p>
    <w:p w14:paraId="7508F884">
      <w:pPr>
        <w:spacing w:before="200" w:after="80"/>
        <w:ind w:left="100"/>
      </w:pPr>
      <w:r>
        <w:rPr>
          <w:rFonts w:ascii="Arial" w:hAnsi="Arial" w:eastAsia="Arial" w:cs="Arial"/>
          <w:b/>
          <w:bCs/>
          <w:color w:val="2E5A9C"/>
          <w:sz w:val="22"/>
          <w:szCs w:val="22"/>
        </w:rPr>
        <w:t>Full Title</w:t>
      </w:r>
    </w:p>
    <w:p w14:paraId="48C92C92">
      <w:pPr>
        <w:spacing w:before="60" w:after="60"/>
        <w:ind w:left="0"/>
      </w:pPr>
      <w:r>
        <w:rPr>
          <w:rFonts w:ascii="Arial" w:hAnsi="Arial" w:eastAsia="Arial" w:cs="Arial"/>
          <w:color w:val="2C3E50"/>
          <w:sz w:val="20"/>
          <w:szCs w:val="20"/>
        </w:rPr>
        <w:t>ABDP: Adversarial-Based Backdoor Data and Model Purification</w:t>
      </w:r>
    </w:p>
    <w:p w14:paraId="35AB7F47">
      <w:pPr>
        <w:spacing w:before="200" w:after="80"/>
        <w:ind w:left="100"/>
      </w:pPr>
      <w:r>
        <w:rPr>
          <w:rFonts w:ascii="Arial" w:hAnsi="Arial" w:eastAsia="Arial" w:cs="Arial"/>
          <w:b/>
          <w:bCs/>
          <w:color w:val="2E5A9C"/>
          <w:sz w:val="22"/>
          <w:szCs w:val="22"/>
        </w:rPr>
        <w:t>Authors &amp; Venue</w:t>
      </w:r>
    </w:p>
    <w:p w14:paraId="02334EBB">
      <w:pPr>
        <w:spacing w:before="60" w:after="60"/>
        <w:ind w:left="0"/>
      </w:pPr>
      <w:r>
        <w:rPr>
          <w:rFonts w:ascii="Arial" w:hAnsi="Arial" w:eastAsia="Arial" w:cs="Arial"/>
          <w:color w:val="2C3E50"/>
          <w:sz w:val="20"/>
          <w:szCs w:val="20"/>
        </w:rPr>
        <w:t>Published: IEEE Xplore (2025)</w:t>
      </w:r>
    </w:p>
    <w:p w14:paraId="2A9523D5">
      <w:pPr>
        <w:spacing w:before="80" w:after="80"/>
      </w:pPr>
    </w:p>
    <w:p w14:paraId="62F7ECA5">
      <w:pPr>
        <w:spacing w:before="200" w:after="80"/>
        <w:ind w:left="100"/>
      </w:pPr>
      <w:r>
        <w:rPr>
          <w:rFonts w:ascii="Arial" w:hAnsi="Arial" w:eastAsia="Arial" w:cs="Arial"/>
          <w:b/>
          <w:bCs/>
          <w:color w:val="1A7F6E"/>
          <w:sz w:val="22"/>
          <w:szCs w:val="22"/>
        </w:rPr>
        <w:t>What They Did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200" w:type="dxa"/>
          <w:right w:w="108" w:type="dxa"/>
        </w:tblCellMar>
      </w:tblPr>
      <w:tblGrid>
        <w:gridCol w:w="2000"/>
        <w:gridCol w:w="7360"/>
      </w:tblGrid>
      <w:tr w14:paraId="4D16E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254BE643">
            <w:r>
              <w:rPr>
                <w:rFonts w:ascii="Arial" w:hAnsi="Arial" w:eastAsia="Arial" w:cs="Arial"/>
                <w:b/>
                <w:bCs/>
                <w:color w:val="1F3864"/>
                <w:sz w:val="19"/>
                <w:szCs w:val="19"/>
              </w:rPr>
              <w:t>Core Idea</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476B5405">
            <w:r>
              <w:rPr>
                <w:rFonts w:ascii="Arial" w:hAnsi="Arial" w:eastAsia="Arial" w:cs="Arial"/>
                <w:color w:val="2C3E50"/>
                <w:sz w:val="19"/>
                <w:szCs w:val="19"/>
              </w:rPr>
              <w:t>Breakthrough post-processing defense that removes backdoor contamination without requiring any pre-existing clean data — solves one aspect of the clean data problem.</w:t>
            </w:r>
          </w:p>
        </w:tc>
      </w:tr>
      <w:tr w14:paraId="09684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147CE10B">
            <w:r>
              <w:rPr>
                <w:rFonts w:ascii="Arial" w:hAnsi="Arial" w:eastAsia="Arial" w:cs="Arial"/>
                <w:b/>
                <w:bCs/>
                <w:color w:val="1F3864"/>
                <w:sz w:val="19"/>
                <w:szCs w:val="19"/>
              </w:rPr>
              <w:t>Mechanism</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2BB27092">
            <w:r>
              <w:rPr>
                <w:rFonts w:ascii="Arial" w:hAnsi="Arial" w:eastAsia="Arial" w:cs="Arial"/>
                <w:color w:val="2C3E50"/>
                <w:sz w:val="19"/>
                <w:szCs w:val="19"/>
              </w:rPr>
              <w:t>Capitalizes on the intrinsic link between untargeted adversarial attacks and backdoor attacks. Treats poisoned data as in-distribution (ID) and clean data of the target label as out-of-distribution (OOD).</w:t>
            </w:r>
          </w:p>
        </w:tc>
      </w:tr>
      <w:tr w14:paraId="340DA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04CB24EF">
            <w:r>
              <w:rPr>
                <w:rFonts w:ascii="Arial" w:hAnsi="Arial" w:eastAsia="Arial" w:cs="Arial"/>
                <w:b/>
                <w:bCs/>
                <w:color w:val="1F3864"/>
                <w:sz w:val="19"/>
                <w:szCs w:val="19"/>
              </w:rPr>
              <w:t>Clever Distribution Shift</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110A48BB">
            <w:r>
              <w:rPr>
                <w:rFonts w:ascii="Arial" w:hAnsi="Arial" w:eastAsia="Arial" w:cs="Arial"/>
                <w:color w:val="2C3E50"/>
                <w:sz w:val="19"/>
                <w:szCs w:val="19"/>
              </w:rPr>
              <w:t>Trains a clean model that can recognize ALL labels EXCEPT the target label. This clever ID/OOD framing enables precise identification of backdoor-poisoned data for removal via machine unlearning.</w:t>
            </w:r>
          </w:p>
        </w:tc>
      </w:tr>
      <w:tr w14:paraId="3928F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3954E93C">
            <w:r>
              <w:rPr>
                <w:rFonts w:ascii="Arial" w:hAnsi="Arial" w:eastAsia="Arial" w:cs="Arial"/>
                <w:b/>
                <w:bCs/>
                <w:color w:val="1F3864"/>
                <w:sz w:val="19"/>
                <w:szCs w:val="19"/>
              </w:rPr>
              <w:t>Reported Performance</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35670418">
            <w:r>
              <w:rPr>
                <w:rFonts w:ascii="Arial" w:hAnsi="Arial" w:eastAsia="Arial" w:cs="Arial"/>
                <w:color w:val="2C3E50"/>
                <w:sz w:val="19"/>
                <w:szCs w:val="19"/>
              </w:rPr>
              <w:t>Reduces ASR to ~1% or less while maintaining strong clean accuracy on vision benchmarks.</w:t>
            </w:r>
          </w:p>
        </w:tc>
      </w:tr>
      <w:tr w14:paraId="4A9AD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2C180628">
            <w:r>
              <w:rPr>
                <w:rFonts w:ascii="Arial" w:hAnsi="Arial" w:eastAsia="Arial" w:cs="Arial"/>
                <w:b/>
                <w:bCs/>
                <w:color w:val="1F3864"/>
                <w:sz w:val="19"/>
                <w:szCs w:val="19"/>
              </w:rPr>
              <w:t>Limitation — Compute</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07545E58">
            <w:r>
              <w:rPr>
                <w:rFonts w:ascii="Arial" w:hAnsi="Arial" w:eastAsia="Arial" w:cs="Arial"/>
                <w:color w:val="2C3E50"/>
                <w:sz w:val="19"/>
                <w:szCs w:val="19"/>
              </w:rPr>
              <w:t>Relies on running heavy adversarial perturbation tests AND unlearning loops — computationally prohibitive in continuous streaming ICS environments.</w:t>
            </w:r>
          </w:p>
        </w:tc>
      </w:tr>
      <w:tr w14:paraId="72F8D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19B53CAF">
            <w:r>
              <w:rPr>
                <w:rFonts w:ascii="Arial" w:hAnsi="Arial" w:eastAsia="Arial" w:cs="Arial"/>
                <w:b/>
                <w:bCs/>
                <w:color w:val="1F3864"/>
                <w:sz w:val="19"/>
                <w:szCs w:val="19"/>
              </w:rPr>
              <w:t>Limitation — Physical</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7CD5014E">
            <w:r>
              <w:rPr>
                <w:rFonts w:ascii="Arial" w:hAnsi="Arial" w:eastAsia="Arial" w:cs="Arial"/>
                <w:color w:val="2C3E50"/>
                <w:sz w:val="19"/>
                <w:szCs w:val="19"/>
              </w:rPr>
              <w:t>Treats data as independent pixels/tokens. Completely ignores physical laws (Kirchhoff's Laws, mass balance) binding smart grid sensor nodes together.</w:t>
            </w:r>
          </w:p>
        </w:tc>
      </w:tr>
    </w:tbl>
    <w:p w14:paraId="30913620">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14:paraId="1D0D8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08" w:type="dxa"/>
            <w:bottom w:w="120" w:type="dxa"/>
            <w:right w:w="108" w:type="dxa"/>
          </w:tblCellMar>
        </w:tblPrEx>
        <w:tc>
          <w:tcPr>
            <w:tcW w:w="9360" w:type="dxa"/>
            <w:tcBorders>
              <w:top w:val="nil"/>
              <w:left w:val="nil"/>
              <w:bottom w:val="nil"/>
              <w:right w:val="nil"/>
            </w:tcBorders>
            <w:shd w:val="clear" w:color="auto" w:fill="FADBD8"/>
            <w:tcMar>
              <w:top w:w="100" w:type="dxa"/>
              <w:left w:w="200" w:type="dxa"/>
              <w:bottom w:w="100" w:type="dxa"/>
              <w:right w:w="200" w:type="dxa"/>
            </w:tcMar>
          </w:tcPr>
          <w:p w14:paraId="3B871634">
            <w:pPr>
              <w:spacing w:before="40" w:after="40"/>
            </w:pPr>
            <w:r>
              <w:rPr>
                <w:rFonts w:ascii="Arial" w:hAnsi="Arial" w:eastAsia="Arial" w:cs="Arial"/>
                <w:b/>
                <w:bCs/>
                <w:color w:val="C0392B"/>
                <w:sz w:val="20"/>
                <w:szCs w:val="20"/>
              </w:rPr>
              <w:t>Critical Gap (What They Missed)</w:t>
            </w:r>
          </w:p>
          <w:p w14:paraId="2A33FF2F">
            <w:pPr>
              <w:spacing w:before="40" w:after="40"/>
            </w:pPr>
            <w:r>
              <w:rPr>
                <w:rFonts w:ascii="Arial" w:hAnsi="Arial" w:eastAsia="Arial" w:cs="Arial"/>
                <w:color w:val="C0392B"/>
                <w:sz w:val="20"/>
                <w:szCs w:val="20"/>
              </w:rPr>
              <w:t>ABDP is designed for static vision datasets with independent samples. In continuous cyber-physical environments like Smart Grids, adversarial perturbation + unlearning loops create critical system lag that makes real-time defense impossible. ABDP has zero awareness of physical sensor correlations — which are the core invariant that attackers must violate to inject stealthy backdoors.</w:t>
            </w:r>
          </w:p>
        </w:tc>
      </w:tr>
    </w:tbl>
    <w:p w14:paraId="4ADEFBFE">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14:paraId="1DB98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08" w:type="dxa"/>
            <w:bottom w:w="120" w:type="dxa"/>
            <w:right w:w="108" w:type="dxa"/>
          </w:tblCellMar>
        </w:tblPrEx>
        <w:tc>
          <w:tcPr>
            <w:tcW w:w="9360" w:type="dxa"/>
            <w:tcBorders>
              <w:top w:val="nil"/>
              <w:left w:val="nil"/>
              <w:bottom w:val="nil"/>
              <w:right w:val="nil"/>
            </w:tcBorders>
            <w:shd w:val="clear" w:color="auto" w:fill="FDEBD0"/>
            <w:tcMar>
              <w:top w:w="100" w:type="dxa"/>
              <w:left w:w="200" w:type="dxa"/>
              <w:bottom w:w="100" w:type="dxa"/>
              <w:right w:w="200" w:type="dxa"/>
            </w:tcMar>
          </w:tcPr>
          <w:p w14:paraId="2E3561FE">
            <w:pPr>
              <w:spacing w:before="40" w:after="40"/>
            </w:pPr>
            <w:r>
              <w:rPr>
                <w:rFonts w:ascii="Arial" w:hAnsi="Arial" w:eastAsia="Arial" w:cs="Arial"/>
                <w:b/>
                <w:bCs/>
                <w:color w:val="D35400"/>
                <w:sz w:val="20"/>
                <w:szCs w:val="20"/>
              </w:rPr>
              <w:t>Our Role / Contribution</w:t>
            </w:r>
          </w:p>
          <w:p w14:paraId="5A39A8B6">
            <w:pPr>
              <w:spacing w:before="40" w:after="40"/>
            </w:pPr>
            <w:r>
              <w:rPr>
                <w:rFonts w:ascii="Arial" w:hAnsi="Arial" w:eastAsia="Arial" w:cs="Arial"/>
                <w:color w:val="D35400"/>
                <w:sz w:val="20"/>
                <w:szCs w:val="20"/>
              </w:rPr>
              <w:t>ABDP is our PRIMARY DEFENSIVE COMPETITOR (Baseline). We implement ABDP alongside our framework. We demonstrate that while ABDP's ID/OOD adversarial trick is powerful for static images, our Sensor Correlation-Aware Sanitization Layer is faster, computationally lighter, and more accurate for smart grid environments — because it leverages inherent physical dependencies instead of expensive adversarial loops.</w:t>
            </w:r>
          </w:p>
        </w:tc>
      </w:tr>
    </w:tbl>
    <w:p w14:paraId="5108D017">
      <w:pPr>
        <w:spacing w:before="80" w:after="80"/>
      </w:pPr>
    </w:p>
    <w:p w14:paraId="3F08ECCF">
      <w:pPr>
        <w:spacing w:before="60" w:after="80"/>
        <w:ind w:left="200"/>
      </w:pPr>
      <w:r>
        <w:rPr>
          <w:rFonts w:ascii="Arial" w:hAnsi="Arial" w:eastAsia="Arial" w:cs="Arial"/>
          <w:b/>
          <w:bCs/>
          <w:color w:val="1F3864"/>
          <w:sz w:val="20"/>
          <w:szCs w:val="20"/>
        </w:rPr>
        <w:t xml:space="preserve">IEEE Xplore Paper: </w:t>
      </w:r>
      <w:r>
        <w:fldChar w:fldCharType="begin"/>
      </w:r>
      <w:r>
        <w:instrText xml:space="preserve"> HYPERLINK "https://ieeexplore.ieee.org/abstract/document/11482646" </w:instrText>
      </w:r>
      <w:r>
        <w:fldChar w:fldCharType="separate"/>
      </w:r>
      <w:r>
        <w:rPr>
          <w:rFonts w:ascii="Arial" w:hAnsi="Arial" w:eastAsia="Arial" w:cs="Arial"/>
          <w:color w:val="2E5A9C"/>
          <w:sz w:val="20"/>
          <w:szCs w:val="20"/>
          <w:u w:val="single"/>
        </w:rPr>
        <w:t>https://ieeexplore.ieee.org/abstract/document/11482646</w:t>
      </w:r>
      <w:r>
        <w:rPr>
          <w:rFonts w:ascii="Arial" w:hAnsi="Arial" w:eastAsia="Arial" w:cs="Arial"/>
          <w:color w:val="2E5A9C"/>
          <w:sz w:val="20"/>
          <w:szCs w:val="20"/>
          <w:u w:val="single"/>
        </w:rPr>
        <w:fldChar w:fldCharType="end"/>
      </w:r>
    </w:p>
    <w:p w14:paraId="7E1205A2">
      <w:pPr>
        <w:pBdr>
          <w:bottom w:val="single" w:color="C5D5E8" w:sz="2" w:space="0"/>
        </w:pBdr>
        <w:spacing w:before="160" w:after="160"/>
      </w:pPr>
    </w:p>
    <w:p w14:paraId="63D6766A">
      <w:r>
        <w:br w:type="page"/>
      </w:r>
    </w:p>
    <w:p w14:paraId="4E019FF9">
      <w:pPr>
        <w:pStyle w:val="2"/>
        <w:pBdr>
          <w:bottom w:val="single" w:color="1A7F6E" w:sz="4" w:space="0"/>
        </w:pBdr>
        <w:shd w:val="clear" w:fill="1F3864"/>
        <w:spacing w:before="360" w:after="200"/>
        <w:ind w:left="200" w:right="200"/>
      </w:pPr>
      <w:r>
        <w:rPr>
          <w:rFonts w:ascii="Arial" w:hAnsi="Arial" w:eastAsia="Arial" w:cs="Arial"/>
          <w:b/>
          <w:bCs/>
          <w:color w:val="FFFFFF"/>
          <w:sz w:val="32"/>
          <w:szCs w:val="32"/>
        </w:rPr>
        <w:t xml:space="preserve">  Paper 6: XAI-Based Federated Learning Defense in Smart Grids</w:t>
      </w:r>
    </w:p>
    <w:p w14:paraId="568F0A62">
      <w:pPr>
        <w:spacing w:before="60" w:after="60"/>
      </w:pPr>
    </w:p>
    <w:p w14:paraId="52311B18">
      <w:pPr>
        <w:spacing w:before="200" w:after="80"/>
        <w:ind w:left="100"/>
      </w:pPr>
      <w:r>
        <w:rPr>
          <w:rFonts w:ascii="Arial" w:hAnsi="Arial" w:eastAsia="Arial" w:cs="Arial"/>
          <w:b/>
          <w:bCs/>
          <w:color w:val="2E5A9C"/>
          <w:sz w:val="22"/>
          <w:szCs w:val="22"/>
        </w:rPr>
        <w:t>Full Title</w:t>
      </w:r>
    </w:p>
    <w:p w14:paraId="5CA4D538">
      <w:pPr>
        <w:spacing w:before="60" w:after="60"/>
        <w:ind w:left="0"/>
      </w:pPr>
      <w:r>
        <w:rPr>
          <w:rFonts w:ascii="Arial" w:hAnsi="Arial" w:eastAsia="Arial" w:cs="Arial"/>
          <w:color w:val="2C3E50"/>
          <w:sz w:val="20"/>
          <w:szCs w:val="20"/>
        </w:rPr>
        <w:t>XAI-Based Federated Learning Detection with Adversarial Training for Smart Grid Security</w:t>
      </w:r>
    </w:p>
    <w:p w14:paraId="3D17A7B4">
      <w:pPr>
        <w:spacing w:before="200" w:after="80"/>
        <w:ind w:left="100"/>
      </w:pPr>
      <w:r>
        <w:rPr>
          <w:rFonts w:ascii="Arial" w:hAnsi="Arial" w:eastAsia="Arial" w:cs="Arial"/>
          <w:b/>
          <w:bCs/>
          <w:color w:val="2E5A9C"/>
          <w:sz w:val="22"/>
          <w:szCs w:val="22"/>
        </w:rPr>
        <w:t>Authors &amp; Venue</w:t>
      </w:r>
    </w:p>
    <w:p w14:paraId="5E2D505B">
      <w:pPr>
        <w:spacing w:before="60" w:after="60"/>
        <w:ind w:left="0"/>
      </w:pPr>
      <w:r>
        <w:rPr>
          <w:rFonts w:ascii="Arial" w:hAnsi="Arial" w:eastAsia="Arial" w:cs="Arial"/>
          <w:color w:val="2C3E50"/>
          <w:sz w:val="20"/>
          <w:szCs w:val="20"/>
        </w:rPr>
        <w:t>Published: IEEE Xplore (2025)</w:t>
      </w:r>
    </w:p>
    <w:p w14:paraId="461D90A5">
      <w:pPr>
        <w:spacing w:before="80" w:after="80"/>
      </w:pPr>
    </w:p>
    <w:p w14:paraId="3703244E">
      <w:pPr>
        <w:spacing w:before="200" w:after="80"/>
        <w:ind w:left="100"/>
      </w:pPr>
      <w:r>
        <w:rPr>
          <w:rFonts w:ascii="Arial" w:hAnsi="Arial" w:eastAsia="Arial" w:cs="Arial"/>
          <w:b/>
          <w:bCs/>
          <w:color w:val="1A7F6E"/>
          <w:sz w:val="22"/>
          <w:szCs w:val="22"/>
        </w:rPr>
        <w:t>What They Did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200" w:type="dxa"/>
          <w:right w:w="108" w:type="dxa"/>
        </w:tblCellMar>
      </w:tblPr>
      <w:tblGrid>
        <w:gridCol w:w="2000"/>
        <w:gridCol w:w="7360"/>
      </w:tblGrid>
      <w:tr w14:paraId="341F9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5173F484">
            <w:r>
              <w:rPr>
                <w:rFonts w:ascii="Arial" w:hAnsi="Arial" w:eastAsia="Arial" w:cs="Arial"/>
                <w:b/>
                <w:bCs/>
                <w:color w:val="1F3864"/>
                <w:sz w:val="19"/>
                <w:szCs w:val="19"/>
              </w:rPr>
              <w:t>Core Idea</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52D01A27">
            <w:r>
              <w:rPr>
                <w:rFonts w:ascii="Arial" w:hAnsi="Arial" w:eastAsia="Arial" w:cs="Arial"/>
                <w:color w:val="2C3E50"/>
                <w:sz w:val="19"/>
                <w:szCs w:val="19"/>
              </w:rPr>
              <w:t>Defends distributed Federated Learning systems in smart grids against False Data Injection and Evasion attacks using Explainable AI (XAI) feature attributions.</w:t>
            </w:r>
          </w:p>
        </w:tc>
      </w:tr>
      <w:tr w14:paraId="769D3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2BA0DD34">
            <w:r>
              <w:rPr>
                <w:rFonts w:ascii="Arial" w:hAnsi="Arial" w:eastAsia="Arial" w:cs="Arial"/>
                <w:b/>
                <w:bCs/>
                <w:color w:val="1F3864"/>
                <w:sz w:val="19"/>
                <w:szCs w:val="19"/>
              </w:rPr>
              <w:t>Mechanism</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118912D6">
            <w:r>
              <w:rPr>
                <w:rFonts w:ascii="Arial" w:hAnsi="Arial" w:eastAsia="Arial" w:cs="Arial"/>
                <w:color w:val="2C3E50"/>
                <w:sz w:val="19"/>
                <w:szCs w:val="19"/>
              </w:rPr>
              <w:t>Trains models on XAI explanations (SHAP/LIME feature attributions) rather than raw consumer data. Since explanations remain nearly identical across similar benign samples, raw gradients are masked — preventing gradient inversion attacks.</w:t>
            </w:r>
          </w:p>
        </w:tc>
      </w:tr>
      <w:tr w14:paraId="44DC4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02F0B596">
            <w:r>
              <w:rPr>
                <w:rFonts w:ascii="Arial" w:hAnsi="Arial" w:eastAsia="Arial" w:cs="Arial"/>
                <w:b/>
                <w:bCs/>
                <w:color w:val="1F3864"/>
                <w:sz w:val="19"/>
                <w:szCs w:val="19"/>
              </w:rPr>
              <w:t>Privacy Benefit</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22CD56AF">
            <w:r>
              <w:rPr>
                <w:rFonts w:ascii="Arial" w:hAnsi="Arial" w:eastAsia="Arial" w:cs="Arial"/>
                <w:color w:val="2C3E50"/>
                <w:sz w:val="19"/>
                <w:szCs w:val="19"/>
              </w:rPr>
              <w:t>Combined with Adversarial Training (AT), reduces evasion attack success to 0% while preventing private data reconstruction via gradient leakage in federated settings.</w:t>
            </w:r>
          </w:p>
        </w:tc>
      </w:tr>
      <w:tr w14:paraId="1E45C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41FCAEE2">
            <w:r>
              <w:rPr>
                <w:rFonts w:ascii="Arial" w:hAnsi="Arial" w:eastAsia="Arial" w:cs="Arial"/>
                <w:b/>
                <w:bCs/>
                <w:color w:val="1F3864"/>
                <w:sz w:val="19"/>
                <w:szCs w:val="19"/>
              </w:rPr>
              <w:t>Key Insight (Relevant to Us)</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587F7012">
            <w:r>
              <w:rPr>
                <w:rFonts w:ascii="Arial" w:hAnsi="Arial" w:eastAsia="Arial" w:cs="Arial"/>
                <w:color w:val="2C3E50"/>
                <w:sz w:val="19"/>
                <w:szCs w:val="19"/>
              </w:rPr>
              <w:t>Demonstrates that raw data features in smart grids can be transformed into more stable, robust structures to defeat attacks — validates the idea that domain-specific feature engineering is crucial for ICS defense.</w:t>
            </w:r>
          </w:p>
        </w:tc>
      </w:tr>
      <w:tr w14:paraId="42CAF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13290733">
            <w:r>
              <w:rPr>
                <w:rFonts w:ascii="Arial" w:hAnsi="Arial" w:eastAsia="Arial" w:cs="Arial"/>
                <w:b/>
                <w:bCs/>
                <w:color w:val="1F3864"/>
                <w:sz w:val="19"/>
                <w:szCs w:val="19"/>
              </w:rPr>
              <w:t>Limitation</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2F25A35E">
            <w:r>
              <w:rPr>
                <w:rFonts w:ascii="Arial" w:hAnsi="Arial" w:eastAsia="Arial" w:cs="Arial"/>
                <w:color w:val="2C3E50"/>
                <w:sz w:val="19"/>
                <w:szCs w:val="19"/>
              </w:rPr>
              <w:t>Tailored for privacy-preserving FEDERATED (decentralized) setups with continuous XAI computation overhead. Does not address centralized post-processing backdoor purification.</w:t>
            </w:r>
          </w:p>
        </w:tc>
      </w:tr>
    </w:tbl>
    <w:p w14:paraId="0D62018E">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14:paraId="34804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08" w:type="dxa"/>
            <w:bottom w:w="120" w:type="dxa"/>
            <w:right w:w="108" w:type="dxa"/>
          </w:tblCellMar>
        </w:tblPrEx>
        <w:tc>
          <w:tcPr>
            <w:tcW w:w="9360" w:type="dxa"/>
            <w:tcBorders>
              <w:top w:val="nil"/>
              <w:left w:val="nil"/>
              <w:bottom w:val="nil"/>
              <w:right w:val="nil"/>
            </w:tcBorders>
            <w:shd w:val="clear" w:color="auto" w:fill="FADBD8"/>
            <w:tcMar>
              <w:top w:w="100" w:type="dxa"/>
              <w:left w:w="200" w:type="dxa"/>
              <w:bottom w:w="100" w:type="dxa"/>
              <w:right w:w="200" w:type="dxa"/>
            </w:tcMar>
          </w:tcPr>
          <w:p w14:paraId="6FE93F0D">
            <w:pPr>
              <w:spacing w:before="40" w:after="40"/>
            </w:pPr>
            <w:r>
              <w:rPr>
                <w:rFonts w:ascii="Arial" w:hAnsi="Arial" w:eastAsia="Arial" w:cs="Arial"/>
                <w:b/>
                <w:bCs/>
                <w:color w:val="C0392B"/>
                <w:sz w:val="20"/>
                <w:szCs w:val="20"/>
              </w:rPr>
              <w:t>Critical Gap (What They Missed)</w:t>
            </w:r>
          </w:p>
          <w:p w14:paraId="0AD64223">
            <w:pPr>
              <w:spacing w:before="40" w:after="40"/>
            </w:pPr>
            <w:r>
              <w:rPr>
                <w:rFonts w:ascii="Arial" w:hAnsi="Arial" w:eastAsia="Arial" w:cs="Arial"/>
                <w:color w:val="C0392B"/>
                <w:sz w:val="20"/>
                <w:szCs w:val="20"/>
              </w:rPr>
              <w:t>This methodology requires continuous, expensive XAI explanation generation (SHAP/LIME are computationally heavy). It does not address the post-processing backdoor purification scenario where a central system has already received a compromised batch of auxiliary data.</w:t>
            </w:r>
          </w:p>
        </w:tc>
      </w:tr>
    </w:tbl>
    <w:p w14:paraId="409925C5">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14:paraId="01C7D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08" w:type="dxa"/>
            <w:bottom w:w="120" w:type="dxa"/>
            <w:right w:w="108" w:type="dxa"/>
          </w:tblCellMar>
        </w:tblPrEx>
        <w:tc>
          <w:tcPr>
            <w:tcW w:w="9360" w:type="dxa"/>
            <w:tcBorders>
              <w:top w:val="nil"/>
              <w:left w:val="nil"/>
              <w:bottom w:val="nil"/>
              <w:right w:val="nil"/>
            </w:tcBorders>
            <w:shd w:val="clear" w:color="auto" w:fill="D6E4F0"/>
            <w:tcMar>
              <w:top w:w="100" w:type="dxa"/>
              <w:left w:w="200" w:type="dxa"/>
              <w:bottom w:w="100" w:type="dxa"/>
              <w:right w:w="200" w:type="dxa"/>
            </w:tcMar>
          </w:tcPr>
          <w:p w14:paraId="21C89080">
            <w:pPr>
              <w:spacing w:before="40" w:after="40"/>
            </w:pPr>
            <w:r>
              <w:rPr>
                <w:rFonts w:ascii="Arial" w:hAnsi="Arial" w:eastAsia="Arial" w:cs="Arial"/>
                <w:b/>
                <w:bCs/>
                <w:color w:val="1F3864"/>
                <w:sz w:val="20"/>
                <w:szCs w:val="20"/>
              </w:rPr>
              <w:t>Our Role / Contribution</w:t>
            </w:r>
          </w:p>
          <w:p w14:paraId="41197CF0">
            <w:pPr>
              <w:spacing w:before="40" w:after="40"/>
            </w:pPr>
            <w:r>
              <w:rPr>
                <w:rFonts w:ascii="Arial" w:hAnsi="Arial" w:eastAsia="Arial" w:cs="Arial"/>
                <w:color w:val="1F3864"/>
                <w:sz w:val="20"/>
                <w:szCs w:val="20"/>
              </w:rPr>
              <w:t>This paper provides LITERATURE VALIDATION that domain-specific feature transformation works for smart grid defense. Instead of slow XAI maps, we use raw physical sensor correlations as our stabilizing feature layer — achieving similar robustness at a fraction of computational cost, making it viable for real-time grid operation.</w:t>
            </w:r>
          </w:p>
        </w:tc>
      </w:tr>
    </w:tbl>
    <w:p w14:paraId="3E7BC14C">
      <w:pPr>
        <w:spacing w:before="80" w:after="80"/>
      </w:pPr>
    </w:p>
    <w:p w14:paraId="66AFABBE">
      <w:pPr>
        <w:spacing w:before="60" w:after="80"/>
        <w:ind w:left="200"/>
      </w:pPr>
      <w:r>
        <w:rPr>
          <w:rFonts w:ascii="Arial" w:hAnsi="Arial" w:eastAsia="Arial" w:cs="Arial"/>
          <w:b/>
          <w:bCs/>
          <w:color w:val="1F3864"/>
          <w:sz w:val="20"/>
          <w:szCs w:val="20"/>
        </w:rPr>
        <w:t xml:space="preserve">IEEE Xplore Paper: </w:t>
      </w:r>
      <w:r>
        <w:fldChar w:fldCharType="begin"/>
      </w:r>
      <w:r>
        <w:instrText xml:space="preserve"> HYPERLINK "https://ieeexplore.ieee.org/abstract/document/11022692" </w:instrText>
      </w:r>
      <w:r>
        <w:fldChar w:fldCharType="separate"/>
      </w:r>
      <w:r>
        <w:rPr>
          <w:rFonts w:ascii="Arial" w:hAnsi="Arial" w:eastAsia="Arial" w:cs="Arial"/>
          <w:color w:val="2E5A9C"/>
          <w:sz w:val="20"/>
          <w:szCs w:val="20"/>
          <w:u w:val="single"/>
        </w:rPr>
        <w:t>https://ieeexplore.ieee.org/abstract/document/11022692</w:t>
      </w:r>
      <w:r>
        <w:rPr>
          <w:rFonts w:ascii="Arial" w:hAnsi="Arial" w:eastAsia="Arial" w:cs="Arial"/>
          <w:color w:val="2E5A9C"/>
          <w:sz w:val="20"/>
          <w:szCs w:val="20"/>
          <w:u w:val="single"/>
        </w:rPr>
        <w:fldChar w:fldCharType="end"/>
      </w:r>
    </w:p>
    <w:p w14:paraId="338758FE">
      <w:pPr>
        <w:pBdr>
          <w:bottom w:val="single" w:color="C5D5E8" w:sz="2" w:space="0"/>
        </w:pBdr>
        <w:spacing w:before="160" w:after="160"/>
      </w:pPr>
    </w:p>
    <w:p w14:paraId="1530EDFF">
      <w:r>
        <w:br w:type="page"/>
      </w:r>
    </w:p>
    <w:p w14:paraId="609FF889">
      <w:pPr>
        <w:pStyle w:val="2"/>
        <w:pBdr>
          <w:bottom w:val="single" w:color="1A7F6E" w:sz="4" w:space="0"/>
        </w:pBdr>
        <w:shd w:val="clear" w:fill="1F3864"/>
        <w:spacing w:before="360" w:after="200"/>
        <w:ind w:left="200" w:right="200"/>
      </w:pPr>
      <w:r>
        <w:rPr>
          <w:rFonts w:ascii="Arial" w:hAnsi="Arial" w:eastAsia="Arial" w:cs="Arial"/>
          <w:b/>
          <w:bCs/>
          <w:color w:val="FFFFFF"/>
          <w:sz w:val="32"/>
          <w:szCs w:val="32"/>
        </w:rPr>
        <w:t xml:space="preserve">  Paper 7: BackdoorBenchER — Benchmark Framework</w:t>
      </w:r>
    </w:p>
    <w:p w14:paraId="5892FF2B">
      <w:pPr>
        <w:spacing w:before="60" w:after="60"/>
      </w:pPr>
    </w:p>
    <w:p w14:paraId="23CC52A6">
      <w:pPr>
        <w:spacing w:before="200" w:after="80"/>
        <w:ind w:left="100"/>
      </w:pPr>
      <w:r>
        <w:rPr>
          <w:rFonts w:ascii="Arial" w:hAnsi="Arial" w:eastAsia="Arial" w:cs="Arial"/>
          <w:b/>
          <w:bCs/>
          <w:color w:val="2E5A9C"/>
          <w:sz w:val="22"/>
          <w:szCs w:val="22"/>
        </w:rPr>
        <w:t>Full Title</w:t>
      </w:r>
    </w:p>
    <w:p w14:paraId="0BDE2A21">
      <w:pPr>
        <w:spacing w:before="60" w:after="60"/>
        <w:ind w:left="0"/>
      </w:pPr>
      <w:r>
        <w:rPr>
          <w:rFonts w:ascii="Arial" w:hAnsi="Arial" w:eastAsia="Arial" w:cs="Arial"/>
          <w:color w:val="2C3E50"/>
          <w:sz w:val="20"/>
          <w:szCs w:val="20"/>
        </w:rPr>
        <w:t>BackdoorBenchER: Evaluating &amp; Revisiting the Auxiliary Data in Backdoor Purification</w:t>
      </w:r>
    </w:p>
    <w:p w14:paraId="7C067A25">
      <w:pPr>
        <w:spacing w:before="200" w:after="80"/>
        <w:ind w:left="100"/>
      </w:pPr>
      <w:r>
        <w:rPr>
          <w:rFonts w:ascii="Arial" w:hAnsi="Arial" w:eastAsia="Arial" w:cs="Arial"/>
          <w:b/>
          <w:bCs/>
          <w:color w:val="2E5A9C"/>
          <w:sz w:val="22"/>
          <w:szCs w:val="22"/>
        </w:rPr>
        <w:t>Authors &amp; Venue</w:t>
      </w:r>
    </w:p>
    <w:p w14:paraId="2066833B">
      <w:pPr>
        <w:spacing w:before="60" w:after="60"/>
        <w:ind w:left="0"/>
      </w:pPr>
      <w:r>
        <w:rPr>
          <w:rFonts w:ascii="Arial" w:hAnsi="Arial" w:eastAsia="Arial" w:cs="Arial"/>
          <w:color w:val="2C3E50"/>
          <w:sz w:val="20"/>
          <w:szCs w:val="20"/>
        </w:rPr>
        <w:t>Shaokui Wei, Shanchao Yang, Jiayin Liu, Hongyuan Zha</w:t>
      </w:r>
    </w:p>
    <w:p w14:paraId="2FE0721F">
      <w:pPr>
        <w:spacing w:before="60" w:after="60"/>
        <w:ind w:left="0"/>
      </w:pPr>
      <w:r>
        <w:rPr>
          <w:rFonts w:ascii="Arial" w:hAnsi="Arial" w:eastAsia="Arial" w:cs="Arial"/>
          <w:color w:val="2C3E50"/>
          <w:sz w:val="20"/>
          <w:szCs w:val="20"/>
        </w:rPr>
        <w:t>The Chinese University of Hong Kong, Shenzhen | ArXiv Preprint 2502.07231 (2025)</w:t>
      </w:r>
    </w:p>
    <w:p w14:paraId="7F01AD73">
      <w:pPr>
        <w:spacing w:before="80" w:after="80"/>
      </w:pPr>
    </w:p>
    <w:p w14:paraId="1F95EBDB">
      <w:pPr>
        <w:spacing w:before="200" w:after="80"/>
        <w:ind w:left="100"/>
      </w:pPr>
      <w:r>
        <w:rPr>
          <w:rFonts w:ascii="Arial" w:hAnsi="Arial" w:eastAsia="Arial" w:cs="Arial"/>
          <w:b/>
          <w:bCs/>
          <w:color w:val="1A7F6E"/>
          <w:sz w:val="22"/>
          <w:szCs w:val="22"/>
        </w:rPr>
        <w:t>What They Did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200" w:type="dxa"/>
          <w:right w:w="108" w:type="dxa"/>
        </w:tblCellMar>
      </w:tblPr>
      <w:tblGrid>
        <w:gridCol w:w="2000"/>
        <w:gridCol w:w="7360"/>
      </w:tblGrid>
      <w:tr w14:paraId="0A4FC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37C269D9">
            <w:r>
              <w:rPr>
                <w:rFonts w:ascii="Arial" w:hAnsi="Arial" w:eastAsia="Arial" w:cs="Arial"/>
                <w:b/>
                <w:bCs/>
                <w:color w:val="1F3864"/>
                <w:sz w:val="19"/>
                <w:szCs w:val="19"/>
              </w:rPr>
              <w:t>Core Idea</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105AA230">
            <w:r>
              <w:rPr>
                <w:rFonts w:ascii="Arial" w:hAnsi="Arial" w:eastAsia="Arial" w:cs="Arial"/>
                <w:color w:val="2C3E50"/>
                <w:sz w:val="19"/>
                <w:szCs w:val="19"/>
              </w:rPr>
              <w:t>The latest benchmark evaluation framework in AI security. Studies how auxiliary dataset TYPE and QUALITY affects backdoor purification effectiveness — the closest existing work to our research question.</w:t>
            </w:r>
          </w:p>
        </w:tc>
      </w:tr>
      <w:tr w14:paraId="52A5B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753846CA">
            <w:r>
              <w:rPr>
                <w:rFonts w:ascii="Arial" w:hAnsi="Arial" w:eastAsia="Arial" w:cs="Arial"/>
                <w:b/>
                <w:bCs/>
                <w:color w:val="1F3864"/>
                <w:sz w:val="19"/>
                <w:szCs w:val="19"/>
              </w:rPr>
              <w:t>Key Finding</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48FEE3E2">
            <w:r>
              <w:rPr>
                <w:rFonts w:ascii="Arial" w:hAnsi="Arial" w:eastAsia="Arial" w:cs="Arial"/>
                <w:color w:val="2C3E50"/>
                <w:sz w:val="19"/>
                <w:szCs w:val="19"/>
              </w:rPr>
              <w:t>Purification effectiveness fluctuates significantly depending on auxiliary dataset quality. High-quality in-distribution data is essential; OOD or compromised datasets significantly degrade defensive performance.</w:t>
            </w:r>
          </w:p>
        </w:tc>
      </w:tr>
      <w:tr w14:paraId="70E3C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4C320E77">
            <w:r>
              <w:rPr>
                <w:rFonts w:ascii="Arial" w:hAnsi="Arial" w:eastAsia="Arial" w:cs="Arial"/>
                <w:b/>
                <w:bCs/>
                <w:color w:val="1F3864"/>
                <w:sz w:val="19"/>
                <w:szCs w:val="19"/>
              </w:rPr>
              <w:t>Method Proposed</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30A40EC6">
            <w:r>
              <w:rPr>
                <w:rFonts w:ascii="Arial" w:hAnsi="Arial" w:eastAsia="Arial" w:cs="Arial"/>
                <w:color w:val="2C3E50"/>
                <w:sz w:val="19"/>
                <w:szCs w:val="19"/>
              </w:rPr>
              <w:t>Proposes Guided Input Calibration (GIC) — a learnable transformation that aligns auxiliary dataset characteristics with the original training distribution, guided by the victim model itself.</w:t>
            </w:r>
          </w:p>
        </w:tc>
      </w:tr>
      <w:tr w14:paraId="3285C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7720DB30">
            <w:r>
              <w:rPr>
                <w:rFonts w:ascii="Arial" w:hAnsi="Arial" w:eastAsia="Arial" w:cs="Arial"/>
                <w:b/>
                <w:bCs/>
                <w:color w:val="1F3864"/>
                <w:sz w:val="19"/>
                <w:szCs w:val="19"/>
              </w:rPr>
              <w:t>Datasets Evaluated</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63823812">
            <w:r>
              <w:rPr>
                <w:rFonts w:ascii="Arial" w:hAnsi="Arial" w:eastAsia="Arial" w:cs="Arial"/>
                <w:color w:val="2C3E50"/>
                <w:sz w:val="19"/>
                <w:szCs w:val="19"/>
              </w:rPr>
              <w:t>CIFAR-10, GTSRB, Tiny ImageNet — ALL computer vision image classification datasets.</w:t>
            </w:r>
          </w:p>
        </w:tc>
      </w:tr>
      <w:tr w14:paraId="1752B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6B968BC9">
            <w:r>
              <w:rPr>
                <w:rFonts w:ascii="Arial" w:hAnsi="Arial" w:eastAsia="Arial" w:cs="Arial"/>
                <w:b/>
                <w:bCs/>
                <w:color w:val="1F3864"/>
                <w:sz w:val="19"/>
                <w:szCs w:val="19"/>
              </w:rPr>
              <w:t>Attacks Covered</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115EA640">
            <w:r>
              <w:rPr>
                <w:rFonts w:ascii="Arial" w:hAnsi="Arial" w:eastAsia="Arial" w:cs="Arial"/>
                <w:color w:val="2C3E50"/>
                <w:sz w:val="19"/>
                <w:szCs w:val="19"/>
              </w:rPr>
              <w:t>BadNets, Blended, SSBA, WaNet, InputAware, SIG, TrojanNN, COMBAT, Narcissus (clean-label), and more.</w:t>
            </w:r>
          </w:p>
        </w:tc>
      </w:tr>
      <w:tr w14:paraId="4A23B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326F84BE">
            <w:r>
              <w:rPr>
                <w:rFonts w:ascii="Arial" w:hAnsi="Arial" w:eastAsia="Arial" w:cs="Arial"/>
                <w:b/>
                <w:bCs/>
                <w:color w:val="1F3864"/>
                <w:sz w:val="19"/>
                <w:szCs w:val="19"/>
              </w:rPr>
              <w:t>Critical Limitation</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0A4DD1B0">
            <w:r>
              <w:rPr>
                <w:rFonts w:ascii="Arial" w:hAnsi="Arial" w:eastAsia="Arial" w:cs="Arial"/>
                <w:color w:val="2C3E50"/>
                <w:sz w:val="19"/>
                <w:szCs w:val="19"/>
              </w:rPr>
              <w:t>Entirely biased toward computer vision. No configurations for multi-node ICS datasets or continuous time-series streaming systems like cyber-physical smart grids.</w:t>
            </w:r>
          </w:p>
        </w:tc>
      </w:tr>
    </w:tbl>
    <w:p w14:paraId="0BF7DC02">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14:paraId="0585C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08" w:type="dxa"/>
            <w:bottom w:w="120" w:type="dxa"/>
            <w:right w:w="108" w:type="dxa"/>
          </w:tblCellMar>
        </w:tblPrEx>
        <w:tc>
          <w:tcPr>
            <w:tcW w:w="9360" w:type="dxa"/>
            <w:tcBorders>
              <w:top w:val="nil"/>
              <w:left w:val="nil"/>
              <w:bottom w:val="nil"/>
              <w:right w:val="nil"/>
            </w:tcBorders>
            <w:shd w:val="clear" w:color="auto" w:fill="FADBD8"/>
            <w:tcMar>
              <w:top w:w="100" w:type="dxa"/>
              <w:left w:w="200" w:type="dxa"/>
              <w:bottom w:w="100" w:type="dxa"/>
              <w:right w:w="200" w:type="dxa"/>
            </w:tcMar>
          </w:tcPr>
          <w:p w14:paraId="30D7BC02">
            <w:pPr>
              <w:spacing w:before="40" w:after="40"/>
            </w:pPr>
            <w:r>
              <w:rPr>
                <w:rFonts w:ascii="Arial" w:hAnsi="Arial" w:eastAsia="Arial" w:cs="Arial"/>
                <w:b/>
                <w:bCs/>
                <w:color w:val="C0392B"/>
                <w:sz w:val="20"/>
                <w:szCs w:val="20"/>
              </w:rPr>
              <w:t>Critical Gap (What They Missed)</w:t>
            </w:r>
          </w:p>
          <w:p w14:paraId="6B9FE774">
            <w:pPr>
              <w:spacing w:before="40" w:after="40"/>
            </w:pPr>
            <w:r>
              <w:rPr>
                <w:rFonts w:ascii="Arial" w:hAnsi="Arial" w:eastAsia="Arial" w:cs="Arial"/>
                <w:color w:val="C0392B"/>
                <w:sz w:val="20"/>
                <w:szCs w:val="20"/>
              </w:rPr>
              <w:t>BackdoorBenchER proves the auxiliary data problem is real and important — but only demonstrates it on image data. The framework lacks any support for temporal sensor correlations, physical invariants, or ICS-domain datasets. Their GIC solution (learnable transformation) is also computationally heavy and requires vision-domain assumptions that do not hold for tabular sensor streams.</w:t>
            </w:r>
          </w:p>
        </w:tc>
      </w:tr>
    </w:tbl>
    <w:p w14:paraId="552162E1">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14:paraId="18EB8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08" w:type="dxa"/>
            <w:bottom w:w="120" w:type="dxa"/>
            <w:right w:w="108" w:type="dxa"/>
          </w:tblCellMar>
        </w:tblPrEx>
        <w:tc>
          <w:tcPr>
            <w:tcW w:w="9360" w:type="dxa"/>
            <w:tcBorders>
              <w:top w:val="nil"/>
              <w:left w:val="nil"/>
              <w:bottom w:val="nil"/>
              <w:right w:val="nil"/>
            </w:tcBorders>
            <w:shd w:val="clear" w:color="auto" w:fill="D4EFEB"/>
            <w:tcMar>
              <w:top w:w="100" w:type="dxa"/>
              <w:left w:w="200" w:type="dxa"/>
              <w:bottom w:w="100" w:type="dxa"/>
              <w:right w:w="200" w:type="dxa"/>
            </w:tcMar>
          </w:tcPr>
          <w:p w14:paraId="7D08BCE1">
            <w:pPr>
              <w:spacing w:before="40" w:after="40"/>
            </w:pPr>
            <w:r>
              <w:rPr>
                <w:rFonts w:ascii="Arial" w:hAnsi="Arial" w:eastAsia="Arial" w:cs="Arial"/>
                <w:b/>
                <w:bCs/>
                <w:color w:val="1A7F6E"/>
                <w:sz w:val="20"/>
                <w:szCs w:val="20"/>
              </w:rPr>
              <w:t>Our Role / Contribution</w:t>
            </w:r>
          </w:p>
          <w:p w14:paraId="7BA6DCB5">
            <w:pPr>
              <w:spacing w:before="40" w:after="40"/>
            </w:pPr>
            <w:r>
              <w:rPr>
                <w:rFonts w:ascii="Arial" w:hAnsi="Arial" w:eastAsia="Arial" w:cs="Arial"/>
                <w:color w:val="1A7F6E"/>
                <w:sz w:val="20"/>
                <w:szCs w:val="20"/>
              </w:rPr>
              <w:t>BackdoorBenchER provides our EVALUATION PROTOCOL and gives us a CITED ACADEMIC MOTIVATION. We adopt their strict benchmarking guidelines (ASR, CACC, Defense Score metrics) adapted for smart grid environments. We are essentially taking BackdoorBenchER's core finding ('poisoned auxiliary data breaks purification') and solving it specifically for the ICS/Smart Grid domain — this extension IS our contribution.</w:t>
            </w:r>
          </w:p>
        </w:tc>
      </w:tr>
    </w:tbl>
    <w:p w14:paraId="1676DF96">
      <w:pPr>
        <w:spacing w:before="80" w:after="80"/>
      </w:pPr>
    </w:p>
    <w:p w14:paraId="6672DFFB">
      <w:pPr>
        <w:spacing w:before="60" w:after="80"/>
        <w:ind w:left="200"/>
      </w:pPr>
      <w:r>
        <w:rPr>
          <w:rFonts w:ascii="Arial" w:hAnsi="Arial" w:eastAsia="Arial" w:cs="Arial"/>
          <w:b/>
          <w:bCs/>
          <w:color w:val="1F3864"/>
          <w:sz w:val="20"/>
          <w:szCs w:val="20"/>
        </w:rPr>
        <w:t xml:space="preserve">ArXiv Paper: </w:t>
      </w:r>
      <w:r>
        <w:fldChar w:fldCharType="begin"/>
      </w:r>
      <w:r>
        <w:instrText xml:space="preserve"> HYPERLINK "https://arxiv.org/abs/2502.07231" </w:instrText>
      </w:r>
      <w:r>
        <w:fldChar w:fldCharType="separate"/>
      </w:r>
      <w:r>
        <w:rPr>
          <w:rFonts w:ascii="Arial" w:hAnsi="Arial" w:eastAsia="Arial" w:cs="Arial"/>
          <w:color w:val="2E5A9C"/>
          <w:sz w:val="20"/>
          <w:szCs w:val="20"/>
          <w:u w:val="single"/>
        </w:rPr>
        <w:t>https://arxiv.org/abs/2502.07231</w:t>
      </w:r>
      <w:r>
        <w:rPr>
          <w:rFonts w:ascii="Arial" w:hAnsi="Arial" w:eastAsia="Arial" w:cs="Arial"/>
          <w:color w:val="2E5A9C"/>
          <w:sz w:val="20"/>
          <w:szCs w:val="20"/>
          <w:u w:val="single"/>
        </w:rPr>
        <w:fldChar w:fldCharType="end"/>
      </w:r>
    </w:p>
    <w:p w14:paraId="4A78F20C">
      <w:pPr>
        <w:spacing w:before="60" w:after="80"/>
        <w:ind w:left="200"/>
      </w:pPr>
      <w:r>
        <w:rPr>
          <w:rFonts w:ascii="Arial" w:hAnsi="Arial" w:eastAsia="Arial" w:cs="Arial"/>
          <w:b/>
          <w:bCs/>
          <w:color w:val="1F3864"/>
          <w:sz w:val="20"/>
          <w:szCs w:val="20"/>
        </w:rPr>
        <w:t xml:space="preserve">GitHub Repository: </w:t>
      </w:r>
      <w:r>
        <w:fldChar w:fldCharType="begin"/>
      </w:r>
      <w:r>
        <w:instrText xml:space="preserve"> HYPERLINK "https://github.com/shawkui/BackdoorBenchER" </w:instrText>
      </w:r>
      <w:r>
        <w:fldChar w:fldCharType="separate"/>
      </w:r>
      <w:r>
        <w:rPr>
          <w:rFonts w:ascii="Arial" w:hAnsi="Arial" w:eastAsia="Arial" w:cs="Arial"/>
          <w:color w:val="2E5A9C"/>
          <w:sz w:val="20"/>
          <w:szCs w:val="20"/>
          <w:u w:val="single"/>
        </w:rPr>
        <w:t>https://github.com/shawkui/BackdoorBenchER</w:t>
      </w:r>
      <w:r>
        <w:rPr>
          <w:rFonts w:ascii="Arial" w:hAnsi="Arial" w:eastAsia="Arial" w:cs="Arial"/>
          <w:color w:val="2E5A9C"/>
          <w:sz w:val="20"/>
          <w:szCs w:val="20"/>
          <w:u w:val="single"/>
        </w:rPr>
        <w:fldChar w:fldCharType="end"/>
      </w:r>
    </w:p>
    <w:p w14:paraId="047A5856">
      <w:pPr>
        <w:spacing w:before="60" w:after="80"/>
        <w:ind w:left="200"/>
      </w:pPr>
      <w:r>
        <w:rPr>
          <w:rFonts w:ascii="Arial" w:hAnsi="Arial" w:eastAsia="Arial" w:cs="Arial"/>
          <w:b/>
          <w:bCs/>
          <w:color w:val="1F3864"/>
          <w:sz w:val="20"/>
          <w:szCs w:val="20"/>
        </w:rPr>
        <w:t xml:space="preserve">Base Framework (BackdoorBench): </w:t>
      </w:r>
      <w:r>
        <w:fldChar w:fldCharType="begin"/>
      </w:r>
      <w:r>
        <w:instrText xml:space="preserve"> HYPERLINK "https://github.com/SCLBD/BackdoorBench" </w:instrText>
      </w:r>
      <w:r>
        <w:fldChar w:fldCharType="separate"/>
      </w:r>
      <w:r>
        <w:rPr>
          <w:rFonts w:ascii="Arial" w:hAnsi="Arial" w:eastAsia="Arial" w:cs="Arial"/>
          <w:color w:val="2E5A9C"/>
          <w:sz w:val="20"/>
          <w:szCs w:val="20"/>
          <w:u w:val="single"/>
        </w:rPr>
        <w:t>https://github.com/SCLBD/BackdoorBench</w:t>
      </w:r>
      <w:r>
        <w:rPr>
          <w:rFonts w:ascii="Arial" w:hAnsi="Arial" w:eastAsia="Arial" w:cs="Arial"/>
          <w:color w:val="2E5A9C"/>
          <w:sz w:val="20"/>
          <w:szCs w:val="20"/>
          <w:u w:val="single"/>
        </w:rPr>
        <w:fldChar w:fldCharType="end"/>
      </w:r>
    </w:p>
    <w:p w14:paraId="68309B17">
      <w:pPr>
        <w:pBdr>
          <w:bottom w:val="single" w:color="C5D5E8" w:sz="2" w:space="0"/>
        </w:pBdr>
        <w:spacing w:before="160" w:after="160"/>
      </w:pPr>
    </w:p>
    <w:p w14:paraId="58F16E90">
      <w:r>
        <w:br w:type="page"/>
      </w:r>
    </w:p>
    <w:p w14:paraId="11736D50">
      <w:pPr>
        <w:pStyle w:val="2"/>
        <w:pBdr>
          <w:bottom w:val="single" w:color="1A7F6E" w:sz="4" w:space="0"/>
        </w:pBdr>
        <w:shd w:val="clear" w:fill="1F3864"/>
        <w:spacing w:before="360" w:after="200"/>
        <w:ind w:left="200" w:right="200"/>
      </w:pPr>
      <w:r>
        <w:rPr>
          <w:rFonts w:ascii="Arial" w:hAnsi="Arial" w:eastAsia="Arial" w:cs="Arial"/>
          <w:b/>
          <w:bCs/>
          <w:color w:val="FFFFFF"/>
          <w:sz w:val="32"/>
          <w:szCs w:val="32"/>
        </w:rPr>
        <w:t xml:space="preserve">  Paper 8: SWaT Dataset — Experimental Testbed</w:t>
      </w:r>
    </w:p>
    <w:p w14:paraId="0D1DB4DC">
      <w:pPr>
        <w:spacing w:before="60" w:after="60"/>
      </w:pPr>
    </w:p>
    <w:p w14:paraId="2DBC7A88">
      <w:pPr>
        <w:spacing w:before="200" w:after="80"/>
        <w:ind w:left="100"/>
      </w:pPr>
      <w:r>
        <w:rPr>
          <w:rFonts w:ascii="Arial" w:hAnsi="Arial" w:eastAsia="Arial" w:cs="Arial"/>
          <w:b/>
          <w:bCs/>
          <w:color w:val="2E5A9C"/>
          <w:sz w:val="22"/>
          <w:szCs w:val="22"/>
        </w:rPr>
        <w:t>Full Title</w:t>
      </w:r>
    </w:p>
    <w:p w14:paraId="55A22BE6">
      <w:pPr>
        <w:spacing w:before="60" w:after="60"/>
        <w:ind w:left="0"/>
      </w:pPr>
      <w:r>
        <w:rPr>
          <w:rFonts w:ascii="Arial" w:hAnsi="Arial" w:eastAsia="Arial" w:cs="Arial"/>
          <w:color w:val="2C3E50"/>
          <w:sz w:val="20"/>
          <w:szCs w:val="20"/>
        </w:rPr>
        <w:t>SWaT: Secure Water Treatment Testbed Dataset</w:t>
      </w:r>
    </w:p>
    <w:p w14:paraId="4219FDBA">
      <w:pPr>
        <w:spacing w:before="200" w:after="80"/>
        <w:ind w:left="100"/>
      </w:pPr>
      <w:r>
        <w:rPr>
          <w:rFonts w:ascii="Arial" w:hAnsi="Arial" w:eastAsia="Arial" w:cs="Arial"/>
          <w:b/>
          <w:bCs/>
          <w:color w:val="2E5A9C"/>
          <w:sz w:val="22"/>
          <w:szCs w:val="22"/>
        </w:rPr>
        <w:t>Source &amp; Institution</w:t>
      </w:r>
    </w:p>
    <w:p w14:paraId="28E6459F">
      <w:pPr>
        <w:spacing w:before="60" w:after="60"/>
        <w:ind w:left="0"/>
      </w:pPr>
      <w:r>
        <w:rPr>
          <w:rFonts w:ascii="Arial" w:hAnsi="Arial" w:eastAsia="Arial" w:cs="Arial"/>
          <w:color w:val="2C3E50"/>
          <w:sz w:val="20"/>
          <w:szCs w:val="20"/>
        </w:rPr>
        <w:t>iTrust Centre for Research in Cyber Security, Singapore University of Technology and Design (SUTD)</w:t>
      </w:r>
    </w:p>
    <w:p w14:paraId="485111E1">
      <w:pPr>
        <w:spacing w:before="60" w:after="60"/>
        <w:ind w:left="0"/>
      </w:pPr>
      <w:r>
        <w:rPr>
          <w:rFonts w:ascii="Arial" w:hAnsi="Arial" w:eastAsia="Arial" w:cs="Arial"/>
          <w:color w:val="2C3E50"/>
          <w:sz w:val="20"/>
          <w:szCs w:val="20"/>
        </w:rPr>
        <w:t>Original Paper: Goh et al. (2016) — 'A Dataset to Support Research in the Design of Secure Water Treatment Systems'</w:t>
      </w:r>
    </w:p>
    <w:p w14:paraId="2F128A76">
      <w:pPr>
        <w:spacing w:before="80" w:after="80"/>
      </w:pPr>
    </w:p>
    <w:p w14:paraId="737E913A">
      <w:pPr>
        <w:spacing w:before="200" w:after="80"/>
        <w:ind w:left="100"/>
      </w:pPr>
      <w:r>
        <w:rPr>
          <w:rFonts w:ascii="Arial" w:hAnsi="Arial" w:eastAsia="Arial" w:cs="Arial"/>
          <w:b/>
          <w:bCs/>
          <w:color w:val="1A7F6E"/>
          <w:sz w:val="22"/>
          <w:szCs w:val="22"/>
        </w:rPr>
        <w:t>Dataset Characteristics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200" w:type="dxa"/>
          <w:right w:w="108" w:type="dxa"/>
        </w:tblCellMar>
      </w:tblPr>
      <w:tblGrid>
        <w:gridCol w:w="2000"/>
        <w:gridCol w:w="7360"/>
      </w:tblGrid>
      <w:tr w14:paraId="277F4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5E5D6CEE">
            <w:r>
              <w:rPr>
                <w:rFonts w:ascii="Arial" w:hAnsi="Arial" w:eastAsia="Arial" w:cs="Arial"/>
                <w:b/>
                <w:bCs/>
                <w:color w:val="1F3864"/>
                <w:sz w:val="19"/>
                <w:szCs w:val="19"/>
              </w:rPr>
              <w:t>Type</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49621B78">
            <w:r>
              <w:rPr>
                <w:rFonts w:ascii="Arial" w:hAnsi="Arial" w:eastAsia="Arial" w:cs="Arial"/>
                <w:color w:val="2C3E50"/>
                <w:sz w:val="19"/>
                <w:szCs w:val="19"/>
              </w:rPr>
              <w:t>Real-world Industrial Control System (ICS) — Six-stage water treatment facility (scaled-down physical replica)</w:t>
            </w:r>
          </w:p>
        </w:tc>
      </w:tr>
      <w:tr w14:paraId="749B5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1401E52F">
            <w:r>
              <w:rPr>
                <w:rFonts w:ascii="Arial" w:hAnsi="Arial" w:eastAsia="Arial" w:cs="Arial"/>
                <w:b/>
                <w:bCs/>
                <w:color w:val="1F3864"/>
                <w:sz w:val="19"/>
                <w:szCs w:val="19"/>
              </w:rPr>
              <w:t>Size</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25DF56A4">
            <w:r>
              <w:rPr>
                <w:rFonts w:ascii="Arial" w:hAnsi="Arial" w:eastAsia="Arial" w:cs="Arial"/>
                <w:color w:val="2C3E50"/>
                <w:sz w:val="19"/>
                <w:szCs w:val="19"/>
              </w:rPr>
              <w:t>449,919 samples across 51 features (25 sensors + 26 actuators)</w:t>
            </w:r>
          </w:p>
        </w:tc>
      </w:tr>
      <w:tr w14:paraId="53DF7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723857D6">
            <w:r>
              <w:rPr>
                <w:rFonts w:ascii="Arial" w:hAnsi="Arial" w:eastAsia="Arial" w:cs="Arial"/>
                <w:b/>
                <w:bCs/>
                <w:color w:val="1F3864"/>
                <w:sz w:val="19"/>
                <w:szCs w:val="19"/>
              </w:rPr>
              <w:t>Duration</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0917B121">
            <w:r>
              <w:rPr>
                <w:rFonts w:ascii="Arial" w:hAnsi="Arial" w:eastAsia="Arial" w:cs="Arial"/>
                <w:color w:val="2C3E50"/>
                <w:sz w:val="19"/>
                <w:szCs w:val="19"/>
              </w:rPr>
              <w:t>11 days continuous operation: 7 days normal + 4 days with 41 distinct cyber-physical attacks</w:t>
            </w:r>
          </w:p>
        </w:tc>
      </w:tr>
      <w:tr w14:paraId="304B2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7A8BF81C">
            <w:r>
              <w:rPr>
                <w:rFonts w:ascii="Arial" w:hAnsi="Arial" w:eastAsia="Arial" w:cs="Arial"/>
                <w:b/>
                <w:bCs/>
                <w:color w:val="1F3864"/>
                <w:sz w:val="19"/>
                <w:szCs w:val="19"/>
              </w:rPr>
              <w:t>Features</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7C4C49F5">
            <w:r>
              <w:rPr>
                <w:rFonts w:ascii="Arial" w:hAnsi="Arial" w:eastAsia="Arial" w:cs="Arial"/>
                <w:color w:val="2C3E50"/>
                <w:sz w:val="19"/>
                <w:szCs w:val="19"/>
              </w:rPr>
              <w:t>Continuous multivariate time-series: flow meters, pressure sensors, water level sensors, pumps, valves, actuator states, network telemetry</w:t>
            </w:r>
          </w:p>
        </w:tc>
      </w:tr>
      <w:tr w14:paraId="0B210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0C755977">
            <w:r>
              <w:rPr>
                <w:rFonts w:ascii="Arial" w:hAnsi="Arial" w:eastAsia="Arial" w:cs="Arial"/>
                <w:b/>
                <w:bCs/>
                <w:color w:val="1F3864"/>
                <w:sz w:val="19"/>
                <w:szCs w:val="19"/>
              </w:rPr>
              <w:t>Attack Types</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4E942DCC">
            <w:r>
              <w:rPr>
                <w:rFonts w:ascii="Arial" w:hAnsi="Arial" w:eastAsia="Arial" w:cs="Arial"/>
                <w:color w:val="2C3E50"/>
                <w:sz w:val="19"/>
                <w:szCs w:val="19"/>
              </w:rPr>
              <w:t>False Data Injection (FDIA), Denial of Service (DoS), Replay Attacks, Single-Point Manipulation, Multi-Point Coordinated Attacks</w:t>
            </w:r>
          </w:p>
        </w:tc>
      </w:tr>
      <w:tr w14:paraId="661DC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0546787A">
            <w:r>
              <w:rPr>
                <w:rFonts w:ascii="Arial" w:hAnsi="Arial" w:eastAsia="Arial" w:cs="Arial"/>
                <w:b/>
                <w:bCs/>
                <w:color w:val="1F3864"/>
                <w:sz w:val="19"/>
                <w:szCs w:val="19"/>
              </w:rPr>
              <w:t>Physical Property</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6864D403">
            <w:r>
              <w:rPr>
                <w:rFonts w:ascii="Arial" w:hAnsi="Arial" w:eastAsia="Arial" w:cs="Arial"/>
                <w:color w:val="2C3E50"/>
                <w:sz w:val="19"/>
                <w:szCs w:val="19"/>
              </w:rPr>
              <w:t>Sensors are physically correlated via water flow, pressure conservation (analogous to Kirchhoff's Laws). An attack that violates these correlations IS the signal we use for sanitization.</w:t>
            </w:r>
          </w:p>
        </w:tc>
      </w:tr>
      <w:tr w14:paraId="47688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778DE2EC">
            <w:r>
              <w:rPr>
                <w:rFonts w:ascii="Arial" w:hAnsi="Arial" w:eastAsia="Arial" w:cs="Arial"/>
                <w:b/>
                <w:bCs/>
                <w:color w:val="1F3864"/>
                <w:sz w:val="19"/>
                <w:szCs w:val="19"/>
              </w:rPr>
              <w:t>Existing Use</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1F183229">
            <w:r>
              <w:rPr>
                <w:rFonts w:ascii="Arial" w:hAnsi="Arial" w:eastAsia="Arial" w:cs="Arial"/>
                <w:color w:val="2C3E50"/>
                <w:sz w:val="19"/>
                <w:szCs w:val="19"/>
              </w:rPr>
              <w:t>Primarily used for anomaly detection / intrusion detection (LSTM, Autoencoder, CNN approaches). NO prior paper has used SWaT for Post-Processing Backdoor Purification evaluation.</w:t>
            </w:r>
          </w:p>
        </w:tc>
      </w:tr>
      <w:tr w14:paraId="016D0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200" w:type="dxa"/>
            <w:right w:w="108" w:type="dxa"/>
          </w:tblCellMar>
        </w:tblPrEx>
        <w:tc>
          <w:tcPr>
            <w:tcW w:w="2000" w:type="dxa"/>
            <w:tcBorders>
              <w:top w:val="single" w:color="C5D5E8" w:sz="0" w:space="0"/>
              <w:left w:val="single" w:color="C5D5E8" w:sz="0" w:space="0"/>
              <w:bottom w:val="single" w:color="C5D5E8" w:sz="0" w:space="0"/>
              <w:right w:val="single" w:color="C5D5E8" w:sz="0" w:space="0"/>
            </w:tcBorders>
            <w:shd w:val="clear" w:color="auto" w:fill="E8EEF4"/>
            <w:tcMar>
              <w:top w:w="80" w:type="dxa"/>
              <w:left w:w="160" w:type="dxa"/>
              <w:bottom w:w="80" w:type="dxa"/>
              <w:right w:w="120" w:type="dxa"/>
            </w:tcMar>
          </w:tcPr>
          <w:p w14:paraId="3F01CB81">
            <w:r>
              <w:rPr>
                <w:rFonts w:ascii="Arial" w:hAnsi="Arial" w:eastAsia="Arial" w:cs="Arial"/>
                <w:b/>
                <w:bCs/>
                <w:color w:val="1F3864"/>
                <w:sz w:val="19"/>
                <w:szCs w:val="19"/>
              </w:rPr>
              <w:t>Access</w:t>
            </w:r>
          </w:p>
        </w:tc>
        <w:tc>
          <w:tcPr>
            <w:tcW w:w="7360" w:type="dxa"/>
            <w:tcBorders>
              <w:top w:val="single" w:color="C5D5E8" w:sz="0" w:space="0"/>
              <w:left w:val="single" w:color="C5D5E8" w:sz="0" w:space="0"/>
              <w:bottom w:val="single" w:color="C5D5E8" w:sz="0" w:space="0"/>
              <w:right w:val="single" w:color="C5D5E8" w:sz="0" w:space="0"/>
            </w:tcBorders>
            <w:shd w:val="clear" w:color="auto" w:fill="F5F7FA"/>
            <w:tcMar>
              <w:top w:w="80" w:type="dxa"/>
              <w:left w:w="160" w:type="dxa"/>
              <w:bottom w:w="80" w:type="dxa"/>
              <w:right w:w="120" w:type="dxa"/>
            </w:tcMar>
          </w:tcPr>
          <w:p w14:paraId="3CAB1310">
            <w:r>
              <w:rPr>
                <w:rFonts w:ascii="Arial" w:hAnsi="Arial" w:eastAsia="Arial" w:cs="Arial"/>
                <w:color w:val="2C3E50"/>
                <w:sz w:val="19"/>
                <w:szCs w:val="19"/>
              </w:rPr>
              <w:t>Requires formal request to iTrust. Academic access granted within 3 working days.</w:t>
            </w:r>
          </w:p>
        </w:tc>
      </w:tr>
    </w:tbl>
    <w:p w14:paraId="6BA35B24">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14:paraId="09720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08" w:type="dxa"/>
            <w:bottom w:w="120" w:type="dxa"/>
            <w:right w:w="108" w:type="dxa"/>
          </w:tblCellMar>
        </w:tblPrEx>
        <w:tc>
          <w:tcPr>
            <w:tcW w:w="9360" w:type="dxa"/>
            <w:tcBorders>
              <w:top w:val="nil"/>
              <w:left w:val="nil"/>
              <w:bottom w:val="nil"/>
              <w:right w:val="nil"/>
            </w:tcBorders>
            <w:shd w:val="clear" w:color="auto" w:fill="FADBD8"/>
            <w:tcMar>
              <w:top w:w="100" w:type="dxa"/>
              <w:left w:w="200" w:type="dxa"/>
              <w:bottom w:w="100" w:type="dxa"/>
              <w:right w:w="200" w:type="dxa"/>
            </w:tcMar>
          </w:tcPr>
          <w:p w14:paraId="777EBAA1">
            <w:pPr>
              <w:spacing w:before="40" w:after="40"/>
            </w:pPr>
            <w:r>
              <w:rPr>
                <w:rFonts w:ascii="Arial" w:hAnsi="Arial" w:eastAsia="Arial" w:cs="Arial"/>
                <w:b/>
                <w:bCs/>
                <w:color w:val="C0392B"/>
                <w:sz w:val="20"/>
                <w:szCs w:val="20"/>
              </w:rPr>
              <w:t>Research Gap Confirmed</w:t>
            </w:r>
          </w:p>
          <w:p w14:paraId="09F02C9E">
            <w:pPr>
              <w:spacing w:before="40" w:after="40"/>
            </w:pPr>
            <w:r>
              <w:rPr>
                <w:rFonts w:ascii="Arial" w:hAnsi="Arial" w:eastAsia="Arial" w:cs="Arial"/>
                <w:color w:val="C0392B"/>
                <w:sz w:val="20"/>
                <w:szCs w:val="20"/>
              </w:rPr>
              <w:t>A systematic search of Google Scholar, IEEE Xplore, and ArXiv confirms: ZERO papers have applied backdoor purification techniques (PBP, BackdoorBenchER, ABDP, or similar) to the SWaT dataset. All SWaT security literature focuses on anomaly detection, not model backdoor cleansing. This represents our primary domain novelty.</w:t>
            </w:r>
          </w:p>
        </w:tc>
      </w:tr>
    </w:tbl>
    <w:p w14:paraId="484B4601">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14:paraId="72AF3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08" w:type="dxa"/>
            <w:bottom w:w="120" w:type="dxa"/>
            <w:right w:w="108" w:type="dxa"/>
          </w:tblCellMar>
        </w:tblPrEx>
        <w:tc>
          <w:tcPr>
            <w:tcW w:w="9360" w:type="dxa"/>
            <w:tcBorders>
              <w:top w:val="nil"/>
              <w:left w:val="nil"/>
              <w:bottom w:val="nil"/>
              <w:right w:val="nil"/>
            </w:tcBorders>
            <w:shd w:val="clear" w:color="auto" w:fill="D4EFEB"/>
            <w:tcMar>
              <w:top w:w="100" w:type="dxa"/>
              <w:left w:w="200" w:type="dxa"/>
              <w:bottom w:w="100" w:type="dxa"/>
              <w:right w:w="200" w:type="dxa"/>
            </w:tcMar>
          </w:tcPr>
          <w:p w14:paraId="4B16B469">
            <w:pPr>
              <w:spacing w:before="40" w:after="40"/>
            </w:pPr>
            <w:r>
              <w:rPr>
                <w:rFonts w:ascii="Arial" w:hAnsi="Arial" w:eastAsia="Arial" w:cs="Arial"/>
                <w:b/>
                <w:bCs/>
                <w:color w:val="1A7F6E"/>
                <w:sz w:val="20"/>
                <w:szCs w:val="20"/>
              </w:rPr>
              <w:t>Our Role / Contribution</w:t>
            </w:r>
          </w:p>
          <w:p w14:paraId="77F5CA2C">
            <w:pPr>
              <w:spacing w:before="40" w:after="40"/>
            </w:pPr>
            <w:r>
              <w:rPr>
                <w:rFonts w:ascii="Arial" w:hAnsi="Arial" w:eastAsia="Arial" w:cs="Arial"/>
                <w:color w:val="1A7F6E"/>
                <w:sz w:val="20"/>
                <w:szCs w:val="20"/>
              </w:rPr>
              <w:t>SWaT is our EXPERIMENTAL PLAYGROUND. We inject Clean-ET and MITA attack vectors directly into SWaT sensor streams, compromise the auxiliary fine-tuning data batch, and demonstrate that our sensor correlation sanitization layer successfully cleanses the system — enabling PBP to purify the underlying deep learning classifiers even under the compromised data condition.</w:t>
            </w:r>
          </w:p>
        </w:tc>
      </w:tr>
    </w:tbl>
    <w:p w14:paraId="77CDC3D3">
      <w:pPr>
        <w:spacing w:before="80" w:after="80"/>
      </w:pPr>
    </w:p>
    <w:p w14:paraId="245102C7">
      <w:pPr>
        <w:spacing w:before="60" w:after="80"/>
        <w:ind w:left="200"/>
      </w:pPr>
      <w:r>
        <w:rPr>
          <w:rFonts w:ascii="Arial" w:hAnsi="Arial" w:eastAsia="Arial" w:cs="Arial"/>
          <w:b/>
          <w:bCs/>
          <w:color w:val="1F3864"/>
          <w:sz w:val="20"/>
          <w:szCs w:val="20"/>
        </w:rPr>
        <w:t xml:space="preserve">iTrust Official Dataset Page: </w:t>
      </w:r>
      <w:r>
        <w:fldChar w:fldCharType="begin"/>
      </w:r>
      <w:r>
        <w:instrText xml:space="preserve"> HYPERLINK "https://itrust.sutd.edu.sg/itrust-labs_datasets/" </w:instrText>
      </w:r>
      <w:r>
        <w:fldChar w:fldCharType="separate"/>
      </w:r>
      <w:r>
        <w:rPr>
          <w:rFonts w:ascii="Arial" w:hAnsi="Arial" w:eastAsia="Arial" w:cs="Arial"/>
          <w:color w:val="2E5A9C"/>
          <w:sz w:val="20"/>
          <w:szCs w:val="20"/>
          <w:u w:val="single"/>
        </w:rPr>
        <w:t>https://itrust.sutd.edu.sg/itrust-labs_datasets/</w:t>
      </w:r>
      <w:r>
        <w:rPr>
          <w:rFonts w:ascii="Arial" w:hAnsi="Arial" w:eastAsia="Arial" w:cs="Arial"/>
          <w:color w:val="2E5A9C"/>
          <w:sz w:val="20"/>
          <w:szCs w:val="20"/>
          <w:u w:val="single"/>
        </w:rPr>
        <w:fldChar w:fldCharType="end"/>
      </w:r>
    </w:p>
    <w:p w14:paraId="6CE3C303">
      <w:pPr>
        <w:spacing w:before="60" w:after="80"/>
        <w:ind w:left="200"/>
      </w:pPr>
      <w:r>
        <w:rPr>
          <w:rFonts w:ascii="Arial" w:hAnsi="Arial" w:eastAsia="Arial" w:cs="Arial"/>
          <w:b/>
          <w:bCs/>
          <w:color w:val="1F3864"/>
          <w:sz w:val="20"/>
          <w:szCs w:val="20"/>
        </w:rPr>
        <w:t xml:space="preserve">SWaT Specific Info: </w:t>
      </w:r>
      <w:r>
        <w:fldChar w:fldCharType="begin"/>
      </w:r>
      <w:r>
        <w:instrText xml:space="preserve"> HYPERLINK "https://www.sutd.edu.sg/itrust/itrust-labs/datasets/dataset-characteristics/swat/" </w:instrText>
      </w:r>
      <w:r>
        <w:fldChar w:fldCharType="separate"/>
      </w:r>
      <w:r>
        <w:rPr>
          <w:rFonts w:ascii="Arial" w:hAnsi="Arial" w:eastAsia="Arial" w:cs="Arial"/>
          <w:color w:val="2E5A9C"/>
          <w:sz w:val="20"/>
          <w:szCs w:val="20"/>
          <w:u w:val="single"/>
        </w:rPr>
        <w:t>https://www.sutd.edu.sg/itrust/itrust-labs/datasets/dataset-characteristics/swat/</w:t>
      </w:r>
      <w:r>
        <w:rPr>
          <w:rFonts w:ascii="Arial" w:hAnsi="Arial" w:eastAsia="Arial" w:cs="Arial"/>
          <w:color w:val="2E5A9C"/>
          <w:sz w:val="20"/>
          <w:szCs w:val="20"/>
          <w:u w:val="single"/>
        </w:rPr>
        <w:fldChar w:fldCharType="end"/>
      </w:r>
    </w:p>
    <w:p w14:paraId="6D32A030">
      <w:pPr>
        <w:spacing w:before="60" w:after="80"/>
        <w:ind w:left="200"/>
      </w:pPr>
      <w:r>
        <w:rPr>
          <w:rFonts w:ascii="Arial" w:hAnsi="Arial" w:eastAsia="Arial" w:cs="Arial"/>
          <w:b/>
          <w:bCs/>
          <w:color w:val="1F3864"/>
          <w:sz w:val="20"/>
          <w:szCs w:val="20"/>
        </w:rPr>
        <w:t xml:space="preserve">Dataset Access Request Form: </w:t>
      </w:r>
      <w:r>
        <w:fldChar w:fldCharType="begin"/>
      </w:r>
      <w:r>
        <w:instrText xml:space="preserve"> HYPERLINK "https://itrust.sutd.edu.sg/itrust-labs_datasets/" </w:instrText>
      </w:r>
      <w:r>
        <w:fldChar w:fldCharType="separate"/>
      </w:r>
      <w:r>
        <w:rPr>
          <w:rFonts w:ascii="Arial" w:hAnsi="Arial" w:eastAsia="Arial" w:cs="Arial"/>
          <w:color w:val="2E5A9C"/>
          <w:sz w:val="20"/>
          <w:szCs w:val="20"/>
          <w:u w:val="single"/>
        </w:rPr>
        <w:t>https://itrust.sutd.edu.sg/itrust-labs_datasets/</w:t>
      </w:r>
      <w:r>
        <w:rPr>
          <w:rFonts w:ascii="Arial" w:hAnsi="Arial" w:eastAsia="Arial" w:cs="Arial"/>
          <w:color w:val="2E5A9C"/>
          <w:sz w:val="20"/>
          <w:szCs w:val="20"/>
          <w:u w:val="single"/>
        </w:rPr>
        <w:fldChar w:fldCharType="end"/>
      </w:r>
    </w:p>
    <w:p w14:paraId="7C1C3F51">
      <w:pPr>
        <w:spacing w:before="60" w:after="80"/>
        <w:ind w:left="200"/>
      </w:pPr>
      <w:r>
        <w:rPr>
          <w:rFonts w:ascii="Arial" w:hAnsi="Arial" w:eastAsia="Arial" w:cs="Arial"/>
          <w:b/>
          <w:bCs/>
          <w:color w:val="1F3864"/>
          <w:sz w:val="20"/>
          <w:szCs w:val="20"/>
        </w:rPr>
        <w:t xml:space="preserve">Original Paper (ResearchGate): </w:t>
      </w:r>
      <w:r>
        <w:fldChar w:fldCharType="begin"/>
      </w:r>
      <w:r>
        <w:instrText xml:space="preserve"> HYPERLINK "https://www.researchgate.net/publication/321206108_A_Dataset_to_Support_Research_in_the_Design_of_Secure_Water_Treatment_Systems" </w:instrText>
      </w:r>
      <w:r>
        <w:fldChar w:fldCharType="separate"/>
      </w:r>
      <w:r>
        <w:rPr>
          <w:rFonts w:ascii="Arial" w:hAnsi="Arial" w:eastAsia="Arial" w:cs="Arial"/>
          <w:color w:val="2E5A9C"/>
          <w:sz w:val="20"/>
          <w:szCs w:val="20"/>
          <w:u w:val="single"/>
        </w:rPr>
        <w:t>https://www.researchgate.net/publication/321206108_A_Dataset_to_Support_Research_in_the_Design_of_Secure_Water_Treatment_Systems</w:t>
      </w:r>
      <w:r>
        <w:rPr>
          <w:rFonts w:ascii="Arial" w:hAnsi="Arial" w:eastAsia="Arial" w:cs="Arial"/>
          <w:color w:val="2E5A9C"/>
          <w:sz w:val="20"/>
          <w:szCs w:val="20"/>
          <w:u w:val="single"/>
        </w:rPr>
        <w:fldChar w:fldCharType="end"/>
      </w:r>
    </w:p>
    <w:p w14:paraId="3369A999">
      <w:pPr>
        <w:pBdr>
          <w:bottom w:val="single" w:color="C5D5E8" w:sz="2" w:space="0"/>
        </w:pBdr>
        <w:spacing w:before="160" w:after="160"/>
      </w:pPr>
    </w:p>
    <w:p w14:paraId="1B7E2AE7">
      <w:r>
        <w:br w:type="page"/>
      </w:r>
    </w:p>
    <w:p w14:paraId="6B91590C">
      <w:pPr>
        <w:pStyle w:val="2"/>
        <w:pBdr>
          <w:bottom w:val="single" w:color="1A7F6E" w:sz="4" w:space="0"/>
        </w:pBdr>
        <w:shd w:val="clear" w:fill="1F3864"/>
        <w:spacing w:before="360" w:after="200"/>
        <w:ind w:left="200" w:right="200"/>
      </w:pPr>
      <w:r>
        <w:rPr>
          <w:rFonts w:ascii="Arial" w:hAnsi="Arial" w:eastAsia="Arial" w:cs="Arial"/>
          <w:b/>
          <w:bCs/>
          <w:color w:val="FFFFFF"/>
          <w:sz w:val="32"/>
          <w:szCs w:val="32"/>
        </w:rPr>
        <w:t xml:space="preserve">  Research Gap Final Analysis</w:t>
      </w:r>
    </w:p>
    <w:p w14:paraId="5FB4B580">
      <w:pPr>
        <w:spacing w:before="80" w:after="80"/>
      </w:pPr>
    </w:p>
    <w:p w14:paraId="61DFEA4B">
      <w:pPr>
        <w:pStyle w:val="3"/>
        <w:pBdr>
          <w:left w:val="single" w:color="2E5A9C" w:sz="8" w:space="0"/>
        </w:pBdr>
        <w:spacing w:before="280" w:after="120"/>
        <w:ind w:left="180"/>
      </w:pPr>
      <w:r>
        <w:rPr>
          <w:rFonts w:ascii="Arial" w:hAnsi="Arial" w:eastAsia="Arial" w:cs="Arial"/>
          <w:b/>
          <w:bCs/>
          <w:color w:val="1F3864"/>
          <w:sz w:val="26"/>
          <w:szCs w:val="26"/>
        </w:rPr>
        <w:t>Confirmed: What Exists vs. What Does NOT Exist</w:t>
      </w:r>
    </w:p>
    <w:p w14:paraId="6D13735C">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760"/>
      </w:tblGrid>
      <w:tr w14:paraId="076EA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5D5E8" w:sz="0" w:space="0"/>
              <w:left w:val="single" w:color="C5D5E8" w:sz="0" w:space="0"/>
              <w:bottom w:val="single" w:color="C5D5E8" w:sz="0" w:space="0"/>
              <w:right w:val="single" w:color="C5D5E8" w:sz="0" w:space="0"/>
            </w:tcBorders>
            <w:shd w:val="clear" w:color="auto" w:fill="1F3864"/>
            <w:tcMar>
              <w:top w:w="100" w:type="dxa"/>
              <w:left w:w="200" w:type="dxa"/>
              <w:bottom w:w="100" w:type="dxa"/>
              <w:right w:w="120" w:type="dxa"/>
            </w:tcMar>
          </w:tcPr>
          <w:p w14:paraId="10620C4D">
            <w:r>
              <w:rPr>
                <w:rFonts w:ascii="Arial" w:hAnsi="Arial" w:eastAsia="Arial" w:cs="Arial"/>
                <w:b/>
                <w:bCs/>
                <w:color w:val="FFFFFF"/>
                <w:sz w:val="20"/>
                <w:szCs w:val="20"/>
              </w:rPr>
              <w:t>EXISTS in Literature</w:t>
            </w:r>
          </w:p>
        </w:tc>
        <w:tc>
          <w:tcPr>
            <w:tcW w:w="4760" w:type="dxa"/>
            <w:tcBorders>
              <w:top w:val="single" w:color="C5D5E8" w:sz="0" w:space="0"/>
              <w:left w:val="single" w:color="C5D5E8" w:sz="0" w:space="0"/>
              <w:bottom w:val="single" w:color="C5D5E8" w:sz="0" w:space="0"/>
              <w:right w:val="single" w:color="C5D5E8" w:sz="0" w:space="0"/>
            </w:tcBorders>
            <w:shd w:val="clear" w:color="auto" w:fill="C0392B"/>
            <w:tcMar>
              <w:top w:w="100" w:type="dxa"/>
              <w:left w:w="200" w:type="dxa"/>
              <w:bottom w:w="100" w:type="dxa"/>
              <w:right w:w="120" w:type="dxa"/>
            </w:tcMar>
          </w:tcPr>
          <w:p w14:paraId="0FAECA98">
            <w:r>
              <w:rPr>
                <w:rFonts w:ascii="Arial" w:hAnsi="Arial" w:eastAsia="Arial" w:cs="Arial"/>
                <w:b/>
                <w:bCs/>
                <w:color w:val="FFFFFF"/>
                <w:sz w:val="20"/>
                <w:szCs w:val="20"/>
              </w:rPr>
              <w:t>DOES NOT EXIST (Our Gap)</w:t>
            </w:r>
          </w:p>
        </w:tc>
      </w:tr>
      <w:tr w14:paraId="7E2E9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200" w:type="dxa"/>
              <w:bottom w:w="80" w:type="dxa"/>
              <w:right w:w="120" w:type="dxa"/>
            </w:tcMar>
          </w:tcPr>
          <w:p w14:paraId="2A76FC89">
            <w:r>
              <w:rPr>
                <w:rFonts w:ascii="Arial" w:hAnsi="Arial" w:eastAsia="Arial" w:cs="Arial"/>
                <w:color w:val="1A7F6E"/>
                <w:sz w:val="19"/>
                <w:szCs w:val="19"/>
              </w:rPr>
              <w:t>✓ Backdoor attacks ON ICS/SWaT models (offensive)</w:t>
            </w:r>
          </w:p>
        </w:tc>
        <w:tc>
          <w:tcPr>
            <w:tcW w:w="4760" w:type="dxa"/>
            <w:tcBorders>
              <w:top w:val="single" w:color="C5D5E8" w:sz="0" w:space="0"/>
              <w:left w:val="single" w:color="C5D5E8" w:sz="0" w:space="0"/>
              <w:bottom w:val="single" w:color="C5D5E8" w:sz="0" w:space="0"/>
              <w:right w:val="single" w:color="C5D5E8" w:sz="0" w:space="0"/>
            </w:tcBorders>
            <w:shd w:val="clear" w:color="auto" w:fill="FADBD8"/>
            <w:tcMar>
              <w:top w:w="80" w:type="dxa"/>
              <w:left w:w="200" w:type="dxa"/>
              <w:bottom w:w="80" w:type="dxa"/>
              <w:right w:w="120" w:type="dxa"/>
            </w:tcMar>
          </w:tcPr>
          <w:p w14:paraId="2150171C">
            <w:r>
              <w:rPr>
                <w:rFonts w:ascii="Arial" w:hAnsi="Arial" w:eastAsia="Arial" w:cs="Arial"/>
                <w:color w:val="C0392B"/>
                <w:sz w:val="19"/>
                <w:szCs w:val="19"/>
              </w:rPr>
              <w:t>✗ Backdoor PURIFICATION of ICS models (defensive)</w:t>
            </w:r>
          </w:p>
        </w:tc>
      </w:tr>
      <w:tr w14:paraId="424F6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5D5E8" w:sz="0" w:space="0"/>
              <w:left w:val="single" w:color="C5D5E8" w:sz="0" w:space="0"/>
              <w:bottom w:val="single" w:color="C5D5E8" w:sz="0" w:space="0"/>
              <w:right w:val="single" w:color="C5D5E8" w:sz="0" w:space="0"/>
            </w:tcBorders>
            <w:shd w:val="clear" w:color="auto" w:fill="F5F7FA"/>
            <w:tcMar>
              <w:top w:w="80" w:type="dxa"/>
              <w:left w:w="200" w:type="dxa"/>
              <w:bottom w:w="80" w:type="dxa"/>
              <w:right w:w="120" w:type="dxa"/>
            </w:tcMar>
          </w:tcPr>
          <w:p w14:paraId="18CAB79D">
            <w:r>
              <w:rPr>
                <w:rFonts w:ascii="Arial" w:hAnsi="Arial" w:eastAsia="Arial" w:cs="Arial"/>
                <w:color w:val="1A7F6E"/>
                <w:sz w:val="19"/>
                <w:szCs w:val="19"/>
              </w:rPr>
              <w:t>✓ Anomaly detection on SWaT (normal ML security)</w:t>
            </w:r>
          </w:p>
        </w:tc>
        <w:tc>
          <w:tcPr>
            <w:tcW w:w="4760" w:type="dxa"/>
            <w:tcBorders>
              <w:top w:val="single" w:color="C5D5E8" w:sz="0" w:space="0"/>
              <w:left w:val="single" w:color="C5D5E8" w:sz="0" w:space="0"/>
              <w:bottom w:val="single" w:color="C5D5E8" w:sz="0" w:space="0"/>
              <w:right w:val="single" w:color="C5D5E8" w:sz="0" w:space="0"/>
            </w:tcBorders>
            <w:shd w:val="clear" w:color="auto" w:fill="FADBD8"/>
            <w:tcMar>
              <w:top w:w="80" w:type="dxa"/>
              <w:left w:w="200" w:type="dxa"/>
              <w:bottom w:w="80" w:type="dxa"/>
              <w:right w:w="120" w:type="dxa"/>
            </w:tcMar>
          </w:tcPr>
          <w:p w14:paraId="06562131">
            <w:r>
              <w:rPr>
                <w:rFonts w:ascii="Arial" w:hAnsi="Arial" w:eastAsia="Arial" w:cs="Arial"/>
                <w:color w:val="C0392B"/>
                <w:sz w:val="19"/>
                <w:szCs w:val="19"/>
              </w:rPr>
              <w:t>✗ Purification under poisoned auxiliary data in ICS</w:t>
            </w:r>
          </w:p>
        </w:tc>
      </w:tr>
      <w:tr w14:paraId="7249B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200" w:type="dxa"/>
              <w:bottom w:w="80" w:type="dxa"/>
              <w:right w:w="120" w:type="dxa"/>
            </w:tcMar>
          </w:tcPr>
          <w:p w14:paraId="363E69A7">
            <w:r>
              <w:rPr>
                <w:rFonts w:ascii="Arial" w:hAnsi="Arial" w:eastAsia="Arial" w:cs="Arial"/>
                <w:color w:val="1A7F6E"/>
                <w:sz w:val="19"/>
                <w:szCs w:val="19"/>
              </w:rPr>
              <w:t>✓ BackdoorBenchER — poisoned aux data studied on images</w:t>
            </w:r>
          </w:p>
        </w:tc>
        <w:tc>
          <w:tcPr>
            <w:tcW w:w="4760" w:type="dxa"/>
            <w:tcBorders>
              <w:top w:val="single" w:color="C5D5E8" w:sz="0" w:space="0"/>
              <w:left w:val="single" w:color="C5D5E8" w:sz="0" w:space="0"/>
              <w:bottom w:val="single" w:color="C5D5E8" w:sz="0" w:space="0"/>
              <w:right w:val="single" w:color="C5D5E8" w:sz="0" w:space="0"/>
            </w:tcBorders>
            <w:shd w:val="clear" w:color="auto" w:fill="FADBD8"/>
            <w:tcMar>
              <w:top w:w="80" w:type="dxa"/>
              <w:left w:w="200" w:type="dxa"/>
              <w:bottom w:w="80" w:type="dxa"/>
              <w:right w:w="120" w:type="dxa"/>
            </w:tcMar>
          </w:tcPr>
          <w:p w14:paraId="09AEDF00">
            <w:r>
              <w:rPr>
                <w:rFonts w:ascii="Arial" w:hAnsi="Arial" w:eastAsia="Arial" w:cs="Arial"/>
                <w:color w:val="C0392B"/>
                <w:sz w:val="19"/>
                <w:szCs w:val="19"/>
              </w:rPr>
              <w:t>✗ BackdoorBenchER-style study adapted for sensor/ICS data</w:t>
            </w:r>
          </w:p>
        </w:tc>
      </w:tr>
      <w:tr w14:paraId="2A80F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5D5E8" w:sz="0" w:space="0"/>
              <w:left w:val="single" w:color="C5D5E8" w:sz="0" w:space="0"/>
              <w:bottom w:val="single" w:color="C5D5E8" w:sz="0" w:space="0"/>
              <w:right w:val="single" w:color="C5D5E8" w:sz="0" w:space="0"/>
            </w:tcBorders>
            <w:shd w:val="clear" w:color="auto" w:fill="F5F7FA"/>
            <w:tcMar>
              <w:top w:w="80" w:type="dxa"/>
              <w:left w:w="200" w:type="dxa"/>
              <w:bottom w:w="80" w:type="dxa"/>
              <w:right w:w="120" w:type="dxa"/>
            </w:tcMar>
          </w:tcPr>
          <w:p w14:paraId="5CB5152E">
            <w:r>
              <w:rPr>
                <w:rFonts w:ascii="Arial" w:hAnsi="Arial" w:eastAsia="Arial" w:cs="Arial"/>
                <w:color w:val="1A7F6E"/>
                <w:sz w:val="19"/>
                <w:szCs w:val="19"/>
              </w:rPr>
              <w:t>✓ PBP — effective purification for malware/images</w:t>
            </w:r>
          </w:p>
        </w:tc>
        <w:tc>
          <w:tcPr>
            <w:tcW w:w="4760" w:type="dxa"/>
            <w:tcBorders>
              <w:top w:val="single" w:color="C5D5E8" w:sz="0" w:space="0"/>
              <w:left w:val="single" w:color="C5D5E8" w:sz="0" w:space="0"/>
              <w:bottom w:val="single" w:color="C5D5E8" w:sz="0" w:space="0"/>
              <w:right w:val="single" w:color="C5D5E8" w:sz="0" w:space="0"/>
            </w:tcBorders>
            <w:shd w:val="clear" w:color="auto" w:fill="FADBD8"/>
            <w:tcMar>
              <w:top w:w="80" w:type="dxa"/>
              <w:left w:w="200" w:type="dxa"/>
              <w:bottom w:w="80" w:type="dxa"/>
              <w:right w:w="120" w:type="dxa"/>
            </w:tcMar>
          </w:tcPr>
          <w:p w14:paraId="1AED1676">
            <w:r>
              <w:rPr>
                <w:rFonts w:ascii="Arial" w:hAnsi="Arial" w:eastAsia="Arial" w:cs="Arial"/>
                <w:color w:val="C0392B"/>
                <w:sz w:val="19"/>
                <w:szCs w:val="19"/>
              </w:rPr>
              <w:t>✗ PBP adapted for time-series physical sensor correlations</w:t>
            </w:r>
          </w:p>
        </w:tc>
      </w:tr>
      <w:tr w14:paraId="1F25A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200" w:type="dxa"/>
              <w:bottom w:w="80" w:type="dxa"/>
              <w:right w:w="120" w:type="dxa"/>
            </w:tcMar>
          </w:tcPr>
          <w:p w14:paraId="4AE45F59">
            <w:r>
              <w:rPr>
                <w:rFonts w:ascii="Arial" w:hAnsi="Arial" w:eastAsia="Arial" w:cs="Arial"/>
                <w:color w:val="1A7F6E"/>
                <w:sz w:val="19"/>
                <w:szCs w:val="19"/>
              </w:rPr>
              <w:t>✓ XAI defense in federated smart grid (decentralized)</w:t>
            </w:r>
          </w:p>
        </w:tc>
        <w:tc>
          <w:tcPr>
            <w:tcW w:w="4760" w:type="dxa"/>
            <w:tcBorders>
              <w:top w:val="single" w:color="C5D5E8" w:sz="0" w:space="0"/>
              <w:left w:val="single" w:color="C5D5E8" w:sz="0" w:space="0"/>
              <w:bottom w:val="single" w:color="C5D5E8" w:sz="0" w:space="0"/>
              <w:right w:val="single" w:color="C5D5E8" w:sz="0" w:space="0"/>
            </w:tcBorders>
            <w:shd w:val="clear" w:color="auto" w:fill="FADBD8"/>
            <w:tcMar>
              <w:top w:w="80" w:type="dxa"/>
              <w:left w:w="200" w:type="dxa"/>
              <w:bottom w:w="80" w:type="dxa"/>
              <w:right w:w="120" w:type="dxa"/>
            </w:tcMar>
          </w:tcPr>
          <w:p w14:paraId="0BE7619F">
            <w:r>
              <w:rPr>
                <w:rFonts w:ascii="Arial" w:hAnsi="Arial" w:eastAsia="Arial" w:cs="Arial"/>
                <w:color w:val="C0392B"/>
                <w:sz w:val="19"/>
                <w:szCs w:val="19"/>
              </w:rPr>
              <w:t>✗ Post-processing centralized purification for smart grid</w:t>
            </w:r>
          </w:p>
        </w:tc>
      </w:tr>
      <w:tr w14:paraId="18F26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5D5E8" w:sz="0" w:space="0"/>
              <w:left w:val="single" w:color="C5D5E8" w:sz="0" w:space="0"/>
              <w:bottom w:val="single" w:color="C5D5E8" w:sz="0" w:space="0"/>
              <w:right w:val="single" w:color="C5D5E8" w:sz="0" w:space="0"/>
            </w:tcBorders>
            <w:shd w:val="clear" w:color="auto" w:fill="F5F7FA"/>
            <w:tcMar>
              <w:top w:w="80" w:type="dxa"/>
              <w:left w:w="200" w:type="dxa"/>
              <w:bottom w:w="80" w:type="dxa"/>
              <w:right w:w="120" w:type="dxa"/>
            </w:tcMar>
          </w:tcPr>
          <w:p w14:paraId="10F2A100">
            <w:r>
              <w:rPr>
                <w:rFonts w:ascii="Arial" w:hAnsi="Arial" w:eastAsia="Arial" w:cs="Arial"/>
                <w:color w:val="1A7F6E"/>
                <w:sz w:val="19"/>
                <w:szCs w:val="19"/>
              </w:rPr>
              <w:t>✓ Clean-label attacks in smart grid ETD (offensive)</w:t>
            </w:r>
          </w:p>
        </w:tc>
        <w:tc>
          <w:tcPr>
            <w:tcW w:w="4760" w:type="dxa"/>
            <w:tcBorders>
              <w:top w:val="single" w:color="C5D5E8" w:sz="0" w:space="0"/>
              <w:left w:val="single" w:color="C5D5E8" w:sz="0" w:space="0"/>
              <w:bottom w:val="single" w:color="C5D5E8" w:sz="0" w:space="0"/>
              <w:right w:val="single" w:color="C5D5E8" w:sz="0" w:space="0"/>
            </w:tcBorders>
            <w:shd w:val="clear" w:color="auto" w:fill="FADBD8"/>
            <w:tcMar>
              <w:top w:w="80" w:type="dxa"/>
              <w:left w:w="200" w:type="dxa"/>
              <w:bottom w:w="80" w:type="dxa"/>
              <w:right w:w="120" w:type="dxa"/>
            </w:tcMar>
          </w:tcPr>
          <w:p w14:paraId="3A85FBD6">
            <w:r>
              <w:rPr>
                <w:rFonts w:ascii="Arial" w:hAnsi="Arial" w:eastAsia="Arial" w:cs="Arial"/>
                <w:color w:val="C0392B"/>
                <w:sz w:val="19"/>
                <w:szCs w:val="19"/>
              </w:rPr>
              <w:t>✗ Defense/purification against clean-label attacks in ICS</w:t>
            </w:r>
          </w:p>
        </w:tc>
      </w:tr>
    </w:tbl>
    <w:p w14:paraId="01B6C538">
      <w:pPr>
        <w:spacing w:before="120" w:after="120"/>
      </w:pPr>
    </w:p>
    <w:p w14:paraId="51D7D77C">
      <w:pPr>
        <w:pStyle w:val="3"/>
        <w:pBdr>
          <w:left w:val="single" w:color="2E5A9C" w:sz="8" w:space="0"/>
        </w:pBdr>
        <w:spacing w:before="280" w:after="120"/>
        <w:ind w:left="180"/>
      </w:pPr>
      <w:r>
        <w:rPr>
          <w:rFonts w:ascii="Arial" w:hAnsi="Arial" w:eastAsia="Arial" w:cs="Arial"/>
          <w:b/>
          <w:bCs/>
          <w:color w:val="1F3864"/>
          <w:sz w:val="26"/>
          <w:szCs w:val="26"/>
        </w:rPr>
        <w:t>Our Unique Contribution Combination</w:t>
      </w:r>
    </w:p>
    <w:p w14:paraId="5D3A134D">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14:paraId="15BBE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08" w:type="dxa"/>
            <w:bottom w:w="120" w:type="dxa"/>
            <w:right w:w="108" w:type="dxa"/>
          </w:tblCellMar>
        </w:tblPrEx>
        <w:tc>
          <w:tcPr>
            <w:tcW w:w="9360" w:type="dxa"/>
            <w:tcBorders>
              <w:top w:val="nil"/>
              <w:left w:val="nil"/>
              <w:bottom w:val="nil"/>
              <w:right w:val="nil"/>
            </w:tcBorders>
            <w:shd w:val="clear" w:color="auto" w:fill="D6E4F0"/>
            <w:tcMar>
              <w:top w:w="100" w:type="dxa"/>
              <w:left w:w="200" w:type="dxa"/>
              <w:bottom w:w="100" w:type="dxa"/>
              <w:right w:w="200" w:type="dxa"/>
            </w:tcMar>
          </w:tcPr>
          <w:p w14:paraId="31D523E1">
            <w:pPr>
              <w:spacing w:before="40" w:after="40"/>
            </w:pPr>
            <w:r>
              <w:rPr>
                <w:rFonts w:ascii="Arial" w:hAnsi="Arial" w:eastAsia="Arial" w:cs="Arial"/>
                <w:b/>
                <w:bCs/>
                <w:color w:val="1F3864"/>
                <w:sz w:val="20"/>
                <w:szCs w:val="20"/>
              </w:rPr>
              <w:t>The Three-Way Novelty (No Existing Paper Has All Three)</w:t>
            </w:r>
          </w:p>
          <w:p w14:paraId="7DC8272C">
            <w:pPr>
              <w:spacing w:before="40" w:after="40"/>
            </w:pPr>
            <w:r>
              <w:rPr>
                <w:rFonts w:ascii="Arial" w:hAnsi="Arial" w:eastAsia="Arial" w:cs="Arial"/>
                <w:color w:val="1F3864"/>
                <w:sz w:val="20"/>
                <w:szCs w:val="20"/>
              </w:rPr>
              <w:t>1. DOMAIN: Smart Grid / ICS (SWaT sensor data) — not images or text
2. SETTING: Compromised / Poisoned Auxiliary Data — not clean data assumption
3. TASK: Post-Training Backdoor PURIFICATION — not just detection
Each dimension alone has limited novelty. All three together = confirmed research gap with academic contribution.</w:t>
            </w:r>
          </w:p>
        </w:tc>
      </w:tr>
    </w:tbl>
    <w:p w14:paraId="39F9AF21">
      <w:pPr>
        <w:spacing w:before="120" w:after="120"/>
      </w:pPr>
    </w:p>
    <w:p w14:paraId="2320EFDB">
      <w:pPr>
        <w:pStyle w:val="2"/>
        <w:pBdr>
          <w:bottom w:val="single" w:color="1A7F6E" w:sz="4" w:space="0"/>
        </w:pBdr>
        <w:shd w:val="clear" w:fill="1F3864"/>
        <w:spacing w:before="360" w:after="200"/>
        <w:ind w:left="200" w:right="200"/>
      </w:pPr>
      <w:r>
        <w:rPr>
          <w:rFonts w:ascii="Arial" w:hAnsi="Arial" w:eastAsia="Arial" w:cs="Arial"/>
          <w:b/>
          <w:bCs/>
          <w:color w:val="FFFFFF"/>
          <w:sz w:val="32"/>
          <w:szCs w:val="32"/>
        </w:rPr>
        <w:t xml:space="preserve">  Project Thesis Statement (Final)</w:t>
      </w:r>
    </w:p>
    <w:p w14:paraId="05850676">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2D8C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7F6E" w:sz="6" w:space="0"/>
              <w:left w:val="single" w:color="1A7F6E" w:sz="16" w:space="0"/>
              <w:bottom w:val="single" w:color="1A7F6E" w:sz="6" w:space="0"/>
              <w:right w:val="single" w:color="1A7F6E" w:sz="6" w:space="0"/>
            </w:tcBorders>
            <w:shd w:val="clear" w:color="auto" w:fill="D4EFEB"/>
            <w:tcMar>
              <w:top w:w="200" w:type="dxa"/>
              <w:left w:w="300" w:type="dxa"/>
              <w:bottom w:w="200" w:type="dxa"/>
              <w:right w:w="200" w:type="dxa"/>
            </w:tcMar>
          </w:tcPr>
          <w:p w14:paraId="0491B986">
            <w:pPr>
              <w:spacing w:before="60" w:after="60"/>
              <w:jc w:val="left"/>
            </w:pPr>
            <w:r>
              <w:rPr>
                <w:rFonts w:ascii="Arial" w:hAnsi="Arial" w:eastAsia="Arial" w:cs="Arial"/>
                <w:i/>
                <w:iCs/>
                <w:color w:val="1F3864"/>
                <w:sz w:val="21"/>
                <w:szCs w:val="21"/>
              </w:rPr>
              <w:t>"Existing post-training backdoor purification methods (PBP) assume that the auxiliary fine-tuning data is clean — a assumption that is fundamentally broken in Smart Grid / ICS environments where the data collection process is itself a target. We propose a physics-aware, sensor-correlation-guided sanitization layer that cleanses the compromised auxiliary data before purification executes, making PBP robust in untrusted environments. Evaluated on the SWaT ICS benchmark dataset against state-of-the-art clean-label smart grid attacks (Clean-ET, MITA), our framework outperforms existing baselines (ABDP) in Attack Success Rate reduction while maintaining high clean accuracy and real-time computational feasibility."</w:t>
            </w:r>
          </w:p>
        </w:tc>
      </w:tr>
    </w:tbl>
    <w:p w14:paraId="592D511D">
      <w:pPr>
        <w:spacing w:before="200" w:after="200"/>
      </w:pPr>
    </w:p>
    <w:sectPr>
      <w:footerReference r:id="rId3"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4308A">
    <w:pPr>
      <w:jc w:val="center"/>
    </w:pPr>
    <w:r>
      <w:rPr>
        <w:rFonts w:ascii="Arial" w:hAnsi="Arial" w:eastAsia="Arial" w:cs="Arial"/>
        <w:color w:val="808080"/>
        <w:sz w:val="16"/>
        <w:szCs w:val="16"/>
      </w:rPr>
      <w:t xml:space="preserve">Backdoor Purification in Smart Grids — Literature Review | </w:t>
    </w:r>
    <w:r>
      <w:rPr>
        <w:rFonts w:ascii="Arial" w:hAnsi="Arial" w:eastAsia="Arial" w:cs="Arial"/>
        <w:color w:val="808080"/>
        <w:sz w:val="16"/>
        <w:szCs w:val="16"/>
      </w:rPr>
      <w:fldChar w:fldCharType="begin"/>
    </w:r>
    <w:r>
      <w:rPr>
        <w:rFonts w:ascii="Arial" w:hAnsi="Arial" w:eastAsia="Arial" w:cs="Arial"/>
        <w:color w:val="808080"/>
        <w:sz w:val="16"/>
        <w:szCs w:val="16"/>
      </w:rPr>
      <w:instrText xml:space="preserve">PAGE</w:instrText>
    </w:r>
    <w:r>
      <w:rPr>
        <w:rFonts w:ascii="Arial" w:hAnsi="Arial" w:eastAsia="Arial" w:cs="Arial"/>
        <w:color w:val="808080"/>
        <w:sz w:val="16"/>
        <w:szCs w:val="16"/>
      </w:rPr>
      <w:fldChar w:fldCharType="separate"/>
    </w:r>
    <w:r>
      <w:rPr>
        <w:rFonts w:ascii="Arial" w:hAnsi="Arial" w:eastAsia="Arial" w:cs="Arial"/>
        <w:color w:val="808080"/>
        <w:sz w:val="16"/>
        <w:szCs w:val="16"/>
      </w:rPr>
      <w:fldChar w:fldCharType="end"/>
    </w:r>
    <w:r>
      <w:rPr>
        <w:rFonts w:ascii="Arial" w:hAnsi="Arial" w:eastAsia="Arial" w:cs="Arial"/>
        <w:color w:val="808080"/>
        <w:sz w:val="16"/>
        <w:szCs w:val="16"/>
      </w:rPr>
      <w:t xml:space="preserve"> / </w:t>
    </w:r>
    <w:r>
      <w:rPr>
        <w:rFonts w:ascii="Arial" w:hAnsi="Arial" w:eastAsia="Arial" w:cs="Arial"/>
        <w:color w:val="808080"/>
        <w:sz w:val="16"/>
        <w:szCs w:val="16"/>
      </w:rPr>
      <w:fldChar w:fldCharType="begin"/>
    </w:r>
    <w:r>
      <w:rPr>
        <w:rFonts w:ascii="Arial" w:hAnsi="Arial" w:eastAsia="Arial" w:cs="Arial"/>
        <w:color w:val="808080"/>
        <w:sz w:val="16"/>
        <w:szCs w:val="16"/>
      </w:rPr>
      <w:instrText xml:space="preserve">NUMPAGES</w:instrText>
    </w:r>
    <w:r>
      <w:rPr>
        <w:rFonts w:ascii="Arial" w:hAnsi="Arial" w:eastAsia="Arial" w:cs="Arial"/>
        <w:color w:val="808080"/>
        <w:sz w:val="16"/>
        <w:szCs w:val="16"/>
      </w:rPr>
      <w:fldChar w:fldCharType="separate"/>
    </w:r>
    <w:r>
      <w:rPr>
        <w:rFonts w:ascii="Arial" w:hAnsi="Arial" w:eastAsia="Arial" w:cs="Arial"/>
        <w:color w:val="808080"/>
        <w:sz w:val="16"/>
        <w:szCs w:val="16"/>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62D27D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360" w:after="200"/>
      <w:outlineLvl w:val="0"/>
    </w:pPr>
    <w:rPr>
      <w:rFonts w:ascii="Arial" w:hAnsi="Arial" w:eastAsia="Arial" w:cs="Arial"/>
      <w:b/>
      <w:bCs/>
      <w:color w:val="FFFFFF"/>
      <w:sz w:val="32"/>
      <w:szCs w:val="32"/>
    </w:rPr>
  </w:style>
  <w:style w:type="paragraph" w:styleId="3">
    <w:name w:val="heading 2"/>
    <w:next w:val="1"/>
    <w:qFormat/>
    <w:uiPriority w:val="0"/>
    <w:pPr>
      <w:spacing w:before="280" w:after="120"/>
      <w:outlineLvl w:val="1"/>
    </w:pPr>
    <w:rPr>
      <w:rFonts w:ascii="Arial" w:hAnsi="Arial" w:eastAsia="Arial" w:cs="Arial"/>
      <w:b/>
      <w:bCs/>
      <w:color w:val="1F3864"/>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2026-05-27T08:59:00Z</dcterms:created>
  <dc:creator>Un-named</dc:creator>
  <cp:lastModifiedBy>Sakshi Singh</cp:lastModifiedBy>
  <dcterms:modified xsi:type="dcterms:W3CDTF">2026-05-27T09:02:27Z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AFC35E8A45DE484F9FEE48E7EEC058F3_12</vt:lpwstr>
  </property>
</Properties>
</file>