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AB792A">
      <w:pPr>
        <w:tabs>
          <w:tab w:val="left" w:pos="1879"/>
          <w:tab w:val="center" w:pos="4740"/>
        </w:tabs>
        <w:spacing w:before="200" w:after="40"/>
        <w:jc w:val="left"/>
        <w:rPr>
          <w:b/>
          <w:bCs/>
          <w:color w:val="1F3864"/>
          <w:sz w:val="32"/>
          <w:szCs w:val="32"/>
          <w:lang w:val="en-US"/>
        </w:rPr>
      </w:pPr>
    </w:p>
    <w:p w14:paraId="4BC69468">
      <w:pPr>
        <w:tabs>
          <w:tab w:val="left" w:pos="1879"/>
          <w:tab w:val="center" w:pos="4740"/>
        </w:tabs>
        <w:spacing w:before="200" w:after="40"/>
        <w:jc w:val="left"/>
        <w:rPr>
          <w:b/>
          <w:bCs/>
          <w:color w:val="1F3864"/>
          <w:sz w:val="32"/>
          <w:szCs w:val="32"/>
          <w:lang w:val="en-US"/>
        </w:rPr>
      </w:pPr>
    </w:p>
    <w:p w14:paraId="651338FF">
      <w:pPr>
        <w:tabs>
          <w:tab w:val="left" w:pos="1879"/>
          <w:tab w:val="center" w:pos="4740"/>
        </w:tabs>
        <w:spacing w:before="200" w:after="40"/>
        <w:jc w:val="left"/>
        <w:rPr>
          <w:b/>
          <w:bCs/>
          <w:color w:val="1F3864"/>
          <w:sz w:val="32"/>
          <w:szCs w:val="32"/>
          <w:lang w:val="en-US"/>
        </w:rPr>
      </w:pPr>
    </w:p>
    <w:p w14:paraId="3461527D">
      <w:pPr>
        <w:tabs>
          <w:tab w:val="left" w:pos="1879"/>
          <w:tab w:val="center" w:pos="4740"/>
        </w:tabs>
        <w:spacing w:before="200" w:after="40"/>
        <w:jc w:val="left"/>
        <w:rPr>
          <w:b/>
          <w:bCs/>
          <w:color w:val="1F3864"/>
          <w:sz w:val="32"/>
          <w:szCs w:val="32"/>
          <w:lang w:val="en-US"/>
        </w:rPr>
      </w:pPr>
    </w:p>
    <w:p w14:paraId="7EC4188A">
      <w:pPr>
        <w:tabs>
          <w:tab w:val="left" w:pos="1879"/>
          <w:tab w:val="center" w:pos="4740"/>
        </w:tabs>
        <w:spacing w:before="200" w:after="40"/>
        <w:jc w:val="left"/>
        <w:rPr>
          <w:b/>
          <w:bCs/>
          <w:color w:val="1F3864"/>
          <w:sz w:val="32"/>
          <w:szCs w:val="32"/>
          <w:lang w:val="en-US"/>
        </w:rPr>
      </w:pPr>
    </w:p>
    <w:p w14:paraId="729033C6">
      <w:pPr>
        <w:tabs>
          <w:tab w:val="left" w:pos="1879"/>
          <w:tab w:val="center" w:pos="4740"/>
        </w:tabs>
        <w:spacing w:before="200" w:after="40"/>
        <w:jc w:val="left"/>
        <w:rPr>
          <w:b/>
          <w:bCs/>
          <w:color w:val="1F3864"/>
          <w:sz w:val="32"/>
          <w:szCs w:val="32"/>
          <w:lang w:val="en-US"/>
        </w:rPr>
      </w:pPr>
    </w:p>
    <w:p w14:paraId="6ED9301F">
      <w:pPr>
        <w:tabs>
          <w:tab w:val="left" w:pos="1879"/>
          <w:tab w:val="center" w:pos="4740"/>
        </w:tabs>
        <w:spacing w:before="200" w:after="40"/>
        <w:jc w:val="left"/>
        <w:rPr>
          <w:b/>
          <w:bCs/>
          <w:color w:val="1F3864"/>
          <w:sz w:val="32"/>
          <w:szCs w:val="32"/>
          <w:lang w:val="en-US"/>
        </w:rPr>
      </w:pPr>
    </w:p>
    <w:p w14:paraId="3F8DC7F0">
      <w:pPr>
        <w:tabs>
          <w:tab w:val="left" w:pos="1879"/>
          <w:tab w:val="center" w:pos="4740"/>
        </w:tabs>
        <w:spacing w:before="200" w:after="40"/>
        <w:jc w:val="left"/>
        <w:rPr>
          <w:b/>
          <w:bCs/>
          <w:color w:val="1F3864"/>
          <w:sz w:val="32"/>
          <w:szCs w:val="32"/>
          <w:lang w:val="en-US"/>
        </w:rPr>
      </w:pPr>
    </w:p>
    <w:p w14:paraId="31633861">
      <w:pPr>
        <w:tabs>
          <w:tab w:val="left" w:pos="1879"/>
          <w:tab w:val="center" w:pos="4740"/>
        </w:tabs>
        <w:spacing w:before="200" w:after="40"/>
        <w:jc w:val="left"/>
        <w:rPr>
          <w:b/>
          <w:bCs/>
          <w:color w:val="1F3864"/>
          <w:sz w:val="32"/>
          <w:szCs w:val="32"/>
          <w:lang w:val="en-US"/>
        </w:rPr>
      </w:pPr>
    </w:p>
    <w:p w14:paraId="5A482A88">
      <w:pPr>
        <w:tabs>
          <w:tab w:val="left" w:pos="1879"/>
          <w:tab w:val="center" w:pos="4740"/>
        </w:tabs>
        <w:spacing w:before="200" w:after="40"/>
        <w:jc w:val="left"/>
      </w:pPr>
      <w:r>
        <w:rPr>
          <w:b/>
          <w:bCs/>
          <w:color w:val="1F3864"/>
          <w:sz w:val="32"/>
          <w:szCs w:val="32"/>
          <w:lang w:val="en-US"/>
        </w:rPr>
        <w:tab/>
      </w:r>
      <w:r>
        <w:rPr>
          <w:b/>
          <w:bCs/>
          <w:color w:val="1F3864"/>
          <w:sz w:val="32"/>
          <w:szCs w:val="32"/>
        </w:rPr>
        <w:t>TechNova Solutions Pvt. Ltd.</w:t>
      </w:r>
    </w:p>
    <w:p w14:paraId="685C3C15">
      <w:pPr>
        <w:spacing w:after="300"/>
        <w:jc w:val="center"/>
        <w:rPr>
          <w:b/>
          <w:bCs/>
          <w:color w:val="595959"/>
          <w:sz w:val="26"/>
          <w:szCs w:val="26"/>
        </w:rPr>
      </w:pPr>
      <w:r>
        <w:rPr>
          <w:b/>
          <w:bCs/>
          <w:color w:val="595959"/>
          <w:sz w:val="26"/>
          <w:szCs w:val="26"/>
        </w:rPr>
        <w:t>INFORMATION SECURITY MANAGEMENT SYSTEM (ISMS) SCOPE</w:t>
      </w:r>
    </w:p>
    <w:p w14:paraId="45CC810A">
      <w:pPr>
        <w:pStyle w:val="15"/>
        <w:numPr>
          <w:ilvl w:val="0"/>
          <w:numId w:val="0"/>
        </w:numPr>
        <w:ind w:leftChars="0"/>
        <w:jc w:val="center"/>
        <w:rPr>
          <w:sz w:val="28"/>
          <w:szCs w:val="28"/>
        </w:rPr>
      </w:pPr>
      <w:r>
        <w:rPr>
          <w:rFonts w:hint="default"/>
          <w:b/>
          <w:bCs/>
          <w:color w:val="595959"/>
          <w:sz w:val="26"/>
          <w:szCs w:val="26"/>
          <w:lang w:val="en-US"/>
        </w:rPr>
        <w:t>DOCUMENT ID : ISMS 001</w:t>
      </w:r>
    </w:p>
    <w:p w14:paraId="4942C5C0">
      <w:pPr>
        <w:pStyle w:val="15"/>
        <w:numPr>
          <w:ilvl w:val="0"/>
          <w:numId w:val="0"/>
        </w:numPr>
        <w:ind w:leftChars="0"/>
        <w:jc w:val="center"/>
        <w:rPr>
          <w:rFonts w:hint="default"/>
          <w:sz w:val="28"/>
          <w:szCs w:val="28"/>
          <w:lang w:val="en-US"/>
        </w:rPr>
      </w:pPr>
      <w:r>
        <w:rPr>
          <w:rFonts w:hint="default"/>
          <w:b/>
          <w:bCs/>
          <w:color w:val="595959"/>
          <w:sz w:val="26"/>
          <w:szCs w:val="26"/>
          <w:lang w:val="en-US"/>
        </w:rPr>
        <w:t>VERSION : 1.0</w:t>
      </w:r>
    </w:p>
    <w:p w14:paraId="266643DA">
      <w:pPr>
        <w:spacing w:after="300"/>
        <w:jc w:val="center"/>
        <w:rPr>
          <w:rFonts w:hint="default"/>
          <w:b/>
          <w:bCs/>
          <w:color w:val="595959"/>
          <w:sz w:val="26"/>
          <w:szCs w:val="26"/>
          <w:lang w:val="en-US"/>
        </w:rPr>
      </w:pPr>
      <w:r>
        <w:rPr>
          <w:rFonts w:hint="default"/>
          <w:b/>
          <w:bCs/>
          <w:color w:val="595959"/>
          <w:sz w:val="26"/>
          <w:szCs w:val="26"/>
          <w:lang w:val="en-US"/>
        </w:rPr>
        <w:t xml:space="preserve"> </w:t>
      </w:r>
    </w:p>
    <w:p w14:paraId="38607F02">
      <w:pPr>
        <w:spacing w:after="300"/>
        <w:jc w:val="center"/>
        <w:rPr>
          <w:b/>
          <w:bCs/>
          <w:color w:val="595959"/>
          <w:sz w:val="26"/>
          <w:szCs w:val="26"/>
        </w:rPr>
      </w:pPr>
    </w:p>
    <w:p w14:paraId="4207DE31">
      <w:pPr>
        <w:spacing w:after="300"/>
        <w:jc w:val="center"/>
        <w:rPr>
          <w:b/>
          <w:bCs/>
          <w:color w:val="595959"/>
          <w:sz w:val="26"/>
          <w:szCs w:val="26"/>
        </w:rPr>
      </w:pPr>
    </w:p>
    <w:p w14:paraId="06919B36">
      <w:pPr>
        <w:spacing w:after="300"/>
        <w:jc w:val="center"/>
        <w:rPr>
          <w:b/>
          <w:bCs/>
          <w:color w:val="595959"/>
          <w:sz w:val="26"/>
          <w:szCs w:val="26"/>
        </w:rPr>
      </w:pPr>
    </w:p>
    <w:p w14:paraId="65651323">
      <w:pPr>
        <w:spacing w:after="300"/>
        <w:jc w:val="center"/>
        <w:rPr>
          <w:b/>
          <w:bCs/>
          <w:color w:val="595959"/>
          <w:sz w:val="26"/>
          <w:szCs w:val="26"/>
        </w:rPr>
      </w:pPr>
    </w:p>
    <w:p w14:paraId="0952B2FE">
      <w:pPr>
        <w:spacing w:after="300"/>
        <w:jc w:val="center"/>
        <w:rPr>
          <w:b/>
          <w:bCs/>
          <w:color w:val="595959"/>
          <w:sz w:val="26"/>
          <w:szCs w:val="26"/>
        </w:rPr>
      </w:pPr>
    </w:p>
    <w:p w14:paraId="3F6DC61D">
      <w:pPr>
        <w:spacing w:after="300"/>
        <w:jc w:val="center"/>
        <w:rPr>
          <w:b/>
          <w:bCs/>
          <w:color w:val="595959"/>
          <w:sz w:val="26"/>
          <w:szCs w:val="26"/>
        </w:rPr>
      </w:pPr>
    </w:p>
    <w:p w14:paraId="67D1C8AB">
      <w:pPr>
        <w:spacing w:after="300"/>
        <w:jc w:val="center"/>
        <w:rPr>
          <w:b/>
          <w:bCs/>
          <w:color w:val="595959"/>
          <w:sz w:val="26"/>
          <w:szCs w:val="26"/>
        </w:rPr>
      </w:pPr>
    </w:p>
    <w:p w14:paraId="5B1A7727">
      <w:pPr>
        <w:spacing w:after="300"/>
        <w:jc w:val="center"/>
        <w:rPr>
          <w:b/>
          <w:bCs/>
          <w:color w:val="595959"/>
          <w:sz w:val="26"/>
          <w:szCs w:val="26"/>
        </w:rPr>
      </w:pPr>
    </w:p>
    <w:p w14:paraId="54F4AFE1">
      <w:pPr>
        <w:bidi w:val="0"/>
        <w:jc w:val="center"/>
        <w:rPr>
          <w:rFonts w:hint="default"/>
          <w:b/>
          <w:bCs/>
          <w:color w:val="1F497D" w:themeColor="text2"/>
          <w:lang w:val="en-US"/>
          <w14:textFill>
            <w14:solidFill>
              <w14:schemeClr w14:val="tx2"/>
            </w14:solidFill>
          </w14:textFill>
        </w:rPr>
      </w:pPr>
      <w:r>
        <w:rPr>
          <w:rFonts w:hint="default"/>
          <w:b/>
          <w:bCs/>
          <w:color w:val="1F497D" w:themeColor="text2"/>
          <w:lang w:val="en-US"/>
          <w14:textFill>
            <w14:solidFill>
              <w14:schemeClr w14:val="tx2"/>
            </w14:solidFill>
          </w14:textFill>
        </w:rPr>
        <w:t>DOCUMENT CONTROL</w:t>
      </w:r>
    </w:p>
    <w:p w14:paraId="087FFDD6">
      <w:pPr>
        <w:bidi w:val="0"/>
        <w:rPr>
          <w:rFonts w:hint="default"/>
          <w:b/>
          <w:bCs/>
          <w:color w:val="1F497D" w:themeColor="text2"/>
          <w:lang w:val="en-US"/>
          <w14:textFill>
            <w14:solidFill>
              <w14:schemeClr w14:val="tx2"/>
            </w14:solidFill>
          </w14:textFill>
        </w:rPr>
      </w:pPr>
    </w:p>
    <w:tbl>
      <w:tblPr>
        <w:tblStyle w:val="9"/>
        <w:tblW w:w="9360" w:type="dxa"/>
        <w:tblInd w:w="0" w:type="dxa"/>
        <w:tblBorders>
          <w:top w:val="single" w:color="BFBFBF" w:sz="4" w:space="0"/>
          <w:left w:val="single" w:color="BFBFBF" w:sz="4" w:space="0"/>
          <w:bottom w:val="single" w:color="BFBFBF" w:sz="4" w:space="0"/>
          <w:right w:val="single" w:color="BFBFBF" w:sz="4" w:space="0"/>
          <w:insideH w:val="single" w:color="BFBFBF" w:sz="4" w:space="0"/>
          <w:insideV w:val="single" w:color="BFBFBF" w:sz="4" w:space="0"/>
        </w:tblBorders>
        <w:tblLayout w:type="autofit"/>
        <w:tblCellMar>
          <w:top w:w="0" w:type="dxa"/>
          <w:left w:w="10" w:type="dxa"/>
          <w:bottom w:w="0" w:type="dxa"/>
          <w:right w:w="10" w:type="dxa"/>
        </w:tblCellMar>
      </w:tblPr>
      <w:tblGrid>
        <w:gridCol w:w="3019"/>
        <w:gridCol w:w="6341"/>
      </w:tblGrid>
      <w:tr w14:paraId="0A4C62E6">
        <w:tc>
          <w:tcPr>
            <w:tcW w:w="3000" w:type="dxa"/>
            <w:shd w:val="clear" w:color="auto" w:fill="E9EEF5"/>
            <w:tcMar>
              <w:top w:w="100" w:type="dxa"/>
              <w:left w:w="150" w:type="dxa"/>
              <w:bottom w:w="100" w:type="dxa"/>
              <w:right w:w="150" w:type="dxa"/>
            </w:tcMar>
            <w:vAlign w:val="center"/>
          </w:tcPr>
          <w:p w14:paraId="2D24BCB1">
            <w:r>
              <w:rPr>
                <w:b/>
                <w:bCs/>
                <w:color w:val="1F3864"/>
                <w:sz w:val="21"/>
                <w:szCs w:val="21"/>
              </w:rPr>
              <w:t>Document Title</w:t>
            </w:r>
          </w:p>
        </w:tc>
        <w:tc>
          <w:tcPr>
            <w:tcW w:w="6300" w:type="dxa"/>
            <w:tcMar>
              <w:top w:w="100" w:type="dxa"/>
              <w:left w:w="150" w:type="dxa"/>
              <w:bottom w:w="100" w:type="dxa"/>
              <w:right w:w="150" w:type="dxa"/>
            </w:tcMar>
            <w:vAlign w:val="center"/>
          </w:tcPr>
          <w:p w14:paraId="068AC1A6">
            <w:r>
              <w:rPr>
                <w:sz w:val="21"/>
                <w:szCs w:val="21"/>
              </w:rPr>
              <w:t>ISMS Scope</w:t>
            </w:r>
          </w:p>
        </w:tc>
      </w:tr>
      <w:tr w14:paraId="155134AE">
        <w:tc>
          <w:tcPr>
            <w:tcW w:w="3000" w:type="dxa"/>
            <w:shd w:val="clear" w:color="auto" w:fill="E9EEF5"/>
            <w:tcMar>
              <w:top w:w="100" w:type="dxa"/>
              <w:left w:w="150" w:type="dxa"/>
              <w:bottom w:w="100" w:type="dxa"/>
              <w:right w:w="150" w:type="dxa"/>
            </w:tcMar>
            <w:vAlign w:val="center"/>
          </w:tcPr>
          <w:p w14:paraId="1E3D6EF3">
            <w:r>
              <w:rPr>
                <w:b/>
                <w:bCs/>
                <w:color w:val="1F3864"/>
                <w:sz w:val="21"/>
                <w:szCs w:val="21"/>
              </w:rPr>
              <w:t>Document ID</w:t>
            </w:r>
          </w:p>
        </w:tc>
        <w:tc>
          <w:tcPr>
            <w:tcW w:w="6300" w:type="dxa"/>
            <w:tcMar>
              <w:top w:w="100" w:type="dxa"/>
              <w:left w:w="150" w:type="dxa"/>
              <w:bottom w:w="100" w:type="dxa"/>
              <w:right w:w="150" w:type="dxa"/>
            </w:tcMar>
            <w:vAlign w:val="center"/>
          </w:tcPr>
          <w:p w14:paraId="4EFCBBB1">
            <w:r>
              <w:rPr>
                <w:sz w:val="21"/>
                <w:szCs w:val="21"/>
              </w:rPr>
              <w:t>ISMS-001</w:t>
            </w:r>
          </w:p>
        </w:tc>
      </w:tr>
      <w:tr w14:paraId="06B84FA7">
        <w:tc>
          <w:tcPr>
            <w:tcW w:w="3000" w:type="dxa"/>
            <w:shd w:val="clear" w:color="auto" w:fill="E9EEF5"/>
            <w:tcMar>
              <w:top w:w="100" w:type="dxa"/>
              <w:left w:w="150" w:type="dxa"/>
              <w:bottom w:w="100" w:type="dxa"/>
              <w:right w:w="150" w:type="dxa"/>
            </w:tcMar>
            <w:vAlign w:val="center"/>
          </w:tcPr>
          <w:p w14:paraId="0E22E87E">
            <w:r>
              <w:rPr>
                <w:b/>
                <w:bCs/>
                <w:color w:val="1F3864"/>
                <w:sz w:val="21"/>
                <w:szCs w:val="21"/>
              </w:rPr>
              <w:t>Version</w:t>
            </w:r>
          </w:p>
        </w:tc>
        <w:tc>
          <w:tcPr>
            <w:tcW w:w="6300" w:type="dxa"/>
            <w:tcMar>
              <w:top w:w="100" w:type="dxa"/>
              <w:left w:w="150" w:type="dxa"/>
              <w:bottom w:w="100" w:type="dxa"/>
              <w:right w:w="150" w:type="dxa"/>
            </w:tcMar>
            <w:vAlign w:val="center"/>
          </w:tcPr>
          <w:p w14:paraId="0A8FA701">
            <w:r>
              <w:rPr>
                <w:sz w:val="21"/>
                <w:szCs w:val="21"/>
              </w:rPr>
              <w:t>1.0</w:t>
            </w:r>
          </w:p>
        </w:tc>
      </w:tr>
      <w:tr w14:paraId="0DEE23BB">
        <w:tc>
          <w:tcPr>
            <w:tcW w:w="3000" w:type="dxa"/>
            <w:shd w:val="clear" w:color="auto" w:fill="E9EEF5"/>
            <w:tcMar>
              <w:top w:w="100" w:type="dxa"/>
              <w:left w:w="150" w:type="dxa"/>
              <w:bottom w:w="100" w:type="dxa"/>
              <w:right w:w="150" w:type="dxa"/>
            </w:tcMar>
            <w:vAlign w:val="center"/>
          </w:tcPr>
          <w:p w14:paraId="1763958E">
            <w:r>
              <w:rPr>
                <w:b/>
                <w:bCs/>
                <w:color w:val="1F3864"/>
                <w:sz w:val="21"/>
                <w:szCs w:val="21"/>
              </w:rPr>
              <w:t>Owner</w:t>
            </w:r>
          </w:p>
        </w:tc>
        <w:tc>
          <w:tcPr>
            <w:tcW w:w="6300" w:type="dxa"/>
            <w:tcMar>
              <w:top w:w="100" w:type="dxa"/>
              <w:left w:w="150" w:type="dxa"/>
              <w:bottom w:w="100" w:type="dxa"/>
              <w:right w:w="150" w:type="dxa"/>
            </w:tcMar>
            <w:vAlign w:val="center"/>
          </w:tcPr>
          <w:p w14:paraId="44E0B85D">
            <w:r>
              <w:rPr>
                <w:sz w:val="21"/>
                <w:szCs w:val="21"/>
              </w:rPr>
              <w:t>ISMS Manager</w:t>
            </w:r>
          </w:p>
        </w:tc>
      </w:tr>
      <w:tr w14:paraId="33231155">
        <w:tc>
          <w:tcPr>
            <w:tcW w:w="3000" w:type="dxa"/>
            <w:shd w:val="clear" w:color="auto" w:fill="E9EEF5"/>
            <w:tcMar>
              <w:top w:w="100" w:type="dxa"/>
              <w:left w:w="150" w:type="dxa"/>
              <w:bottom w:w="100" w:type="dxa"/>
              <w:right w:w="150" w:type="dxa"/>
            </w:tcMar>
            <w:vAlign w:val="center"/>
          </w:tcPr>
          <w:p w14:paraId="7671F526">
            <w:r>
              <w:rPr>
                <w:b/>
                <w:bCs/>
                <w:color w:val="1F3864"/>
                <w:sz w:val="21"/>
                <w:szCs w:val="21"/>
              </w:rPr>
              <w:t>Approved By</w:t>
            </w:r>
          </w:p>
        </w:tc>
        <w:tc>
          <w:tcPr>
            <w:tcW w:w="6300" w:type="dxa"/>
            <w:tcMar>
              <w:top w:w="100" w:type="dxa"/>
              <w:left w:w="150" w:type="dxa"/>
              <w:bottom w:w="100" w:type="dxa"/>
              <w:right w:w="150" w:type="dxa"/>
            </w:tcMar>
            <w:vAlign w:val="center"/>
          </w:tcPr>
          <w:p w14:paraId="236EFC11">
            <w:r>
              <w:rPr>
                <w:sz w:val="21"/>
                <w:szCs w:val="21"/>
              </w:rPr>
              <w:t>CEO</w:t>
            </w:r>
          </w:p>
        </w:tc>
      </w:tr>
      <w:tr w14:paraId="6A817D97">
        <w:tc>
          <w:tcPr>
            <w:tcW w:w="3000" w:type="dxa"/>
            <w:shd w:val="clear" w:color="auto" w:fill="E9EEF5"/>
            <w:tcMar>
              <w:top w:w="100" w:type="dxa"/>
              <w:left w:w="150" w:type="dxa"/>
              <w:bottom w:w="100" w:type="dxa"/>
              <w:right w:w="150" w:type="dxa"/>
            </w:tcMar>
            <w:vAlign w:val="center"/>
          </w:tcPr>
          <w:p w14:paraId="706011F9">
            <w:r>
              <w:rPr>
                <w:b/>
                <w:bCs/>
                <w:color w:val="1F3864"/>
                <w:sz w:val="21"/>
                <w:szCs w:val="21"/>
              </w:rPr>
              <w:t>Review Date</w:t>
            </w:r>
          </w:p>
        </w:tc>
        <w:tc>
          <w:tcPr>
            <w:tcW w:w="6300" w:type="dxa"/>
            <w:tcMar>
              <w:top w:w="100" w:type="dxa"/>
              <w:left w:w="150" w:type="dxa"/>
              <w:bottom w:w="100" w:type="dxa"/>
              <w:right w:w="150" w:type="dxa"/>
            </w:tcMar>
            <w:vAlign w:val="center"/>
          </w:tcPr>
          <w:p w14:paraId="17937B20">
            <w:r>
              <w:rPr>
                <w:sz w:val="21"/>
                <w:szCs w:val="21"/>
              </w:rPr>
              <w:t>30 July 2026</w:t>
            </w:r>
          </w:p>
        </w:tc>
      </w:tr>
    </w:tbl>
    <w:p w14:paraId="3252C921">
      <w:pPr>
        <w:spacing w:before="300"/>
      </w:pPr>
    </w:p>
    <w:p w14:paraId="29C94C05">
      <w:pPr>
        <w:pBdr>
          <w:bottom w:val="single" w:color="1F3864" w:sz="6" w:space="4"/>
        </w:pBdr>
        <w:spacing w:before="320" w:after="120"/>
        <w:rPr>
          <w:b/>
          <w:bCs/>
          <w:color w:val="1F3864"/>
          <w:sz w:val="26"/>
          <w:szCs w:val="26"/>
        </w:rPr>
      </w:pPr>
    </w:p>
    <w:p w14:paraId="0144E5F1">
      <w:pPr>
        <w:pBdr>
          <w:bottom w:val="single" w:color="1F3864" w:sz="6" w:space="4"/>
        </w:pBdr>
        <w:spacing w:before="320" w:after="120"/>
        <w:rPr>
          <w:b/>
          <w:bCs/>
          <w:color w:val="1F3864"/>
          <w:sz w:val="26"/>
          <w:szCs w:val="26"/>
        </w:rPr>
      </w:pPr>
    </w:p>
    <w:p w14:paraId="13E3708D">
      <w:pPr>
        <w:pBdr>
          <w:bottom w:val="single" w:color="1F3864" w:sz="6" w:space="4"/>
        </w:pBdr>
        <w:spacing w:before="320" w:after="120"/>
        <w:rPr>
          <w:b/>
          <w:bCs/>
          <w:color w:val="1F3864"/>
          <w:sz w:val="26"/>
          <w:szCs w:val="26"/>
        </w:rPr>
      </w:pPr>
    </w:p>
    <w:p w14:paraId="17D88BBB">
      <w:pPr>
        <w:pBdr>
          <w:bottom w:val="single" w:color="1F3864" w:sz="6" w:space="4"/>
        </w:pBdr>
        <w:spacing w:before="320" w:after="120"/>
        <w:rPr>
          <w:b/>
          <w:bCs/>
          <w:color w:val="1F3864"/>
          <w:sz w:val="26"/>
          <w:szCs w:val="26"/>
        </w:rPr>
      </w:pPr>
    </w:p>
    <w:p w14:paraId="363CBC6F">
      <w:pPr>
        <w:pBdr>
          <w:bottom w:val="single" w:color="1F3864" w:sz="6" w:space="4"/>
        </w:pBdr>
        <w:spacing w:before="320" w:after="120"/>
        <w:rPr>
          <w:b/>
          <w:bCs/>
          <w:color w:val="1F3864"/>
          <w:sz w:val="26"/>
          <w:szCs w:val="26"/>
        </w:rPr>
      </w:pPr>
    </w:p>
    <w:p w14:paraId="6881FDC8">
      <w:pPr>
        <w:pBdr>
          <w:bottom w:val="single" w:color="1F3864" w:sz="6" w:space="4"/>
        </w:pBdr>
        <w:spacing w:before="320" w:after="120"/>
        <w:rPr>
          <w:b/>
          <w:bCs/>
          <w:color w:val="1F3864"/>
          <w:sz w:val="26"/>
          <w:szCs w:val="26"/>
        </w:rPr>
      </w:pPr>
    </w:p>
    <w:p w14:paraId="1E7AE31E">
      <w:pPr>
        <w:pBdr>
          <w:bottom w:val="single" w:color="1F3864" w:sz="6" w:space="4"/>
        </w:pBdr>
        <w:spacing w:before="320" w:after="120"/>
        <w:rPr>
          <w:b/>
          <w:bCs/>
          <w:color w:val="1F3864"/>
          <w:sz w:val="26"/>
          <w:szCs w:val="26"/>
        </w:rPr>
      </w:pPr>
    </w:p>
    <w:p w14:paraId="7FA8F72A">
      <w:pPr>
        <w:pBdr>
          <w:bottom w:val="single" w:color="1F3864" w:sz="6" w:space="4"/>
        </w:pBdr>
        <w:spacing w:before="320" w:after="120"/>
        <w:rPr>
          <w:b/>
          <w:bCs/>
          <w:color w:val="1F3864"/>
          <w:sz w:val="26"/>
          <w:szCs w:val="26"/>
        </w:rPr>
      </w:pPr>
    </w:p>
    <w:p w14:paraId="71AF52E9">
      <w:pPr>
        <w:pBdr>
          <w:bottom w:val="single" w:color="1F3864" w:sz="6" w:space="4"/>
        </w:pBdr>
        <w:spacing w:before="320" w:after="120"/>
        <w:rPr>
          <w:b/>
          <w:bCs/>
          <w:color w:val="1F3864"/>
          <w:sz w:val="26"/>
          <w:szCs w:val="26"/>
        </w:rPr>
      </w:pPr>
    </w:p>
    <w:p w14:paraId="34BD16F0">
      <w:pPr>
        <w:pBdr>
          <w:bottom w:val="single" w:color="1F3864" w:sz="6" w:space="4"/>
        </w:pBdr>
        <w:spacing w:before="320" w:after="120"/>
        <w:rPr>
          <w:b/>
          <w:bCs/>
          <w:color w:val="1F3864"/>
          <w:sz w:val="26"/>
          <w:szCs w:val="26"/>
        </w:rPr>
      </w:pPr>
    </w:p>
    <w:p w14:paraId="24B92BD0">
      <w:pPr>
        <w:pBdr>
          <w:bottom w:val="single" w:color="1F3864" w:sz="6" w:space="4"/>
        </w:pBdr>
        <w:spacing w:before="320" w:after="120"/>
        <w:rPr>
          <w:b/>
          <w:bCs/>
          <w:color w:val="1F3864"/>
          <w:sz w:val="26"/>
          <w:szCs w:val="26"/>
        </w:rPr>
      </w:pPr>
    </w:p>
    <w:p w14:paraId="5875FE51">
      <w:pPr>
        <w:pBdr>
          <w:bottom w:val="single" w:color="1F3864" w:sz="6" w:space="4"/>
        </w:pBdr>
        <w:spacing w:before="320" w:after="120"/>
        <w:rPr>
          <w:b/>
          <w:bCs/>
          <w:color w:val="1F3864"/>
          <w:sz w:val="26"/>
          <w:szCs w:val="26"/>
        </w:rPr>
      </w:pPr>
    </w:p>
    <w:p w14:paraId="1BF04436">
      <w:pPr>
        <w:pBdr>
          <w:bottom w:val="single" w:color="1F3864" w:sz="6" w:space="4"/>
        </w:pBdr>
        <w:spacing w:before="320" w:after="120"/>
        <w:rPr>
          <w:b/>
          <w:bCs/>
          <w:color w:val="1F3864"/>
          <w:sz w:val="26"/>
          <w:szCs w:val="26"/>
        </w:rPr>
      </w:pPr>
    </w:p>
    <w:p w14:paraId="417E0FCB">
      <w:pPr>
        <w:pBdr>
          <w:bottom w:val="single" w:color="1F3864" w:sz="6" w:space="4"/>
        </w:pBdr>
        <w:spacing w:before="320" w:after="120"/>
      </w:pPr>
      <w:r>
        <w:rPr>
          <w:b/>
          <w:bCs/>
          <w:color w:val="1F3864"/>
          <w:sz w:val="26"/>
          <w:szCs w:val="26"/>
        </w:rPr>
        <w:t>1. Purpose</w:t>
      </w:r>
    </w:p>
    <w:p w14:paraId="099F41E4">
      <w:pPr>
        <w:spacing w:after="200" w:line="300" w:lineRule="auto"/>
        <w:jc w:val="both"/>
      </w:pPr>
      <w:r>
        <w:rPr>
          <w:sz w:val="22"/>
          <w:szCs w:val="22"/>
        </w:rPr>
        <w:t>The purpose of this document is to define the scope and boundaries of the Information Security Management System (ISMS) for TechNova Solutions Pvt. Ltd. It identifies the locations, business processes, departments, information assets, technologies, products, and services that are covered under the ISMS to ensure the confidentiality, integrity, and availability of information in accordance with ISO/IEC 27001:2022.</w:t>
      </w:r>
    </w:p>
    <w:p w14:paraId="7E990AEE">
      <w:pPr>
        <w:pBdr>
          <w:bottom w:val="single" w:color="1F3864" w:sz="6" w:space="4"/>
        </w:pBdr>
        <w:spacing w:before="320" w:after="120"/>
      </w:pPr>
      <w:r>
        <w:rPr>
          <w:b/>
          <w:bCs/>
          <w:color w:val="1F3864"/>
          <w:sz w:val="26"/>
          <w:szCs w:val="26"/>
        </w:rPr>
        <w:t>2. Organization Details</w:t>
      </w:r>
    </w:p>
    <w:p w14:paraId="68C7CFED">
      <w:pPr>
        <w:spacing w:after="200" w:line="300" w:lineRule="auto"/>
        <w:jc w:val="both"/>
      </w:pPr>
      <w:r>
        <w:rPr>
          <w:sz w:val="22"/>
          <w:szCs w:val="22"/>
        </w:rPr>
        <w:t>TechNova Solutions Pvt. Ltd. is headquartered in Noida, Uttar Pradesh, India, and has a total of 150 employees. The company's core business includes web application development, mobile app development, cloud hosting services, and cyber security consulting.</w:t>
      </w:r>
    </w:p>
    <w:p w14:paraId="7F5C7F6A">
      <w:pPr>
        <w:pBdr>
          <w:bottom w:val="single" w:color="1F3864" w:sz="6" w:space="4"/>
        </w:pBdr>
        <w:spacing w:before="320" w:after="120"/>
      </w:pPr>
      <w:r>
        <w:rPr>
          <w:b/>
          <w:bCs/>
          <w:color w:val="1F3864"/>
          <w:sz w:val="26"/>
          <w:szCs w:val="26"/>
        </w:rPr>
        <w:t>3. Scope Statement</w:t>
      </w:r>
    </w:p>
    <w:p w14:paraId="1FE823A2">
      <w:pPr>
        <w:spacing w:after="200" w:line="300" w:lineRule="auto"/>
        <w:jc w:val="both"/>
      </w:pPr>
      <w:r>
        <w:rPr>
          <w:sz w:val="22"/>
          <w:szCs w:val="22"/>
        </w:rPr>
        <w:t>The ISMS of TechNova Solutions Pvt. Ltd. covers all employees, departments, business processes, customer information, IT infrastructure, applications, cloud services, and information assets related to the company's IT services. The scope includes the Noida Head Office and the Gurugram Development Centre. The ISMS is implemented to protect information and meet the requirements of ISO/IEC 27001:2022.</w:t>
      </w:r>
    </w:p>
    <w:p w14:paraId="5B57D391">
      <w:pPr>
        <w:pBdr>
          <w:bottom w:val="single" w:color="1F3864" w:sz="6" w:space="4"/>
        </w:pBdr>
        <w:spacing w:before="320" w:after="120"/>
      </w:pPr>
      <w:r>
        <w:rPr>
          <w:b/>
          <w:bCs/>
          <w:color w:val="1F3864"/>
          <w:sz w:val="26"/>
          <w:szCs w:val="26"/>
        </w:rPr>
        <w:t>4. Included Locations</w:t>
      </w:r>
    </w:p>
    <w:p w14:paraId="6A3AEA7F">
      <w:pPr>
        <w:spacing w:after="200" w:line="300" w:lineRule="auto"/>
        <w:jc w:val="both"/>
      </w:pPr>
      <w:r>
        <w:rPr>
          <w:sz w:val="22"/>
          <w:szCs w:val="22"/>
        </w:rPr>
        <w:t>The scope of the ISMS includes the Head Office located in Noida, Uttar Pradesh, India; the Development Centre located in Gurugram; and the AWS Cloud Infrastructure environment.</w:t>
      </w:r>
    </w:p>
    <w:p w14:paraId="147BBB15">
      <w:pPr>
        <w:pBdr>
          <w:bottom w:val="single" w:color="1F3864" w:sz="6" w:space="4"/>
        </w:pBdr>
        <w:spacing w:before="320" w:after="120"/>
      </w:pPr>
      <w:r>
        <w:rPr>
          <w:b/>
          <w:bCs/>
          <w:color w:val="1F3864"/>
          <w:sz w:val="26"/>
          <w:szCs w:val="26"/>
        </w:rPr>
        <w:t>5. Included Departments</w:t>
      </w:r>
    </w:p>
    <w:p w14:paraId="37CB8166">
      <w:pPr>
        <w:spacing w:after="200" w:line="300" w:lineRule="auto"/>
        <w:jc w:val="both"/>
      </w:pPr>
      <w:r>
        <w:rPr>
          <w:sz w:val="22"/>
          <w:szCs w:val="22"/>
        </w:rPr>
        <w:t>The scope covers the following departments and their responsibilities: the CEO is responsible for final approval; the ISMS Manager acts as the ISO 27001 implementation lead; the IT Manager is responsible for technical controls; the HR Manager oversees training and HR-related controls; the System Administrator manages servers and backups; the SOC Analyst is responsible for incident monitoring; and the Internal Auditor is responsible for conducting internal audits.</w:t>
      </w:r>
    </w:p>
    <w:p w14:paraId="1775AE36">
      <w:pPr>
        <w:pBdr>
          <w:bottom w:val="single" w:color="1F3864" w:sz="6" w:space="4"/>
        </w:pBdr>
        <w:spacing w:before="320" w:after="120"/>
      </w:pPr>
      <w:r>
        <w:rPr>
          <w:b/>
          <w:bCs/>
          <w:color w:val="1F3864"/>
          <w:sz w:val="26"/>
          <w:szCs w:val="26"/>
        </w:rPr>
        <w:t>6. Included Assets</w:t>
      </w:r>
    </w:p>
    <w:p w14:paraId="4D87F935">
      <w:pPr>
        <w:spacing w:after="200" w:line="300" w:lineRule="auto"/>
        <w:jc w:val="both"/>
      </w:pPr>
      <w:r>
        <w:rPr>
          <w:sz w:val="22"/>
          <w:szCs w:val="22"/>
        </w:rPr>
        <w:t>The information assets included within the scope of the ISMS are customer data, source code, AWS cloud infrastructure, employee laptops, Microsoft 365, GitHub repositories, the HR database, and the finance database.</w:t>
      </w:r>
    </w:p>
    <w:p w14:paraId="47FD9CAE">
      <w:pPr>
        <w:pBdr>
          <w:bottom w:val="single" w:color="1F3864" w:sz="6" w:space="4"/>
        </w:pBdr>
        <w:spacing w:before="320" w:after="120"/>
      </w:pPr>
      <w:r>
        <w:rPr>
          <w:b/>
          <w:bCs/>
          <w:color w:val="1F3864"/>
          <w:sz w:val="26"/>
          <w:szCs w:val="26"/>
        </w:rPr>
        <w:t>7. Exclusions</w:t>
      </w:r>
    </w:p>
    <w:p w14:paraId="7ADFC541">
      <w:pPr>
        <w:spacing w:after="200" w:line="300" w:lineRule="auto"/>
        <w:jc w:val="both"/>
      </w:pPr>
      <w:r>
        <w:rPr>
          <w:sz w:val="22"/>
          <w:szCs w:val="22"/>
        </w:rPr>
        <w:t>There are no exclusions from the scope of the ISMS.</w:t>
      </w:r>
    </w:p>
    <w:p w14:paraId="004D19E7">
      <w:pPr>
        <w:pBdr>
          <w:bottom w:val="single" w:color="1F3864" w:sz="6" w:space="4"/>
        </w:pBdr>
        <w:spacing w:before="320" w:after="120"/>
      </w:pPr>
      <w:r>
        <w:rPr>
          <w:b/>
          <w:bCs/>
          <w:color w:val="1F3864"/>
          <w:sz w:val="26"/>
          <w:szCs w:val="26"/>
        </w:rPr>
        <w:t>8. Interested Parties</w:t>
      </w:r>
    </w:p>
    <w:p w14:paraId="4C4B632C">
      <w:pPr>
        <w:spacing w:after="200" w:line="300" w:lineRule="auto"/>
        <w:jc w:val="both"/>
        <w:rPr>
          <w:sz w:val="22"/>
          <w:szCs w:val="22"/>
        </w:rPr>
      </w:pPr>
      <w:r>
        <w:rPr>
          <w:sz w:val="22"/>
          <w:szCs w:val="22"/>
        </w:rPr>
        <w:t>The interested parties relevant to the ISMS include customers, employees, regulators, vendors, and shareholders.</w:t>
      </w:r>
    </w:p>
    <w:p w14:paraId="1073C4F2">
      <w:pPr>
        <w:pBdr>
          <w:bottom w:val="single" w:color="1F3864" w:sz="6" w:space="4"/>
        </w:pBdr>
        <w:spacing w:before="320" w:after="120"/>
      </w:pPr>
      <w:r>
        <w:rPr>
          <w:b/>
          <w:bCs/>
          <w:color w:val="1F3864"/>
          <w:sz w:val="26"/>
          <w:szCs w:val="26"/>
        </w:rPr>
        <w:t>9. Assumptions &amp; Dependencies</w:t>
      </w:r>
    </w:p>
    <w:p w14:paraId="17216D28">
      <w:pPr>
        <w:keepNext w:val="0"/>
        <w:keepLines w:val="0"/>
        <w:widowControl/>
        <w:suppressLineNumbers w:val="0"/>
        <w:jc w:val="left"/>
        <w:rPr>
          <w:sz w:val="22"/>
          <w:szCs w:val="22"/>
        </w:rPr>
      </w:pPr>
      <w:r>
        <w:rPr>
          <w:rFonts w:ascii="-webkit-standard" w:hAnsi="-webkit-standard" w:eastAsia="-webkit-standard" w:cs="-webkit-standard"/>
          <w:i w:val="0"/>
          <w:iCs w:val="0"/>
          <w:caps w:val="0"/>
          <w:color w:val="000000"/>
          <w:spacing w:val="0"/>
          <w:kern w:val="0"/>
          <w:sz w:val="22"/>
          <w:szCs w:val="22"/>
          <w:u w:val="none"/>
          <w:lang w:val="en-US" w:eastAsia="zh-CN" w:bidi="ar"/>
        </w:rPr>
        <w:t>The ISMS assumes that all employees, contractors, and third-party vendors comply with the organization's information security policies and applicable legal and regulatory requirements. The effectiveness of the ISMS depends on the availability of IT infrastructure, cloud service providers (AWS), Microsoft 365 services, and management's continued support and commitment to maintaining and improving the ISMS.</w:t>
      </w:r>
    </w:p>
    <w:p w14:paraId="65963A31">
      <w:pPr>
        <w:spacing w:after="200" w:line="300" w:lineRule="auto"/>
        <w:jc w:val="both"/>
      </w:pPr>
    </w:p>
    <w:p w14:paraId="6EFF4B1F">
      <w:pPr>
        <w:pBdr>
          <w:bottom w:val="single" w:color="1F3864" w:sz="6" w:space="4"/>
        </w:pBdr>
        <w:spacing w:before="320" w:after="120"/>
      </w:pPr>
      <w:r>
        <w:rPr>
          <w:b/>
          <w:bCs/>
          <w:color w:val="1F3864"/>
          <w:sz w:val="26"/>
          <w:szCs w:val="26"/>
        </w:rPr>
        <w:t>10. Approval</w:t>
      </w:r>
    </w:p>
    <w:p w14:paraId="6E3F2737">
      <w:pPr>
        <w:spacing w:after="160"/>
        <w:rPr>
          <w:rFonts w:hint="default"/>
          <w:lang w:val="en-US"/>
        </w:rPr>
      </w:pPr>
      <w:r>
        <w:rPr>
          <w:sz w:val="22"/>
          <w:szCs w:val="22"/>
        </w:rPr>
        <w:t>Prepared By: S</w:t>
      </w:r>
      <w:r>
        <w:rPr>
          <w:rFonts w:hint="default"/>
          <w:sz w:val="22"/>
          <w:szCs w:val="22"/>
          <w:lang w:val="en-US"/>
        </w:rPr>
        <w:t>akshi T</w:t>
      </w:r>
      <w:bookmarkStart w:id="0" w:name="_GoBack"/>
      <w:bookmarkEnd w:id="0"/>
      <w:r>
        <w:rPr>
          <w:rFonts w:hint="default"/>
          <w:sz w:val="22"/>
          <w:szCs w:val="22"/>
          <w:lang w:val="en-US"/>
        </w:rPr>
        <w:t>yagi</w:t>
      </w:r>
    </w:p>
    <w:p w14:paraId="022928BA">
      <w:pPr>
        <w:spacing w:after="160"/>
      </w:pPr>
      <w:r>
        <w:rPr>
          <w:sz w:val="22"/>
          <w:szCs w:val="22"/>
        </w:rPr>
        <w:t xml:space="preserve">Reviewed By: </w:t>
      </w:r>
    </w:p>
    <w:p w14:paraId="41291901">
      <w:pPr>
        <w:spacing w:after="160"/>
      </w:pPr>
      <w:r>
        <w:rPr>
          <w:sz w:val="22"/>
          <w:szCs w:val="22"/>
        </w:rPr>
        <w:t xml:space="preserve">Approved By: </w:t>
      </w:r>
    </w:p>
    <w:sectPr>
      <w:headerReference r:id="rId3" w:type="default"/>
      <w:footerReference r:id="rId4" w:type="default"/>
      <w:pgSz w:w="12240" w:h="15840"/>
      <w:pgMar w:top="1440" w:right="1440" w:bottom="1440" w:left="1440" w:header="708" w:footer="708" w:gutter="0"/>
      <w:pgBorders w:offsetFrom="page">
        <w:top w:val="single" w:color="auto" w:sz="4" w:space="24"/>
        <w:left w:val="single" w:color="auto" w:sz="4" w:space="24"/>
        <w:bottom w:val="single" w:color="auto" w:sz="4" w:space="24"/>
        <w:right w:val="single" w:color="auto" w:sz="4" w:space="24"/>
      </w:pgBorders>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等线">
    <w:altName w:val="宋体-简"/>
    <w:panose1 w:val="00000000000000000000"/>
    <w:charset w:val="86"/>
    <w:family w:val="auto"/>
    <w:pitch w:val="default"/>
    <w:sig w:usb0="00000000" w:usb1="00000000" w:usb2="00000000" w:usb3="00000000" w:csb0="00000000" w:csb1="00000000"/>
  </w:font>
  <w:font w:name="Arial Unicode MS">
    <w:panose1 w:val="020B0604020202020204"/>
    <w:charset w:val="86"/>
    <w:family w:val="roman"/>
    <w:pitch w:val="default"/>
    <w:sig w:usb0="FFFFFFFF" w:usb1="E9FFFFFF" w:usb2="0000003F" w:usb3="00000000" w:csb0="603F01FF" w:csb1="FFFF0000"/>
  </w:font>
  <w:font w:name="SimSun">
    <w:altName w:val="宋体-简"/>
    <w:panose1 w:val="02010600030101010101"/>
    <w:charset w:val="86"/>
    <w:family w:val="auto"/>
    <w:pitch w:val="default"/>
    <w:sig w:usb0="00000000" w:usb1="00000000" w:usb2="00000010" w:usb3="00000000" w:csb0="00040001"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webkit-standard">
    <w:altName w:val="苹方-简"/>
    <w:panose1 w:val="00000000000000000000"/>
    <w:charset w:val="00"/>
    <w:family w:val="auto"/>
    <w:pitch w:val="default"/>
    <w:sig w:usb0="00000000" w:usb1="00000000" w:usb2="00000000" w:usb3="00000000" w:csb0="00000000" w:csb1="00000000"/>
  </w:font>
  <w:font w:name="苹方-简">
    <w:altName w:val="Times New Roman"/>
    <w:panose1 w:val="020B0600000000000000"/>
    <w:charset w:val="00"/>
    <w:family w:val="auto"/>
    <w:pitch w:val="default"/>
    <w:sig w:usb0="A00002FF" w:usb1="7ACFFDFB" w:usb2="00000017"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96DD0D">
    <w:pPr>
      <w:pBdr>
        <w:top w:val="single" w:color="1F3864" w:sz="4" w:space="4"/>
      </w:pBdr>
      <w:tabs>
        <w:tab w:val="right" w:pos="9026"/>
      </w:tabs>
    </w:pPr>
    <w:r>
      <w:rPr>
        <w:color w:val="595959"/>
        <w:sz w:val="16"/>
        <w:szCs w:val="16"/>
      </w:rPr>
      <w:t>INTERNAL USE</w:t>
    </w:r>
    <w:r>
      <w:rPr>
        <w:color w:val="595959"/>
        <w:sz w:val="16"/>
        <w:szCs w:val="16"/>
      </w:rPr>
      <w:tab/>
    </w:r>
    <w:r>
      <w:rPr>
        <w:color w:val="595959"/>
        <w:sz w:val="16"/>
        <w:szCs w:val="16"/>
      </w:rPr>
      <w:t xml:space="preserve">Doc No: ISMS-001  |  Page </w:t>
    </w:r>
    <w:r>
      <w:rPr>
        <w:color w:val="595959"/>
        <w:sz w:val="16"/>
        <w:szCs w:val="16"/>
      </w:rPr>
      <w:fldChar w:fldCharType="begin"/>
    </w:r>
    <w:r>
      <w:rPr>
        <w:color w:val="595959"/>
        <w:sz w:val="16"/>
        <w:szCs w:val="16"/>
      </w:rPr>
      <w:instrText xml:space="preserve">PAGE</w:instrText>
    </w:r>
    <w:r>
      <w:rPr>
        <w:color w:val="595959"/>
        <w:sz w:val="16"/>
        <w:szCs w:val="16"/>
      </w:rPr>
      <w:fldChar w:fldCharType="separate"/>
    </w:r>
    <w:r>
      <w:rPr>
        <w:color w:val="595959"/>
        <w:sz w:val="16"/>
        <w:szCs w:val="16"/>
      </w:rPr>
      <w:fldChar w:fldCharType="end"/>
    </w:r>
    <w:r>
      <w:rPr>
        <w:color w:val="595959"/>
        <w:sz w:val="16"/>
        <w:szCs w:val="16"/>
      </w:rPr>
      <w:t xml:space="preserve"> of </w:t>
    </w:r>
    <w:r>
      <w:rPr>
        <w:color w:val="595959"/>
        <w:sz w:val="16"/>
        <w:szCs w:val="16"/>
      </w:rPr>
      <w:fldChar w:fldCharType="begin"/>
    </w:r>
    <w:r>
      <w:rPr>
        <w:color w:val="595959"/>
        <w:sz w:val="16"/>
        <w:szCs w:val="16"/>
      </w:rPr>
      <w:instrText xml:space="preserve">NUMPAGES</w:instrText>
    </w:r>
    <w:r>
      <w:rPr>
        <w:color w:val="595959"/>
        <w:sz w:val="16"/>
        <w:szCs w:val="16"/>
      </w:rPr>
      <w:fldChar w:fldCharType="separate"/>
    </w:r>
    <w:r>
      <w:rPr>
        <w:color w:val="595959"/>
        <w:sz w:val="16"/>
        <w:szCs w:val="16"/>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tbl>
    <w:tblPr>
      <w:tblStyle w:val="9"/>
      <w:tblW w:w="10180" w:type="dxa"/>
      <w:tblInd w:w="0" w:type="dxa"/>
      <w:tblBorders>
        <w:top w:val="none" w:color="auto" w:sz="0" w:space="0"/>
        <w:left w:val="none" w:color="auto" w:sz="0" w:space="0"/>
        <w:bottom w:val="single" w:color="1F3864" w:sz="4" w:space="0"/>
        <w:right w:val="none" w:color="auto" w:sz="0" w:space="0"/>
        <w:insideH w:val="none" w:color="auto" w:sz="0" w:space="0"/>
        <w:insideV w:val="none" w:color="auto" w:sz="0" w:space="0"/>
      </w:tblBorders>
      <w:tblLayout w:type="autofit"/>
      <w:tblCellMar>
        <w:top w:w="0" w:type="dxa"/>
        <w:left w:w="10" w:type="dxa"/>
        <w:bottom w:w="0" w:type="dxa"/>
        <w:right w:w="10" w:type="dxa"/>
      </w:tblCellMar>
    </w:tblPr>
    <w:tblGrid>
      <w:gridCol w:w="10180"/>
    </w:tblGrid>
    <w:tr w14:paraId="675E3242">
      <w:trPr>
        <w:trHeight w:val="1135" w:hRule="atLeast"/>
      </w:trPr>
      <w:tc>
        <w:tcPr>
          <w:tcW w:w="10180" w:type="dxa"/>
          <w:tcMar>
            <w:bottom w:w="120" w:type="dxa"/>
          </w:tcMar>
          <w:vAlign w:val="center"/>
        </w:tcPr>
        <w:tbl>
          <w:tblPr>
            <w:tblStyle w:val="1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3880"/>
          </w:tblGrid>
          <w:tr w14:paraId="5827FDF1">
            <w:trPr>
              <w:trHeight w:val="185" w:hRule="atLeast"/>
            </w:trPr>
            <w:tc>
              <w:tcPr>
                <w:tcW w:w="3880" w:type="dxa"/>
              </w:tcPr>
              <w:p w14:paraId="42CA3DF7">
                <w:pPr>
                  <w:tabs>
                    <w:tab w:val="left" w:pos="7384"/>
                  </w:tabs>
                  <w:rPr>
                    <w:rFonts w:hint="default"/>
                    <w:vertAlign w:val="baseline"/>
                    <w:lang w:val="en-US"/>
                  </w:rPr>
                </w:pPr>
                <w:r>
                  <w:rPr>
                    <w:rFonts w:hint="default"/>
                    <w:vertAlign w:val="baseline"/>
                    <w:lang w:val="en-US"/>
                  </w:rPr>
                  <w:t>TechNova Solutions Pvt.Ltd</w:t>
                </w:r>
              </w:p>
            </w:tc>
          </w:tr>
          <w:tr w14:paraId="58B1B8E5">
            <w:trPr>
              <w:trHeight w:val="192" w:hRule="atLeast"/>
            </w:trPr>
            <w:tc>
              <w:tcPr>
                <w:tcW w:w="3880" w:type="dxa"/>
              </w:tcPr>
              <w:p w14:paraId="17B06D48">
                <w:pPr>
                  <w:tabs>
                    <w:tab w:val="left" w:pos="7384"/>
                  </w:tabs>
                  <w:rPr>
                    <w:rFonts w:hint="default"/>
                    <w:vertAlign w:val="baseline"/>
                    <w:lang w:val="en-US"/>
                  </w:rPr>
                </w:pPr>
                <w:r>
                  <w:rPr>
                    <w:rFonts w:hint="default"/>
                    <w:vertAlign w:val="baseline"/>
                    <w:lang w:val="en-US"/>
                  </w:rPr>
                  <w:t>ISMS Scope</w:t>
                </w:r>
              </w:p>
            </w:tc>
          </w:tr>
        </w:tbl>
        <w:p w14:paraId="484944D5">
          <w:pPr>
            <w:tabs>
              <w:tab w:val="left" w:pos="7384"/>
              <w:tab w:val="left" w:pos="9019"/>
            </w:tabs>
            <w:rPr>
              <w:rFonts w:hint="default"/>
              <w:lang w:val="en-US"/>
            </w:rPr>
          </w:pPr>
          <w:r>
            <w:rPr>
              <w:lang w:val="en-US"/>
            </w:rPr>
            <w:tab/>
            <w:t/>
          </w:r>
          <w:r>
            <w:rPr>
              <w:lang w:val="en-US"/>
            </w:rPr>
            <w:tab/>
          </w:r>
          <w:r>
            <w:drawing>
              <wp:inline distT="0" distB="0" distL="0" distR="0">
                <wp:extent cx="438150" cy="33337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noChangeArrowheads="1"/>
                        </pic:cNvPicPr>
                      </pic:nvPicPr>
                      <pic:blipFill>
                        <a:blip r:embed="rId1"/>
                        <a:srcRect/>
                        <a:stretch>
                          <a:fillRect/>
                        </a:stretch>
                      </pic:blipFill>
                      <pic:spPr>
                        <a:xfrm>
                          <a:off x="0" y="0"/>
                          <a:ext cx="438150" cy="333375"/>
                        </a:xfrm>
                        <a:prstGeom prst="rect">
                          <a:avLst/>
                        </a:prstGeom>
                      </pic:spPr>
                    </pic:pic>
                  </a:graphicData>
                </a:graphic>
              </wp:inline>
            </w:drawing>
          </w:r>
        </w:p>
      </w:tc>
    </w:tr>
  </w:tbl>
  <w:p w14:paraId="2372926A"/>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7BF3149"/>
    <w:multiLevelType w:val="singleLevel"/>
    <w:tmpl w:val="77BF3149"/>
    <w:lvl w:ilvl="0" w:tentative="0">
      <w:start w:val="1"/>
      <w:numFmt w:val="bullet"/>
      <w:pStyle w:val="15"/>
      <w:lvlText w:val=""/>
      <w:lvlJc w:val="left"/>
      <w:pPr>
        <w:tabs>
          <w:tab w:val="left" w:pos="360"/>
        </w:tabs>
        <w:ind w:left="360" w:hanging="360" w:hangingChars="20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27C5C80E"/>
    <w:rsid w:val="5E5A3CCA"/>
    <w:rsid w:val="B3F20EFF"/>
    <w:rsid w:val="E3F6C3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sz w:val="21"/>
      <w:szCs w:val="22"/>
    </w:rPr>
  </w:style>
  <w:style w:type="paragraph" w:styleId="2">
    <w:name w:val="heading 1"/>
    <w:next w:val="1"/>
    <w:qFormat/>
    <w:uiPriority w:val="0"/>
    <w:rPr>
      <w:rFonts w:asciiTheme="minorHAnsi" w:hAnsiTheme="minorHAnsi" w:eastAsiaTheme="minorEastAsia" w:cstheme="minorBidi"/>
      <w:color w:val="2E74B5"/>
      <w:sz w:val="32"/>
      <w:szCs w:val="32"/>
    </w:rPr>
  </w:style>
  <w:style w:type="paragraph" w:styleId="3">
    <w:name w:val="heading 2"/>
    <w:next w:val="1"/>
    <w:qFormat/>
    <w:uiPriority w:val="0"/>
    <w:rPr>
      <w:rFonts w:asciiTheme="minorHAnsi" w:hAnsiTheme="minorHAnsi" w:eastAsiaTheme="minorEastAsia" w:cstheme="minorBidi"/>
      <w:color w:val="2E74B5"/>
      <w:sz w:val="26"/>
      <w:szCs w:val="26"/>
    </w:rPr>
  </w:style>
  <w:style w:type="paragraph" w:styleId="4">
    <w:name w:val="heading 3"/>
    <w:next w:val="1"/>
    <w:qFormat/>
    <w:uiPriority w:val="0"/>
    <w:rPr>
      <w:rFonts w:asciiTheme="minorHAnsi" w:hAnsiTheme="minorHAnsi" w:eastAsiaTheme="minorEastAsia" w:cstheme="minorBidi"/>
      <w:color w:val="1F4D78"/>
      <w:sz w:val="24"/>
      <w:szCs w:val="24"/>
    </w:rPr>
  </w:style>
  <w:style w:type="paragraph" w:styleId="5">
    <w:name w:val="heading 4"/>
    <w:next w:val="1"/>
    <w:qFormat/>
    <w:uiPriority w:val="0"/>
    <w:rPr>
      <w:rFonts w:asciiTheme="minorHAnsi" w:hAnsiTheme="minorHAnsi" w:eastAsiaTheme="minorEastAsia" w:cstheme="minorBidi"/>
      <w:i/>
      <w:iCs/>
      <w:color w:val="2E74B5"/>
      <w:sz w:val="21"/>
      <w:szCs w:val="22"/>
    </w:rPr>
  </w:style>
  <w:style w:type="paragraph" w:styleId="6">
    <w:name w:val="heading 5"/>
    <w:next w:val="1"/>
    <w:qFormat/>
    <w:uiPriority w:val="0"/>
    <w:rPr>
      <w:rFonts w:asciiTheme="minorHAnsi" w:hAnsiTheme="minorHAnsi" w:eastAsiaTheme="minorEastAsia" w:cstheme="minorBidi"/>
      <w:color w:val="2E74B5"/>
      <w:sz w:val="21"/>
      <w:szCs w:val="22"/>
    </w:rPr>
  </w:style>
  <w:style w:type="paragraph" w:styleId="7">
    <w:name w:val="heading 6"/>
    <w:next w:val="1"/>
    <w:qFormat/>
    <w:uiPriority w:val="0"/>
    <w:rPr>
      <w:rFonts w:asciiTheme="minorHAnsi" w:hAnsiTheme="minorHAnsi" w:eastAsiaTheme="minorEastAsia" w:cstheme="minorBidi"/>
      <w:color w:val="1F4D78"/>
      <w:sz w:val="21"/>
      <w:szCs w:val="22"/>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link w:val="20"/>
    <w:semiHidden/>
    <w:unhideWhenUsed/>
    <w:uiPriority w:val="99"/>
    <w:pPr>
      <w:spacing w:after="0" w:line="240" w:lineRule="auto"/>
    </w:pPr>
    <w:rPr>
      <w:rFonts w:asciiTheme="minorHAnsi" w:hAnsiTheme="minorHAnsi" w:eastAsiaTheme="minorEastAsia" w:cstheme="minorBidi"/>
      <w:sz w:val="20"/>
      <w:szCs w:val="20"/>
    </w:rPr>
  </w:style>
  <w:style w:type="character" w:styleId="12">
    <w:name w:val="footnote reference"/>
    <w:semiHidden/>
    <w:unhideWhenUsed/>
    <w:uiPriority w:val="99"/>
    <w:rPr>
      <w:vertAlign w:val="superscript"/>
    </w:rPr>
  </w:style>
  <w:style w:type="paragraph" w:styleId="13">
    <w:name w:val="footnote text"/>
    <w:link w:val="19"/>
    <w:semiHidden/>
    <w:unhideWhenUsed/>
    <w:uiPriority w:val="99"/>
    <w:pPr>
      <w:spacing w:after="0" w:line="240" w:lineRule="auto"/>
    </w:pPr>
    <w:rPr>
      <w:rFonts w:asciiTheme="minorHAnsi" w:hAnsiTheme="minorHAnsi" w:eastAsiaTheme="minorEastAsia" w:cstheme="minorBidi"/>
      <w:sz w:val="20"/>
      <w:szCs w:val="20"/>
    </w:rPr>
  </w:style>
  <w:style w:type="character" w:styleId="14">
    <w:name w:val="Hyperlink"/>
    <w:unhideWhenUsed/>
    <w:uiPriority w:val="99"/>
    <w:rPr>
      <w:color w:val="0563C1"/>
      <w:u w:val="single"/>
    </w:rPr>
  </w:style>
  <w:style w:type="paragraph" w:styleId="15">
    <w:name w:val="List Bullet"/>
    <w:basedOn w:val="1"/>
    <w:uiPriority w:val="0"/>
    <w:pPr>
      <w:numPr>
        <w:ilvl w:val="0"/>
        <w:numId w:val="1"/>
      </w:numPr>
    </w:pPr>
  </w:style>
  <w:style w:type="table" w:styleId="16">
    <w:name w:val="Table Grid"/>
    <w:basedOn w:val="9"/>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qFormat/>
    <w:uiPriority w:val="0"/>
    <w:rPr>
      <w:rFonts w:asciiTheme="minorHAnsi" w:hAnsiTheme="minorHAnsi" w:eastAsiaTheme="minorEastAsia" w:cstheme="minorBidi"/>
      <w:sz w:val="56"/>
      <w:szCs w:val="56"/>
    </w:rPr>
  </w:style>
  <w:style w:type="paragraph" w:styleId="18">
    <w:name w:val="List Paragraph"/>
    <w:qFormat/>
    <w:uiPriority w:val="0"/>
    <w:rPr>
      <w:rFonts w:asciiTheme="minorHAnsi" w:hAnsiTheme="minorHAnsi" w:eastAsiaTheme="minorEastAsia" w:cstheme="minorBidi"/>
      <w:sz w:val="21"/>
      <w:szCs w:val="22"/>
    </w:rPr>
  </w:style>
  <w:style w:type="character" w:customStyle="1" w:styleId="19">
    <w:name w:val="Footnote Text Char"/>
    <w:link w:val="13"/>
    <w:semiHidden/>
    <w:unhideWhenUsed/>
    <w:uiPriority w:val="99"/>
    <w:rPr>
      <w:sz w:val="20"/>
      <w:szCs w:val="20"/>
    </w:rPr>
  </w:style>
  <w:style w:type="character" w:customStyle="1" w:styleId="20">
    <w:name w:val="Endnote Text Char"/>
    <w:link w:val="11"/>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TotalTime>14</TotalTime>
  <ScaleCrop>false</ScaleCrop>
  <LinksUpToDate>false</LinksUpToDate>
  <Application>WPS Office_12.1.26035.26035_F1E327BC-269C-435d-A152-05C5408002CA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2026-08-03T11:35:33Z</dcterms:created>
  <dc:creator>Un-named</dc:creator>
  <cp:lastModifiedBy>WPS_1782367767</cp:lastModifiedBy>
  <dcterms:modified xsi:type="dcterms:W3CDTF">2026-08-03T11:50:11Z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1033-12.1.26035.26035</vt:lpwstr>
  </property>
  <property fmtid="{D5CDD505-2E9C-101B-9397-08002B2CF9AE}" pid="3" name="ICV">
    <vt:lpwstr>91AA0DDF386742001C3F6B6AD65C0AA1_42</vt:lpwstr>
  </property>
</Properties>
</file>