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officeDocument/2006/relationships/extended-properties" Target="docProps/app.xml" Id="rId4" /><Relationship Type="http://schemas.openxmlformats.org/officeDocument/2006/relationships/officeDocument" Target="word/document.xml" Id="rId1" /><Relationship Type="http://schemas.openxmlformats.org/package/2006/relationships/metadata/thumbnail" Target="docProps/thumbnail.jpeg" Id="rId2" /><Relationship Type="http://schemas.openxmlformats.org/officeDocument/2006/relationships/custom-properties" Target="/docProps/custom.xml" Id="R3ae4195346a8427c" /></Relationships>
</file>

<file path=word/document.xml><?xml version="1.0" encoding="utf-8"?>
<w:document xmlns:a="http://schemas.openxmlformats.org/drawingml/2006/main" xmlns:pic="http://schemas.openxmlformats.org/drawingml/2006/pictur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100000" w14:textId="00100001">
      <w:pPr>
        <w:jc w:val="center"/>
      </w:pPr>
      <w:r>
        <w:rPr>
          <w:b/>
          <w:color w:val="1A73E8"/>
          <w:sz w:val="64"/>
        </w:rPr>
        <w:t>InsightIQ</w:t>
      </w:r>
    </w:p>
    <w:p w14:paraId="00100002" w14:textId="00100003">
      <w:pPr>
        <w:jc w:val="center"/>
      </w:pPr>
      <w:r>
        <w:rPr>
          <w:b/>
          <w:sz w:val="32"/>
        </w:rPr>
        <w:t>AI-Powered Business Decision Intelligence Platform</w:t>
      </w:r>
    </w:p>
    <w:p w14:paraId="00100004" w14:textId="00100005"/>
    <w:p w14:paraId="00100006" w14:textId="00100007">
      <w:pPr>
        <w:jc w:val="center"/>
      </w:pPr>
      <w:r>
        <w:rPr>
          <w:sz w:val="28"/>
        </w:rPr>
        <w:t>Capstone Project Report</w:t>
      </w:r>
    </w:p>
    <w:p w14:paraId="00100008" w14:textId="00100009">
      <w:pPr>
        <w:jc w:val="center"/>
      </w:pPr>
      <w:r>
        <w:rPr>
          <w:sz w:val="24"/>
        </w:rPr>
        <w:t>IBM SkillsBuild Data Analytics with AI Academic Internship</w:t>
      </w:r>
    </w:p>
    <w:p w14:paraId="0010000A" w14:textId="0010000B">
      <w:pPr>
        <w:jc w:val="center"/>
      </w:pPr>
      <w:r>
        <w:rPr>
          <w:sz w:val="22"/>
        </w:rPr>
      </w:r>
    </w:p>
    <w:p w14:paraId="0010000C" w14:textId="0010000D">
      <w:pPr>
        <w:jc w:val="center"/>
      </w:pPr>
      <w:r>
        <w:rPr>
          <w:sz w:val="24"/>
        </w:rPr>
        <w:t>Author: Sakshi Wadodkar</w:t>
      </w:r>
    </w:p>
    <w:p w14:paraId="0010000E" w14:textId="0010000F">
      <w:pPr>
        <w:jc w:val="center"/>
      </w:pPr>
      <w:r>
        <w:rPr>
          <w:sz w:val="22"/>
        </w:rPr>
        <w:t>Dataset: Official Tableau Sample Superstore</w:t>
      </w:r>
    </w:p>
    <w:p w14:paraId="00100010" w14:textId="00100011">
      <w:pPr>
        <w:jc w:val="center"/>
      </w:pPr>
      <w:r>
        <w:rPr>
          <w:sz w:val="20"/>
        </w:rPr>
        <w:t>Source: https://public.tableau.com/app/resources/sample-data</w:t>
      </w:r>
    </w:p>
    <w:p w14:paraId="00100012" w14:textId="00100013">
      <w:pPr>
        <w:jc w:val="center"/>
      </w:pPr>
      <w:r>
        <w:rPr>
          <w:sz w:val="22"/>
        </w:rPr>
        <w:t>Year: 2025</w:t>
      </w:r>
    </w:p>
    <w:p w14:paraId="00100014" w14:textId="00100015">
      <w:r>
        <w:br w:type="page"/>
      </w:r>
    </w:p>
    <w:p w14:paraId="00100016" w14:textId="00100017">
      <w:pPr>
        <w:pStyle w:val="Heading1"/>
      </w:pPr>
      <w:r>
        <w:t>1. Abstract</w:t>
      </w:r>
    </w:p>
    <w:p w14:paraId="00100018" w14:textId="00100019">
      <w:r>
        <w:rPr>
          <w:b w:val="0"/>
          <w:i w:val="0"/>
          <w:sz w:val="22"/>
        </w:rPr>
        <w:t>InsightIQ is a comprehensive AI-powered business decision intelligence platform developed as a capstone project for the IBM SkillsBuild Data Analytics with AI Academic Internship. The platform applies an end-to-end analytical pipeline to the official Tableau Sample Superstore dataset, integrating descriptive analytics, predictive machine learning, model explainability, anomaly detection, and what-if decision simulation. The dataset covers 10,194 order lines across 5,111 unique orders from 804 customers between January 2023 and December 2026. Key results from actual data: total sales $2,326,534, total profit $292,296, overall profit margin 12.6%, order-level return rate 5.8%. Best predictive model: Linear Regression (test MAE $12,968, RMSE $16,384, MAPE 23.5%). Anomaly detection (Isolation Forest) identified 306 anomalous transactions. The InsightIQ Decision Simulator provides scenario-based business decision support.</w:t>
      </w:r>
    </w:p>
    <w:p w14:paraId="0010001A" w14:textId="0010001B">
      <w:r>
        <w:br w:type="page"/>
      </w:r>
    </w:p>
    <w:p w14:paraId="0010001C" w14:textId="0010001D">
      <w:pPr>
        <w:pStyle w:val="Heading1"/>
      </w:pPr>
      <w:r>
        <w:t>2. Introduction</w:t>
      </w:r>
    </w:p>
    <w:p w14:paraId="0010001E" w14:textId="0010001F">
      <w:r>
        <w:rPr>
          <w:b w:val="0"/>
          <w:i w:val="0"/>
          <w:sz w:val="22"/>
        </w:rPr>
        <w:t>Modern retail organisations generate vast volumes of transactional data yet frequently lack the analytical infrastructure to transform it into actionable intelligence. InsightIQ addresses this gap by combining traditional business analytics with machine learning, model explainability, anomaly detection, and interactive decision simulation in a single reproducible Jupyter Notebook pipeline.</w:t>
      </w:r>
    </w:p>
    <w:p w14:paraId="00100020" w14:textId="00100021">
      <w:r>
        <w:rPr>
          <w:b w:val="0"/>
          <w:i w:val="0"/>
          <w:sz w:val="22"/>
        </w:rPr>
        <w:t>The central business question: "Given historical business data, what is happening in the business, what patterns and risks can be identified, what may happen next, and how might different business decisions affect expected outcomes?"</w:t>
      </w:r>
    </w:p>
    <w:p w14:paraId="00100022" w14:textId="00100023">
      <w:r>
        <w:br w:type="page"/>
      </w:r>
    </w:p>
    <w:p w14:paraId="00100024" w14:textId="00100025">
      <w:pPr>
        <w:pStyle w:val="Heading1"/>
      </w:pPr>
      <w:r>
        <w:t>3. Problem Statement</w:t>
      </w:r>
    </w:p>
    <w:p w14:paraId="00100026" w14:textId="00100027">
      <w:pPr>
        <w:pStyle w:val="ListBullet"/>
      </w:pPr>
      <w:r>
        <w:t>Profitability visibility: Which products, customers, and regions generate or erode profit?</w:t>
      </w:r>
    </w:p>
    <w:p w14:paraId="00100028" w14:textId="00100029">
      <w:pPr>
        <w:pStyle w:val="ListBullet"/>
      </w:pPr>
      <w:r>
        <w:t>Discount strategy risk: Are current discount practices helping or harming profitability?</w:t>
      </w:r>
    </w:p>
    <w:p w14:paraId="0010002A" w14:textId="0010002B">
      <w:pPr>
        <w:pStyle w:val="ListBullet"/>
      </w:pPr>
      <w:r>
        <w:t>Demand forecasting: What are expected future sales from historical patterns?</w:t>
      </w:r>
    </w:p>
    <w:p w14:paraId="0010002C" w14:textId="0010002D">
      <w:pPr>
        <w:pStyle w:val="ListBullet"/>
      </w:pPr>
      <w:r>
        <w:t>Anomaly detection: Are there unusual events warranting investigation?</w:t>
      </w:r>
    </w:p>
    <w:p w14:paraId="0010002E" w14:textId="0010002F">
      <w:pPr>
        <w:pStyle w:val="ListBullet"/>
      </w:pPr>
      <w:r>
        <w:t>Decision support: How might discount strategy changes affect estimated outcomes?</w:t>
      </w:r>
    </w:p>
    <w:p w14:paraId="00100030" w14:textId="00100031">
      <w:r>
        <w:br w:type="page"/>
      </w:r>
    </w:p>
    <w:p w14:paraId="00100032" w14:textId="00100033">
      <w:pPr>
        <w:pStyle w:val="Heading1"/>
      </w:pPr>
      <w:r>
        <w:t>4. Objectives</w:t>
      </w:r>
    </w:p>
    <w:p w14:paraId="00100034" w14:textId="00100035">
      <w:pPr>
        <w:pStyle w:val="ListNumber"/>
      </w:pPr>
      <w:r>
        <w:t>1. Perform comprehensive EDA on the Superstore dataset</w:t>
      </w:r>
    </w:p>
    <w:p w14:paraId="00100036" w14:textId="00100037">
      <w:pPr>
        <w:pStyle w:val="ListNumber"/>
      </w:pPr>
      <w:r>
        <w:t>2. Calculate and visualise key business KPIs</w:t>
      </w:r>
    </w:p>
    <w:p w14:paraId="00100038" w14:textId="00100039">
      <w:pPr>
        <w:pStyle w:val="ListNumber"/>
      </w:pPr>
      <w:r>
        <w:t>3. Analyse customer, product, and regional performance patterns</w:t>
      </w:r>
    </w:p>
    <w:p w14:paraId="0010003A" w14:textId="0010003B">
      <w:pPr>
        <w:pStyle w:val="ListNumber"/>
      </w:pPr>
      <w:r>
        <w:t>4. Investigate the historical relationship between discount levels and profitability</w:t>
      </w:r>
    </w:p>
    <w:p w14:paraId="0010003C" w14:textId="0010003D">
      <w:pPr>
        <w:pStyle w:val="ListNumber"/>
      </w:pPr>
      <w:r>
        <w:t>5. Build and evaluate predictive sales models with chronological train/test split</w:t>
      </w:r>
    </w:p>
    <w:p w14:paraId="0010003E" w14:textId="0010003F">
      <w:pPr>
        <w:pStyle w:val="ListNumber"/>
      </w:pPr>
      <w:r>
        <w:t>6. Apply feature importance for model explainability</w:t>
      </w:r>
    </w:p>
    <w:p w14:paraId="00100040" w14:textId="00100041">
      <w:pPr>
        <w:pStyle w:val="ListNumber"/>
      </w:pPr>
      <w:r>
        <w:t>7. Detect anomalous business performance using Isolation Forest</w:t>
      </w:r>
    </w:p>
    <w:p w14:paraId="00100042" w14:textId="00100043">
      <w:pPr>
        <w:pStyle w:val="ListNumber"/>
      </w:pPr>
      <w:r>
        <w:t>8. Analyse product returns using the Returns sheet</w:t>
      </w:r>
    </w:p>
    <w:p w14:paraId="00100044" w14:textId="00100045">
      <w:pPr>
        <w:pStyle w:val="ListNumber"/>
      </w:pPr>
      <w:r>
        <w:t>9. Build an interactive what-if Decision Simulator</w:t>
      </w:r>
    </w:p>
    <w:p w14:paraId="00100046" w14:textId="00100047">
      <w:pPr>
        <w:pStyle w:val="ListNumber"/>
      </w:pPr>
      <w:r>
        <w:t>10. Provide traceable, data-supported business recommendations</w:t>
      </w:r>
    </w:p>
    <w:p w14:paraId="00100048" w14:textId="00100049">
      <w:r>
        <w:br w:type="page"/>
      </w:r>
    </w:p>
    <w:p w14:paraId="0010004A" w14:textId="0010004B">
      <w:pPr>
        <w:pStyle w:val="Heading1"/>
      </w:pPr>
      <w:r>
        <w:t>5. Dataset Description</w:t>
      </w:r>
    </w:p>
    <w:p w14:paraId="0010004C" w14:textId="0010004D">
      <w:r>
        <w:rPr>
          <w:b w:val="0"/>
          <w:i w:val="0"/>
          <w:sz w:val="22"/>
        </w:rPr>
        <w:t>The official Tableau Sample Superstore workbook represents transactional data for a fictional US/Canada retail business. No modifications were made to the original dataset file.</w:t>
      </w:r>
    </w:p>
    <w:tbl>
      <w:tblPr>
        <w:tblStyle w:val="TableGrid"/>
        <w:tblW w:w="0" w:type="auto"/>
        <w:tblLook w:val="04A0" w:firstRow="1" w:lastRow="0" w:firstColumn="1" w:lastColumn="0" w:noHBand="0" w:noVBand="1"/>
      </w:tblPr>
      <w:tblGrid>
        <w:gridCol w:w="4703"/>
        <w:gridCol w:w="4703"/>
      </w:tblGrid>
      <w:tr>
        <w:tc>
          <w:tcPr>
            <w:tcW w:w="4703" w:type="dxa"/>
          </w:tcPr>
          <w:p w14:paraId="0010004E" w14:textId="0010004F">
            <w:r>
              <w:rPr>
                <w:b/>
              </w:rPr>
              <w:t>Attribute</w:t>
            </w:r>
          </w:p>
        </w:tc>
        <w:tc>
          <w:tcPr>
            <w:tcW w:w="4703" w:type="dxa"/>
          </w:tcPr>
          <w:p w14:paraId="00100050" w14:textId="00100051">
            <w:r>
              <w:rPr>
                <w:b/>
              </w:rPr>
              <w:t>Value</w:t>
            </w:r>
          </w:p>
        </w:tc>
      </w:tr>
      <w:tr>
        <w:tc>
          <w:tcPr>
            <w:tcW w:w="4703" w:type="dxa"/>
          </w:tcPr>
          <w:p w14:paraId="00100052" w14:textId="00100053">
            <w:r>
              <w:t>File</w:t>
            </w:r>
          </w:p>
        </w:tc>
        <w:tc>
          <w:tcPr>
            <w:tcW w:w="4703" w:type="dxa"/>
          </w:tcPr>
          <w:p w14:paraId="00100054" w14:textId="00100055">
            <w:r>
              <w:t>sample_-_superstore.xls</w:t>
            </w:r>
          </w:p>
        </w:tc>
      </w:tr>
      <w:tr>
        <w:tc>
          <w:tcPr>
            <w:tcW w:w="4703" w:type="dxa"/>
          </w:tcPr>
          <w:p w14:paraId="00100056" w14:textId="00100057">
            <w:r>
              <w:t>Format</w:t>
            </w:r>
          </w:p>
        </w:tc>
        <w:tc>
          <w:tcPr>
            <w:tcW w:w="4703" w:type="dxa"/>
          </w:tcPr>
          <w:p w14:paraId="00100058" w14:textId="00100059">
            <w:r>
              <w:t>Microsoft Excel 97-2003 (.xls)</w:t>
            </w:r>
          </w:p>
        </w:tc>
      </w:tr>
      <w:tr>
        <w:tc>
          <w:tcPr>
            <w:tcW w:w="4703" w:type="dxa"/>
          </w:tcPr>
          <w:p w14:paraId="0010005A" w14:textId="0010005B">
            <w:r>
              <w:t>Primary Sheet</w:t>
            </w:r>
          </w:p>
        </w:tc>
        <w:tc>
          <w:tcPr>
            <w:tcW w:w="4703" w:type="dxa"/>
          </w:tcPr>
          <w:p w14:paraId="0010005C" w14:textId="0010005D">
            <w:r>
              <w:t>Orders -- 10,194 rows x 21 columns</w:t>
            </w:r>
          </w:p>
        </w:tc>
      </w:tr>
      <w:tr>
        <w:tc>
          <w:tcPr>
            <w:tcW w:w="4703" w:type="dxa"/>
          </w:tcPr>
          <w:p w14:paraId="0010005E" w14:textId="0010005F">
            <w:r>
              <w:t>Supporting Sheets</w:t>
            </w:r>
          </w:p>
        </w:tc>
        <w:tc>
          <w:tcPr>
            <w:tcW w:w="4703" w:type="dxa"/>
          </w:tcPr>
          <w:p w14:paraId="00100060" w14:textId="00100061">
            <w:r>
              <w:t>Returns (296 returned orders), People (4 regional managers)</w:t>
            </w:r>
          </w:p>
        </w:tc>
      </w:tr>
      <w:tr>
        <w:tc>
          <w:tcPr>
            <w:tcW w:w="4703" w:type="dxa"/>
          </w:tcPr>
          <w:p w14:paraId="00100062" w14:textId="00100063">
            <w:r>
              <w:t>Time Period</w:t>
            </w:r>
          </w:p>
        </w:tc>
        <w:tc>
          <w:tcPr>
            <w:tcW w:w="4703" w:type="dxa"/>
          </w:tcPr>
          <w:p w14:paraId="00100064" w14:textId="00100065">
            <w:r>
              <w:t>January 2023 to December 2026</w:t>
            </w:r>
          </w:p>
        </w:tc>
      </w:tr>
      <w:tr>
        <w:tc>
          <w:tcPr>
            <w:tcW w:w="4703" w:type="dxa"/>
          </w:tcPr>
          <w:p w14:paraId="00100066" w14:textId="00100067">
            <w:r>
              <w:t>Geography</w:t>
            </w:r>
          </w:p>
        </w:tc>
        <w:tc>
          <w:tcPr>
            <w:tcW w:w="4703" w:type="dxa"/>
          </w:tcPr>
          <w:p w14:paraId="00100068" w14:textId="00100069">
            <w:r>
              <w:t>United States (9,994 records) and Canada (200 records)</w:t>
            </w:r>
          </w:p>
        </w:tc>
      </w:tr>
      <w:tr>
        <w:tc>
          <w:tcPr>
            <w:tcW w:w="4703" w:type="dxa"/>
          </w:tcPr>
          <w:p w14:paraId="0010006A" w14:textId="0010006B">
            <w:r>
              <w:t>Key Dimensions</w:t>
            </w:r>
          </w:p>
        </w:tc>
        <w:tc>
          <w:tcPr>
            <w:tcW w:w="4703" w:type="dxa"/>
          </w:tcPr>
          <w:p w14:paraId="0010006C" w14:textId="0010006D">
            <w:r>
              <w:t>Category, Sub-Category, Region, Segment, Ship Mode</w:t>
            </w:r>
          </w:p>
        </w:tc>
      </w:tr>
      <w:tr>
        <w:tc>
          <w:tcPr>
            <w:tcW w:w="4703" w:type="dxa"/>
          </w:tcPr>
          <w:p w14:paraId="0010006E" w14:textId="0010006F">
            <w:r>
              <w:t>Key Measures</w:t>
            </w:r>
          </w:p>
        </w:tc>
        <w:tc>
          <w:tcPr>
            <w:tcW w:w="4703" w:type="dxa"/>
          </w:tcPr>
          <w:p w14:paraId="00100070" w14:textId="00100071">
            <w:r>
              <w:t>Sales, Profit, Quantity, Discount</w:t>
            </w:r>
          </w:p>
        </w:tc>
      </w:tr>
      <w:tr>
        <w:tc>
          <w:tcPr>
            <w:tcW w:w="4703" w:type="dxa"/>
          </w:tcPr>
          <w:p w14:paraId="00100072" w14:textId="00100073">
            <w:r>
              <w:t>Unique Orders</w:t>
            </w:r>
          </w:p>
        </w:tc>
        <w:tc>
          <w:tcPr>
            <w:tcW w:w="4703" w:type="dxa"/>
          </w:tcPr>
          <w:p w14:paraId="00100074" w14:textId="00100075">
            <w:r>
              <w:t>5,111</w:t>
            </w:r>
          </w:p>
        </w:tc>
      </w:tr>
      <w:tr>
        <w:tc>
          <w:tcPr>
            <w:tcW w:w="4703" w:type="dxa"/>
          </w:tcPr>
          <w:p w14:paraId="00100076" w14:textId="00100077">
            <w:r>
              <w:t>Unique Customers</w:t>
            </w:r>
          </w:p>
        </w:tc>
        <w:tc>
          <w:tcPr>
            <w:tcW w:w="4703" w:type="dxa"/>
          </w:tcPr>
          <w:p w14:paraId="00100078" w14:textId="00100079">
            <w:r>
              <w:t>804</w:t>
            </w:r>
          </w:p>
        </w:tc>
      </w:tr>
    </w:tbl>
    <w:p w14:paraId="0010007A" w14:textId="0010007B"/>
    <w:p w14:paraId="0010007C" w14:textId="0010007D">
      <w:pPr>
        <w:pStyle w:val="Heading2"/>
      </w:pPr>
      <w:r>
        <w:t>6. Dataset Source</w:t>
      </w:r>
    </w:p>
    <w:p w14:paraId="0010007E" w14:textId="0010007F">
      <w:r>
        <w:rPr>
          <w:b w:val="0"/>
          <w:i w:val="0"/>
          <w:sz w:val="22"/>
        </w:rPr>
        <w:t>Official Tableau Public Sample Data:</w:t>
      </w:r>
    </w:p>
    <w:p w14:paraId="00100080" w14:textId="00100081">
      <w:r>
        <w:rPr>
          <w:b w:val="0"/>
          <w:i/>
          <w:sz w:val="22"/>
        </w:rPr>
        <w:t>https://public.tableau.com/app/resources/sample-data</w:t>
      </w:r>
    </w:p>
    <w:p w14:paraId="00100082" w14:textId="00100083">
      <w:r>
        <w:rPr>
          <w:b w:val="0"/>
          <w:i w:val="0"/>
          <w:sz w:val="22"/>
        </w:rPr>
        <w:t>Used for educational purposes under the IBM SkillsBuild internship programme. No ownership of the dataset is claimed.</w:t>
      </w:r>
    </w:p>
    <w:p w14:paraId="00100084" w14:textId="00100085">
      <w:r>
        <w:br w:type="page"/>
      </w:r>
    </w:p>
    <w:p w14:paraId="00100086" w14:textId="00100087">
      <w:pPr>
        <w:pStyle w:val="Heading1"/>
      </w:pPr>
      <w:r>
        <w:t>7. Technologies Used</w:t>
      </w:r>
    </w:p>
    <w:tbl>
      <w:tblPr>
        <w:tblStyle w:val="TableGrid"/>
        <w:tblW w:w="0" w:type="auto"/>
        <w:tblLook w:val="04A0" w:firstRow="1" w:lastRow="0" w:firstColumn="1" w:lastColumn="0" w:noHBand="0" w:noVBand="1"/>
      </w:tblPr>
      <w:tblGrid>
        <w:gridCol w:w="3135"/>
        <w:gridCol w:w="3135"/>
        <w:gridCol w:w="3135"/>
      </w:tblGrid>
      <w:tr>
        <w:tc>
          <w:tcPr>
            <w:tcW w:w="3135" w:type="dxa"/>
          </w:tcPr>
          <w:p w14:paraId="00100088" w14:textId="00100089">
            <w:r>
              <w:rPr>
                <w:b/>
              </w:rPr>
              <w:t>Technology</w:t>
            </w:r>
          </w:p>
        </w:tc>
        <w:tc>
          <w:tcPr>
            <w:tcW w:w="3135" w:type="dxa"/>
          </w:tcPr>
          <w:p w14:paraId="0010008A" w14:textId="0010008B">
            <w:r>
              <w:rPr>
                <w:b/>
              </w:rPr>
              <w:t>Version</w:t>
            </w:r>
          </w:p>
        </w:tc>
        <w:tc>
          <w:tcPr>
            <w:tcW w:w="3135" w:type="dxa"/>
          </w:tcPr>
          <w:p w14:paraId="0010008C" w14:textId="0010008D">
            <w:r>
              <w:rPr>
                <w:b/>
              </w:rPr>
              <w:t>Purpose</w:t>
            </w:r>
          </w:p>
        </w:tc>
      </w:tr>
      <w:tr>
        <w:tc>
          <w:tcPr>
            <w:tcW w:w="3135" w:type="dxa"/>
          </w:tcPr>
          <w:p w14:paraId="0010008E" w14:textId="0010008F">
            <w:r>
              <w:t>Python</w:t>
            </w:r>
          </w:p>
        </w:tc>
        <w:tc>
          <w:tcPr>
            <w:tcW w:w="3135" w:type="dxa"/>
          </w:tcPr>
          <w:p w14:paraId="00100090" w14:textId="00100091">
            <w:r>
              <w:t>3.12.10</w:t>
            </w:r>
          </w:p>
        </w:tc>
        <w:tc>
          <w:tcPr>
            <w:tcW w:w="3135" w:type="dxa"/>
          </w:tcPr>
          <w:p w14:paraId="00100092" w14:textId="00100093">
            <w:r>
              <w:t>Core programming language</w:t>
            </w:r>
          </w:p>
        </w:tc>
      </w:tr>
      <w:tr>
        <w:tc>
          <w:tcPr>
            <w:tcW w:w="3135" w:type="dxa"/>
          </w:tcPr>
          <w:p w14:paraId="00100094" w14:textId="00100095">
            <w:r>
              <w:t>pandas</w:t>
            </w:r>
          </w:p>
        </w:tc>
        <w:tc>
          <w:tcPr>
            <w:tcW w:w="3135" w:type="dxa"/>
          </w:tcPr>
          <w:p w14:paraId="00100096" w14:textId="00100097">
            <w:r>
              <w:t>3.0.6</w:t>
            </w:r>
          </w:p>
        </w:tc>
        <w:tc>
          <w:tcPr>
            <w:tcW w:w="3135" w:type="dxa"/>
          </w:tcPr>
          <w:p w14:paraId="00100098" w14:textId="00100099">
            <w:r>
              <w:t>Data manipulation and analysis</w:t>
            </w:r>
          </w:p>
        </w:tc>
      </w:tr>
      <w:tr>
        <w:tc>
          <w:tcPr>
            <w:tcW w:w="3135" w:type="dxa"/>
          </w:tcPr>
          <w:p w14:paraId="0010009A" w14:textId="0010009B">
            <w:r>
              <w:t>numpy</w:t>
            </w:r>
          </w:p>
        </w:tc>
        <w:tc>
          <w:tcPr>
            <w:tcW w:w="3135" w:type="dxa"/>
          </w:tcPr>
          <w:p w14:paraId="0010009C" w14:textId="0010009D">
            <w:r>
              <w:t>2.5.3</w:t>
            </w:r>
          </w:p>
        </w:tc>
        <w:tc>
          <w:tcPr>
            <w:tcW w:w="3135" w:type="dxa"/>
          </w:tcPr>
          <w:p w14:paraId="0010009E" w14:textId="0010009F">
            <w:r>
              <w:t>Numerical computations</w:t>
            </w:r>
          </w:p>
        </w:tc>
      </w:tr>
      <w:tr>
        <w:tc>
          <w:tcPr>
            <w:tcW w:w="3135" w:type="dxa"/>
          </w:tcPr>
          <w:p w14:paraId="001000A0" w14:textId="001000A1">
            <w:r>
              <w:t>matplotlib</w:t>
            </w:r>
          </w:p>
        </w:tc>
        <w:tc>
          <w:tcPr>
            <w:tcW w:w="3135" w:type="dxa"/>
          </w:tcPr>
          <w:p w14:paraId="001000A2" w14:textId="001000A3">
            <w:r>
              <w:t>3.11.2</w:t>
            </w:r>
          </w:p>
        </w:tc>
        <w:tc>
          <w:tcPr>
            <w:tcW w:w="3135" w:type="dxa"/>
          </w:tcPr>
          <w:p w14:paraId="001000A4" w14:textId="001000A5">
            <w:r>
              <w:t>Static visualisations</w:t>
            </w:r>
          </w:p>
        </w:tc>
      </w:tr>
      <w:tr>
        <w:tc>
          <w:tcPr>
            <w:tcW w:w="3135" w:type="dxa"/>
          </w:tcPr>
          <w:p w14:paraId="001000A6" w14:textId="001000A7">
            <w:r>
              <w:t>seaborn</w:t>
            </w:r>
          </w:p>
        </w:tc>
        <w:tc>
          <w:tcPr>
            <w:tcW w:w="3135" w:type="dxa"/>
          </w:tcPr>
          <w:p w14:paraId="001000A8" w14:textId="001000A9">
            <w:r>
              <w:t>0.13.2</w:t>
            </w:r>
          </w:p>
        </w:tc>
        <w:tc>
          <w:tcPr>
            <w:tcW w:w="3135" w:type="dxa"/>
          </w:tcPr>
          <w:p w14:paraId="001000AA" w14:textId="001000AB">
            <w:r>
              <w:t>Statistical visualisations</w:t>
            </w:r>
          </w:p>
        </w:tc>
      </w:tr>
      <w:tr>
        <w:tc>
          <w:tcPr>
            <w:tcW w:w="3135" w:type="dxa"/>
          </w:tcPr>
          <w:p w14:paraId="001000AC" w14:textId="001000AD">
            <w:r>
              <w:t>scikit-learn</w:t>
            </w:r>
          </w:p>
        </w:tc>
        <w:tc>
          <w:tcPr>
            <w:tcW w:w="3135" w:type="dxa"/>
          </w:tcPr>
          <w:p w14:paraId="001000AE" w14:textId="001000AF">
            <w:r>
              <w:t>1.9.1</w:t>
            </w:r>
          </w:p>
        </w:tc>
        <w:tc>
          <w:tcPr>
            <w:tcW w:w="3135" w:type="dxa"/>
          </w:tcPr>
          <w:p w14:paraId="001000B0" w14:textId="001000B1">
            <w:r>
              <w:t>ML: Random Forest, Isolation Forest</w:t>
            </w:r>
          </w:p>
        </w:tc>
      </w:tr>
      <w:tr>
        <w:tc>
          <w:tcPr>
            <w:tcW w:w="3135" w:type="dxa"/>
          </w:tcPr>
          <w:p w14:paraId="001000B2" w14:textId="001000B3">
            <w:r>
              <w:t>xlrd</w:t>
            </w:r>
          </w:p>
        </w:tc>
        <w:tc>
          <w:tcPr>
            <w:tcW w:w="3135" w:type="dxa"/>
          </w:tcPr>
          <w:p w14:paraId="001000B4" w14:textId="001000B5">
            <w:r>
              <w:t>2.0.2</w:t>
            </w:r>
          </w:p>
        </w:tc>
        <w:tc>
          <w:tcPr>
            <w:tcW w:w="3135" w:type="dxa"/>
          </w:tcPr>
          <w:p w14:paraId="001000B6" w14:textId="001000B7">
            <w:r>
              <w:t>Reading legacy .xls files</w:t>
            </w:r>
          </w:p>
        </w:tc>
      </w:tr>
      <w:tr>
        <w:tc>
          <w:tcPr>
            <w:tcW w:w="3135" w:type="dxa"/>
          </w:tcPr>
          <w:p w14:paraId="001000B8" w14:textId="001000B9">
            <w:r>
              <w:t>Jupyter Notebook</w:t>
            </w:r>
          </w:p>
        </w:tc>
        <w:tc>
          <w:tcPr>
            <w:tcW w:w="3135" w:type="dxa"/>
          </w:tcPr>
          <w:p w14:paraId="001000BA" w14:textId="001000BB">
            <w:r>
              <w:t>1.x</w:t>
            </w:r>
          </w:p>
        </w:tc>
        <w:tc>
          <w:tcPr>
            <w:tcW w:w="3135" w:type="dxa"/>
          </w:tcPr>
          <w:p w14:paraId="001000BC" w14:textId="001000BD">
            <w:r>
              <w:t>Interactive analytical environment</w:t>
            </w:r>
          </w:p>
        </w:tc>
      </w:tr>
    </w:tbl>
    <w:p w14:paraId="001000BE" w14:textId="001000BF">
      <w:r>
        <w:br w:type="page"/>
      </w:r>
    </w:p>
    <w:p w14:paraId="001000C0" w14:textId="001000C1">
      <w:pPr>
        <w:pStyle w:val="Heading1"/>
      </w:pPr>
      <w:r>
        <w:t>8. Methodology</w:t>
      </w:r>
    </w:p>
    <w:p w14:paraId="001000C2" w14:textId="001000C3">
      <w:pPr>
        <w:pStyle w:val="ListBullet"/>
      </w:pPr>
      <w:r>
        <w:t>Data Loading -- Read all three sheets (Orders, Returns, People) using xlrd</w:t>
      </w:r>
    </w:p>
    <w:p w14:paraId="001000C4" w14:textId="001000C5">
      <w:pPr>
        <w:pStyle w:val="ListBullet"/>
      </w:pPr>
      <w:r>
        <w:t>Data Quality Assessment -- Missing values, duplicates, data types, cardinality</w:t>
      </w:r>
    </w:p>
    <w:p w14:paraId="001000C6" w14:textId="001000C7">
      <w:pPr>
        <w:pStyle w:val="ListBullet"/>
      </w:pPr>
      <w:r>
        <w:t>Data Cleaning -- Date parsing, postal code normalisation, Returns join, People join</w:t>
      </w:r>
    </w:p>
    <w:p w14:paraId="001000C8" w14:textId="001000C9">
      <w:pPr>
        <w:pStyle w:val="ListBullet"/>
      </w:pPr>
      <w:r>
        <w:t>Exploratory Data Analysis -- 13 visualisations across time, product, customer, region</w:t>
      </w:r>
    </w:p>
    <w:p w14:paraId="001000CA" w14:textId="001000CB">
      <w:pPr>
        <w:pStyle w:val="ListBullet"/>
      </w:pPr>
      <w:r>
        <w:t>Business KPI Calculation -- Sales, Profit, Margin, Orders, Customers, AOV, Discount</w:t>
      </w:r>
    </w:p>
    <w:p w14:paraId="001000CC" w14:textId="001000CD">
      <w:pPr>
        <w:pStyle w:val="ListBullet"/>
      </w:pPr>
      <w:r>
        <w:t>Customer Analytics -- Distribution, top customers, segment performance</w:t>
      </w:r>
    </w:p>
    <w:p w14:paraId="001000CE" w14:textId="001000CF">
      <w:pPr>
        <w:pStyle w:val="ListBullet"/>
      </w:pPr>
      <w:r>
        <w:t>Product Analytics -- Category/sub-category performance, top products</w:t>
      </w:r>
    </w:p>
    <w:p w14:paraId="001000D0" w14:textId="001000D1">
      <w:pPr>
        <w:pStyle w:val="ListBullet"/>
      </w:pPr>
      <w:r>
        <w:t>Regional Analytics -- Sales/profit/margin by region with manager enrichment</w:t>
      </w:r>
    </w:p>
    <w:p w14:paraId="001000D2" w14:textId="001000D3">
      <w:pPr>
        <w:pStyle w:val="ListBullet"/>
      </w:pPr>
      <w:r>
        <w:t>Discount &amp; Profitability Analysis -- Band analysis, scatter plots, box plots</w:t>
      </w:r>
    </w:p>
    <w:p w14:paraId="001000D4" w14:textId="001000D5">
      <w:pPr>
        <w:pStyle w:val="ListBullet"/>
      </w:pPr>
      <w:r>
        <w:t>Time-Series Analysis -- Monthly and quarterly sales/profit trends</w:t>
      </w:r>
    </w:p>
    <w:p w14:paraId="001000D6" w14:textId="001000D7">
      <w:pPr>
        <w:pStyle w:val="ListBullet"/>
      </w:pPr>
      <w:r>
        <w:t>Predictive Modelling -- Baseline, Linear Regression, Random Forest (chronological split)</w:t>
      </w:r>
    </w:p>
    <w:p w14:paraId="001000D8" w14:textId="001000D9">
      <w:pPr>
        <w:pStyle w:val="ListBullet"/>
      </w:pPr>
      <w:r>
        <w:t>Model Evaluation -- MAE, RMSE, MAPE; actual vs predicted plots</w:t>
      </w:r>
    </w:p>
    <w:p w14:paraId="001000DA" w14:textId="001000DB">
      <w:pPr>
        <w:pStyle w:val="ListBullet"/>
      </w:pPr>
      <w:r>
        <w:t>Model Explainability -- Random Forest feature importance</w:t>
      </w:r>
    </w:p>
    <w:p w14:paraId="001000DC" w14:textId="001000DD">
      <w:pPr>
        <w:pStyle w:val="ListBullet"/>
      </w:pPr>
      <w:r>
        <w:t>Anomaly Detection -- Isolation Forest at transaction and monthly level</w:t>
      </w:r>
    </w:p>
    <w:p w14:paraId="001000DE" w14:textId="001000DF">
      <w:pPr>
        <w:pStyle w:val="ListBullet"/>
      </w:pPr>
      <w:r>
        <w:t>Business Risk Analysis -- High-discount losses, loss sub-categories, low-margin regions</w:t>
      </w:r>
    </w:p>
    <w:p w14:paraId="001000E0" w14:textId="001000E1">
      <w:pPr>
        <w:pStyle w:val="ListBullet"/>
      </w:pPr>
      <w:r>
        <w:t>Returns Analysis -- Order-level return rate by category, region, segment</w:t>
      </w:r>
    </w:p>
    <w:p w14:paraId="001000E2" w14:textId="001000E3">
      <w:pPr>
        <w:pStyle w:val="ListBullet"/>
      </w:pPr>
      <w:r>
        <w:t>Decision Simulator -- What-if discount scenario modelling with RF models</w:t>
      </w:r>
    </w:p>
    <w:p w14:paraId="001000E4" w14:textId="001000E5">
      <w:pPr>
        <w:pStyle w:val="ListBullet"/>
      </w:pPr>
      <w:r>
        <w:t>Scenario Comparison -- Multi-scenario table and visualisation</w:t>
      </w:r>
    </w:p>
    <w:p w14:paraId="001000E6" w14:textId="001000E7">
      <w:r>
        <w:br w:type="page"/>
      </w:r>
    </w:p>
    <w:p w14:paraId="001000E8" w14:textId="001000E9">
      <w:pPr>
        <w:pStyle w:val="Heading1"/>
      </w:pPr>
      <w:r>
        <w:t>9. Data Preprocessing</w:t>
      </w:r>
    </w:p>
    <w:tbl>
      <w:tblPr>
        <w:tblStyle w:val="TableGrid"/>
        <w:tblW w:w="0" w:type="auto"/>
        <w:tblLook w:val="04A0" w:firstRow="1" w:lastRow="0" w:firstColumn="1" w:lastColumn="0" w:noHBand="0" w:noVBand="1"/>
      </w:tblPr>
      <w:tblGrid>
        <w:gridCol w:w="4703"/>
        <w:gridCol w:w="4703"/>
      </w:tblGrid>
      <w:tr>
        <w:tc>
          <w:tcPr>
            <w:tcW w:w="4703" w:type="dxa"/>
          </w:tcPr>
          <w:p w14:paraId="001000EA" w14:textId="001000EB">
            <w:r>
              <w:rPr>
                <w:b/>
              </w:rPr>
              <w:t>Step</w:t>
            </w:r>
          </w:p>
        </w:tc>
        <w:tc>
          <w:tcPr>
            <w:tcW w:w="4703" w:type="dxa"/>
          </w:tcPr>
          <w:p w14:paraId="001000EC" w14:textId="001000ED">
            <w:r>
              <w:rPr>
                <w:b/>
              </w:rPr>
              <w:t>Description</w:t>
            </w:r>
          </w:p>
        </w:tc>
      </w:tr>
      <w:tr>
        <w:tc>
          <w:tcPr>
            <w:tcW w:w="4703" w:type="dxa"/>
          </w:tcPr>
          <w:p w14:paraId="001000EE" w14:textId="001000EF">
            <w:r>
              <w:t>Date Parsing</w:t>
            </w:r>
          </w:p>
        </w:tc>
        <w:tc>
          <w:tcPr>
            <w:tcW w:w="4703" w:type="dxa"/>
          </w:tcPr>
          <w:p w14:paraId="001000F0" w14:textId="001000F1">
            <w:r>
              <w:t>Order Date and Ship Date parsed dayfirst=True, errors coerced</w:t>
            </w:r>
          </w:p>
        </w:tc>
      </w:tr>
      <w:tr>
        <w:tc>
          <w:tcPr>
            <w:tcW w:w="4703" w:type="dxa"/>
          </w:tcPr>
          <w:p w14:paraId="001000F2" w14:textId="001000F3">
            <w:r>
              <w:t>Temporal Features</w:t>
            </w:r>
          </w:p>
        </w:tc>
        <w:tc>
          <w:tcPr>
            <w:tcW w:w="4703" w:type="dxa"/>
          </w:tcPr>
          <w:p w14:paraId="001000F4" w14:textId="001000F5">
            <w:r>
              <w:t>Year, Month, Quarter, Year-Month, Lead Time Days derived</w:t>
            </w:r>
          </w:p>
        </w:tc>
      </w:tr>
      <w:tr>
        <w:tc>
          <w:tcPr>
            <w:tcW w:w="4703" w:type="dxa"/>
          </w:tcPr>
          <w:p w14:paraId="001000F6" w14:textId="001000F7">
            <w:r>
              <w:t>Profit Margin</w:t>
            </w:r>
          </w:p>
        </w:tc>
        <w:tc>
          <w:tcPr>
            <w:tcW w:w="4703" w:type="dxa"/>
          </w:tcPr>
          <w:p w14:paraId="001000F8" w14:textId="001000F9">
            <w:r>
              <w:t>Profit / Sales (guarded against zero denominator)</w:t>
            </w:r>
          </w:p>
        </w:tc>
      </w:tr>
      <w:tr>
        <w:tc>
          <w:tcPr>
            <w:tcW w:w="4703" w:type="dxa"/>
          </w:tcPr>
          <w:p w14:paraId="001000FA" w14:textId="001000FB">
            <w:r>
              <w:t>Postal Code</w:t>
            </w:r>
          </w:p>
        </w:tc>
        <w:tc>
          <w:tcPr>
            <w:tcW w:w="4703" w:type="dxa"/>
          </w:tcPr>
          <w:p w14:paraId="001000FC" w14:textId="001000FD">
            <w:r>
              <w:t>US codes zero-padded to 5 digits; Canadian alphanumeric codes preserved</w:t>
            </w:r>
          </w:p>
        </w:tc>
      </w:tr>
      <w:tr>
        <w:tc>
          <w:tcPr>
            <w:tcW w:w="4703" w:type="dxa"/>
          </w:tcPr>
          <w:p w14:paraId="001000FE" w14:textId="001000FF">
            <w:r>
              <w:t>Numeric Validation</w:t>
            </w:r>
          </w:p>
        </w:tc>
        <w:tc>
          <w:tcPr>
            <w:tcW w:w="4703" w:type="dxa"/>
          </w:tcPr>
          <w:p w14:paraId="00100100" w14:textId="00100101">
            <w:r>
              <w:t>Sales, Profit, Quantity, Discount cast with errors coerced</w:t>
            </w:r>
          </w:p>
        </w:tc>
      </w:tr>
      <w:tr>
        <w:tc>
          <w:tcPr>
            <w:tcW w:w="4703" w:type="dxa"/>
          </w:tcPr>
          <w:p w14:paraId="00100102" w14:textId="00100103">
            <w:r>
              <w:t>Deduplication</w:t>
            </w:r>
          </w:p>
        </w:tc>
        <w:tc>
          <w:tcPr>
            <w:tcW w:w="4703" w:type="dxa"/>
          </w:tcPr>
          <w:p w14:paraId="00100104" w14:textId="00100105">
            <w:r>
              <w:t>Zero duplicate rows found</w:t>
            </w:r>
          </w:p>
        </w:tc>
      </w:tr>
      <w:tr>
        <w:tc>
          <w:tcPr>
            <w:tcW w:w="4703" w:type="dxa"/>
          </w:tcPr>
          <w:p w14:paraId="00100106" w14:textId="00100107">
            <w:r>
              <w:t>Whitespace Strip</w:t>
            </w:r>
          </w:p>
        </w:tc>
        <w:tc>
          <w:tcPr>
            <w:tcW w:w="4703" w:type="dxa"/>
          </w:tcPr>
          <w:p w14:paraId="00100108" w14:textId="00100109">
            <w:r>
              <w:t>All string columns stripped</w:t>
            </w:r>
          </w:p>
        </w:tc>
      </w:tr>
      <w:tr>
        <w:tc>
          <w:tcPr>
            <w:tcW w:w="4703" w:type="dxa"/>
          </w:tcPr>
          <w:p w14:paraId="0010010A" w14:textId="0010010B">
            <w:r>
              <w:t>Returns Join</w:t>
            </w:r>
          </w:p>
        </w:tc>
        <w:tc>
          <w:tcPr>
            <w:tcW w:w="4703" w:type="dxa"/>
          </w:tcPr>
          <w:p w14:paraId="0010010C" w14:textId="0010010D">
            <w:r>
              <w:t>Order IDs joined to create Is Returned binary indicator</w:t>
            </w:r>
          </w:p>
        </w:tc>
      </w:tr>
      <w:tr>
        <w:tc>
          <w:tcPr>
            <w:tcW w:w="4703" w:type="dxa"/>
          </w:tcPr>
          <w:p w14:paraId="0010010E" w14:textId="0010010F">
            <w:r>
              <w:t>People Join</w:t>
            </w:r>
          </w:p>
        </w:tc>
        <w:tc>
          <w:tcPr>
            <w:tcW w:w="4703" w:type="dxa"/>
          </w:tcPr>
          <w:p w14:paraId="00100110" w14:textId="00100111">
            <w:r>
              <w:t>Regional Manager added via left join on Region</w:t>
            </w:r>
          </w:p>
        </w:tc>
      </w:tr>
    </w:tbl>
    <w:p w14:paraId="00100112" w14:textId="00100113">
      <w:r>
        <w:rPr>
          <w:b w:val="0"/>
          <w:i w:val="0"/>
          <w:sz w:val="22"/>
        </w:rPr>
      </w:r>
    </w:p>
    <w:p w14:paraId="00100114" w14:textId="00100115">
      <w:r>
        <w:rPr>
          <w:b w:val="0"/>
          <w:i w:val="0"/>
          <w:sz w:val="22"/>
        </w:rPr>
        <w:t>Zero missing values in key numeric columns after preprocessing.</w:t>
      </w:r>
    </w:p>
    <w:p w14:paraId="00100116" w14:textId="00100117">
      <w:r>
        <w:br w:type="page"/>
      </w:r>
    </w:p>
    <w:p w14:paraId="00100118" w14:textId="00100119">
      <w:pPr>
        <w:pStyle w:val="Heading1"/>
      </w:pPr>
      <w:r>
        <w:t>10. Exploratory Data Analysis</w:t>
      </w:r>
    </w:p>
    <w:p w14:paraId="0010011A" w14:textId="0010011B">
      <w:r>
        <w:rPr>
          <w:b w:val="0"/>
          <w:i w:val="0"/>
          <w:sz w:val="22"/>
        </w:rPr>
        <w:t>EDA covered 13 visualisations across customer, product, regional, discount, and temporal dimensions.</w:t>
      </w:r>
    </w:p>
    <w:p w14:paraId="0010011C" w14:textId="0010011D">
      <w:pPr>
        <w:jc w:val="center"/>
      </w:pPr>
      <w:r>
        <w:drawing>
          <wp:inline xmlns:a="http://schemas.openxmlformats.org/drawingml/2006/main" xmlns:pic="http://schemas.openxmlformats.org/drawingml/2006/picture">
            <wp:extent cx="5029200" cy="2484304"/>
            <wp:docPr id="1" name="Picture 1"/>
            <wp:cNvGraphicFramePr>
              <a:graphicFrameLocks noChangeAspect="1"/>
            </wp:cNvGraphicFramePr>
            <a:graphic>
              <a:graphicData uri="http://schemas.openxmlformats.org/drawingml/2006/picture">
                <pic:pic>
                  <pic:nvPicPr>
                    <pic:cNvPr id="0" name="sales_trend.png"/>
                    <pic:cNvPicPr/>
                  </pic:nvPicPr>
                  <pic:blipFill>
                    <a:blip r:embed="rId9"/>
                    <a:stretch>
                      <a:fillRect/>
                    </a:stretch>
                  </pic:blipFill>
                  <pic:spPr>
                    <a:xfrm>
                      <a:off x="0" y="0"/>
                      <a:ext cx="5029200" cy="2484304"/>
                    </a:xfrm>
                    <a:prstGeom prst="rect"/>
                  </pic:spPr>
                </pic:pic>
              </a:graphicData>
            </a:graphic>
          </wp:inline>
        </w:drawing>
      </w:r>
    </w:p>
    <w:p w14:paraId="0010011E" w14:textId="0010011F">
      <w:pPr>
        <w:jc w:val="center"/>
      </w:pPr>
      <w:r>
        <w:rPr>
          <w:b/>
          <w:color w:val="444444"/>
          <w:sz w:val="18"/>
        </w:rPr>
        <w:t>Figure 1: Monthly Sales and Profit Trends (2023-2026)</w:t>
      </w:r>
    </w:p>
    <w:p w14:paraId="00100120" w14:textId="00100121"/>
    <w:p w14:paraId="00100122" w14:textId="00100123">
      <w:r>
        <w:rPr>
          <w:b w:val="0"/>
          <w:i w:val="0"/>
          <w:sz w:val="22"/>
        </w:rPr>
        <w:t>Monthly sales show temporal variation. Green profit bars = profitable months; red bars = loss months.</w:t>
      </w:r>
    </w:p>
    <w:p w14:paraId="00100124" w14:textId="00100125">
      <w:pPr>
        <w:jc w:val="center"/>
      </w:pPr>
      <w:r>
        <w:drawing>
          <wp:inline xmlns:a="http://schemas.openxmlformats.org/drawingml/2006/main" xmlns:pic="http://schemas.openxmlformats.org/drawingml/2006/picture">
            <wp:extent cx="4114800" cy="2013626"/>
            <wp:docPr id="2" name="Picture 2"/>
            <wp:cNvGraphicFramePr>
              <a:graphicFrameLocks noChangeAspect="1"/>
            </wp:cNvGraphicFramePr>
            <a:graphic>
              <a:graphicData uri="http://schemas.openxmlformats.org/drawingml/2006/picture">
                <pic:pic>
                  <pic:nvPicPr>
                    <pic:cNvPr id="0" name="quarterly_sales.png"/>
                    <pic:cNvPicPr/>
                  </pic:nvPicPr>
                  <pic:blipFill>
                    <a:blip r:embed="rId10"/>
                    <a:stretch>
                      <a:fillRect/>
                    </a:stretch>
                  </pic:blipFill>
                  <pic:spPr>
                    <a:xfrm>
                      <a:off x="0" y="0"/>
                      <a:ext cx="4114800" cy="2013626"/>
                    </a:xfrm>
                    <a:prstGeom prst="rect"/>
                  </pic:spPr>
                </pic:pic>
              </a:graphicData>
            </a:graphic>
          </wp:inline>
        </w:drawing>
      </w:r>
    </w:p>
    <w:p w14:paraId="00100126" w14:textId="00100127">
      <w:pPr>
        <w:jc w:val="center"/>
      </w:pPr>
      <w:r>
        <w:rPr>
          <w:b/>
          <w:color w:val="444444"/>
          <w:sz w:val="18"/>
        </w:rPr>
        <w:t>Figure 2: Quarterly Sales by Year</w:t>
      </w:r>
    </w:p>
    <w:p w14:paraId="00100128" w14:textId="00100129"/>
    <w:p w14:paraId="0010012A" w14:textId="0010012B">
      <w:r>
        <w:rPr>
          <w:b w:val="0"/>
          <w:i w:val="0"/>
          <w:sz w:val="22"/>
        </w:rPr>
        <w:t>Quarterly analysis supports seasonality assessment across years.</w:t>
      </w:r>
    </w:p>
    <w:p w14:paraId="0010012C" w14:textId="0010012D">
      <w:r>
        <w:br w:type="page"/>
      </w:r>
    </w:p>
    <w:p w14:paraId="0010012E" w14:textId="0010012F">
      <w:pPr>
        <w:pStyle w:val="Heading1"/>
      </w:pPr>
      <w:r>
        <w:t>11. Business KPI Analysis</w:t>
      </w:r>
    </w:p>
    <w:p w14:paraId="00100130" w14:textId="00100131">
      <w:r>
        <w:rPr>
          <w:b w:val="0"/>
          <w:i w:val="0"/>
          <w:sz w:val="22"/>
        </w:rPr>
        <w:t>All KPI values are calculated directly from the actual dataset.</w:t>
      </w:r>
    </w:p>
    <w:tbl>
      <w:tblPr>
        <w:tblStyle w:val="TableGrid"/>
        <w:tblW w:w="0" w:type="auto"/>
        <w:tblLook w:val="04A0" w:firstRow="1" w:lastRow="0" w:firstColumn="1" w:lastColumn="0" w:noHBand="0" w:noVBand="1"/>
      </w:tblPr>
      <w:tblGrid>
        <w:gridCol w:w="4703"/>
        <w:gridCol w:w="4703"/>
      </w:tblGrid>
      <w:tr>
        <w:tc>
          <w:tcPr>
            <w:tcW w:w="4703" w:type="dxa"/>
          </w:tcPr>
          <w:p w14:paraId="00100132" w14:textId="00100133">
            <w:r>
              <w:rPr>
                <w:b/>
              </w:rPr>
              <w:t>KPI</w:t>
            </w:r>
          </w:p>
        </w:tc>
        <w:tc>
          <w:tcPr>
            <w:tcW w:w="4703" w:type="dxa"/>
          </w:tcPr>
          <w:p w14:paraId="00100134" w14:textId="00100135">
            <w:r>
              <w:rPr>
                <w:b/>
              </w:rPr>
              <w:t>Value</w:t>
            </w:r>
          </w:p>
        </w:tc>
      </w:tr>
      <w:tr>
        <w:tc>
          <w:tcPr>
            <w:tcW w:w="4703" w:type="dxa"/>
          </w:tcPr>
          <w:p w14:paraId="00100136" w14:textId="00100137">
            <w:r>
              <w:t>Total Sales</w:t>
            </w:r>
          </w:p>
        </w:tc>
        <w:tc>
          <w:tcPr>
            <w:tcW w:w="4703" w:type="dxa"/>
          </w:tcPr>
          <w:p w14:paraId="00100138" w14:textId="00100139">
            <w:r>
              <w:t>$2,326,534.35</w:t>
            </w:r>
          </w:p>
        </w:tc>
      </w:tr>
      <w:tr>
        <w:tc>
          <w:tcPr>
            <w:tcW w:w="4703" w:type="dxa"/>
          </w:tcPr>
          <w:p w14:paraId="0010013A" w14:textId="0010013B">
            <w:r>
              <w:t>Total Profit</w:t>
            </w:r>
          </w:p>
        </w:tc>
        <w:tc>
          <w:tcPr>
            <w:tcW w:w="4703" w:type="dxa"/>
          </w:tcPr>
          <w:p w14:paraId="0010013C" w14:textId="0010013D">
            <w:r>
              <w:t>$292,296.81</w:t>
            </w:r>
          </w:p>
        </w:tc>
      </w:tr>
      <w:tr>
        <w:tc>
          <w:tcPr>
            <w:tcW w:w="4703" w:type="dxa"/>
          </w:tcPr>
          <w:p w14:paraId="0010013E" w14:textId="0010013F">
            <w:r>
              <w:t>Total Quantity</w:t>
            </w:r>
          </w:p>
        </w:tc>
        <w:tc>
          <w:tcPr>
            <w:tcW w:w="4703" w:type="dxa"/>
          </w:tcPr>
          <w:p w14:paraId="00100140" w14:textId="00100141">
            <w:r>
              <w:t>38,654 units</w:t>
            </w:r>
          </w:p>
        </w:tc>
      </w:tr>
      <w:tr>
        <w:tc>
          <w:tcPr>
            <w:tcW w:w="4703" w:type="dxa"/>
          </w:tcPr>
          <w:p w14:paraId="00100142" w14:textId="00100143">
            <w:r>
              <w:t>No. of Unique Orders</w:t>
            </w:r>
          </w:p>
        </w:tc>
        <w:tc>
          <w:tcPr>
            <w:tcW w:w="4703" w:type="dxa"/>
          </w:tcPr>
          <w:p w14:paraId="00100144" w14:textId="00100145">
            <w:r>
              <w:t>5,111</w:t>
            </w:r>
          </w:p>
        </w:tc>
      </w:tr>
      <w:tr>
        <w:tc>
          <w:tcPr>
            <w:tcW w:w="4703" w:type="dxa"/>
          </w:tcPr>
          <w:p w14:paraId="00100146" w14:textId="00100147">
            <w:r>
              <w:t>No. of Unique Customers</w:t>
            </w:r>
          </w:p>
        </w:tc>
        <w:tc>
          <w:tcPr>
            <w:tcW w:w="4703" w:type="dxa"/>
          </w:tcPr>
          <w:p w14:paraId="00100148" w14:textId="00100149">
            <w:r>
              <w:t>804</w:t>
            </w:r>
          </w:p>
        </w:tc>
      </w:tr>
      <w:tr>
        <w:tc>
          <w:tcPr>
            <w:tcW w:w="4703" w:type="dxa"/>
          </w:tcPr>
          <w:p w14:paraId="0010014A" w14:textId="0010014B">
            <w:r>
              <w:t>Average Order Value</w:t>
            </w:r>
          </w:p>
        </w:tc>
        <w:tc>
          <w:tcPr>
            <w:tcW w:w="4703" w:type="dxa"/>
          </w:tcPr>
          <w:p w14:paraId="0010014C" w14:textId="0010014D">
            <w:r>
              <w:t>$455.20</w:t>
            </w:r>
          </w:p>
        </w:tc>
      </w:tr>
      <w:tr>
        <w:tc>
          <w:tcPr>
            <w:tcW w:w="4703" w:type="dxa"/>
          </w:tcPr>
          <w:p w14:paraId="0010014E" w14:textId="0010014F">
            <w:r>
              <w:t>Average Discount</w:t>
            </w:r>
          </w:p>
        </w:tc>
        <w:tc>
          <w:tcPr>
            <w:tcW w:w="4703" w:type="dxa"/>
          </w:tcPr>
          <w:p w14:paraId="00100150" w14:textId="0010028E">
            <w:r>
              <w:t xml:space="preserve">15.5%</w:t>
            </w:r>
          </w:p>
        </w:tc>
      </w:tr>
      <w:tr>
        <w:tc>
          <w:tcPr>
            <w:tcW w:w="4703" w:type="dxa"/>
          </w:tcPr>
          <w:p w14:paraId="00100152" w14:textId="00100153">
            <w:r>
              <w:t>Overall Profit Margin</w:t>
            </w:r>
          </w:p>
        </w:tc>
        <w:tc>
          <w:tcPr>
            <w:tcW w:w="4703" w:type="dxa"/>
          </w:tcPr>
          <w:p w14:paraId="00100154" w14:textId="00100155">
            <w:r>
              <w:t>12.6%</w:t>
            </w:r>
          </w:p>
        </w:tc>
      </w:tr>
    </w:tbl>
    <w:p w14:paraId="00100156" w14:textId="00100157"/>
    <w:p w14:paraId="00100158" w14:textId="00100159">
      <w:pPr>
        <w:jc w:val="center"/>
      </w:pPr>
      <w:r>
        <w:drawing>
          <wp:inline xmlns:a="http://schemas.openxmlformats.org/drawingml/2006/main" xmlns:pic="http://schemas.openxmlformats.org/drawingml/2006/picture">
            <wp:extent cx="5029200" cy="1505480"/>
            <wp:docPr id="3" name="Picture 3"/>
            <wp:cNvGraphicFramePr>
              <a:graphicFrameLocks noChangeAspect="1"/>
            </wp:cNvGraphicFramePr>
            <a:graphic>
              <a:graphicData uri="http://schemas.openxmlformats.org/drawingml/2006/picture">
                <pic:pic>
                  <pic:nvPicPr>
                    <pic:cNvPr id="0" name="kpi_dashboard.png"/>
                    <pic:cNvPicPr/>
                  </pic:nvPicPr>
                  <pic:blipFill>
                    <a:blip r:embed="rId11"/>
                    <a:stretch>
                      <a:fillRect/>
                    </a:stretch>
                  </pic:blipFill>
                  <pic:spPr>
                    <a:xfrm>
                      <a:off x="0" y="0"/>
                      <a:ext cx="5029200" cy="1505480"/>
                    </a:xfrm>
                    <a:prstGeom prst="rect"/>
                  </pic:spPr>
                </pic:pic>
              </a:graphicData>
            </a:graphic>
          </wp:inline>
        </w:drawing>
      </w:r>
    </w:p>
    <w:p w14:paraId="0010015A" w14:textId="0010015B">
      <w:pPr>
        <w:jc w:val="center"/>
      </w:pPr>
      <w:r>
        <w:rPr>
          <w:b/>
          <w:color w:val="444444"/>
          <w:sz w:val="18"/>
        </w:rPr>
        <w:t>Figure 3: InsightIQ Business KPI Dashboard</w:t>
      </w:r>
    </w:p>
    <w:p w14:paraId="0010015C" w14:textId="0010015D"/>
    <w:p w14:paraId="0010015E" w14:textId="0010028F">
      <w:r>
        <w:rPr>
          <w:b w:val="0"/>
          <w:i w:val="0"/>
          <w:sz w:val="22"/>
        </w:rPr>
        <w:t xml:space="preserve">The KPI dashboard shows 8 core business metrics as colored cards. Each card displays the metric value (large, bold) and label. The average discount of 15.5% warrants monitoring given its impact on profit margins.</w:t>
      </w:r>
    </w:p>
    <w:p w14:paraId="00100160" w14:textId="00100161">
      <w:r>
        <w:br w:type="page"/>
      </w:r>
    </w:p>
    <w:p w14:paraId="00100162" w14:textId="00100163">
      <w:pPr>
        <w:pStyle w:val="Heading1"/>
      </w:pPr>
      <w:r>
        <w:t>12. Customer Analytics</w:t>
      </w:r>
    </w:p>
    <w:p w14:paraId="00100164" w14:textId="00100165">
      <w:pPr>
        <w:jc w:val="center"/>
      </w:pPr>
      <w:r>
        <w:drawing>
          <wp:inline xmlns:a="http://schemas.openxmlformats.org/drawingml/2006/main" xmlns:pic="http://schemas.openxmlformats.org/drawingml/2006/picture">
            <wp:extent cx="5029200" cy="1299681"/>
            <wp:docPr id="4" name="Picture 4"/>
            <wp:cNvGraphicFramePr>
              <a:graphicFrameLocks noChangeAspect="1"/>
            </wp:cNvGraphicFramePr>
            <a:graphic>
              <a:graphicData uri="http://schemas.openxmlformats.org/drawingml/2006/picture">
                <pic:pic>
                  <pic:nvPicPr>
                    <pic:cNvPr id="0" name="customer_analytics.png"/>
                    <pic:cNvPicPr/>
                  </pic:nvPicPr>
                  <pic:blipFill>
                    <a:blip r:embed="rId12"/>
                    <a:stretch>
                      <a:fillRect/>
                    </a:stretch>
                  </pic:blipFill>
                  <pic:spPr>
                    <a:xfrm>
                      <a:off x="0" y="0"/>
                      <a:ext cx="5029200" cy="1299681"/>
                    </a:xfrm>
                    <a:prstGeom prst="rect"/>
                  </pic:spPr>
                </pic:pic>
              </a:graphicData>
            </a:graphic>
          </wp:inline>
        </w:drawing>
      </w:r>
    </w:p>
    <w:p w14:paraId="00100166" w14:textId="00100167">
      <w:pPr>
        <w:jc w:val="center"/>
      </w:pPr>
      <w:r>
        <w:rPr>
          <w:b/>
          <w:color w:val="444444"/>
          <w:sz w:val="18"/>
        </w:rPr>
        <w:t>Figure 4: Customer Analytics -- Distribution, Top Customers, Segment Performance</w:t>
      </w:r>
    </w:p>
    <w:p w14:paraId="00100168" w14:textId="00100169"/>
    <w:p w14:paraId="0010016A" w14:textId="0010016B">
      <w:r>
        <w:rPr>
          <w:b w:val="0"/>
          <w:i w:val="0"/>
          <w:sz w:val="22"/>
        </w:rPr>
        <w:t>Customer sales are right-skewed -- a small number of customers generate a large share of revenue. Consumer segment leads in total sales and profit. AOV: Home Office $473, Corporate $461, Consumer $445.</w:t>
      </w:r>
    </w:p>
    <w:p w14:paraId="0010016C" w14:textId="0010016D">
      <w:r>
        <w:br w:type="page"/>
      </w:r>
    </w:p>
    <w:p w14:paraId="0010016E" w14:textId="0010016F">
      <w:pPr>
        <w:pStyle w:val="Heading1"/>
      </w:pPr>
      <w:r>
        <w:t>13. Product and Category Analytics</w:t>
      </w:r>
    </w:p>
    <w:p w14:paraId="00100170" w14:textId="00100171">
      <w:pPr>
        <w:jc w:val="center"/>
      </w:pPr>
      <w:r>
        <w:drawing>
          <wp:inline xmlns:a="http://schemas.openxmlformats.org/drawingml/2006/main" xmlns:pic="http://schemas.openxmlformats.org/drawingml/2006/picture">
            <wp:extent cx="5029200" cy="1757190"/>
            <wp:docPr id="5" name="Picture 5"/>
            <wp:cNvGraphicFramePr>
              <a:graphicFrameLocks noChangeAspect="1"/>
            </wp:cNvGraphicFramePr>
            <a:graphic>
              <a:graphicData uri="http://schemas.openxmlformats.org/drawingml/2006/picture">
                <pic:pic>
                  <pic:nvPicPr>
                    <pic:cNvPr id="0" name="product_analytics.png"/>
                    <pic:cNvPicPr/>
                  </pic:nvPicPr>
                  <pic:blipFill>
                    <a:blip r:embed="rId13"/>
                    <a:stretch>
                      <a:fillRect/>
                    </a:stretch>
                  </pic:blipFill>
                  <pic:spPr>
                    <a:xfrm>
                      <a:off x="0" y="0"/>
                      <a:ext cx="5029200" cy="1757190"/>
                    </a:xfrm>
                    <a:prstGeom prst="rect"/>
                  </pic:spPr>
                </pic:pic>
              </a:graphicData>
            </a:graphic>
          </wp:inline>
        </w:drawing>
      </w:r>
    </w:p>
    <w:p w14:paraId="00100172" w14:textId="00100173">
      <w:pPr>
        <w:jc w:val="center"/>
      </w:pPr>
      <w:r>
        <w:rPr>
          <w:b/>
          <w:color w:val="444444"/>
          <w:sz w:val="18"/>
        </w:rPr>
        <w:t>Figure 5: Sub-Category Sales and Profit (Red = Net Loss)</w:t>
      </w:r>
    </w:p>
    <w:p w14:paraId="00100174" w14:textId="00100175"/>
    <w:p w14:paraId="00100176" w14:textId="00100177">
      <w:r>
        <w:rPr>
          <w:b w:val="0"/>
          <w:i w:val="0"/>
          <w:sz w:val="22"/>
        </w:rPr>
        <w:t>Technology leads in sales. Tables and Bookcases show negative total profit -- structural pricing or discount issues requiring investigation.</w:t>
      </w:r>
    </w:p>
    <w:p w14:paraId="00100178" w14:textId="00100179">
      <w:pPr>
        <w:jc w:val="center"/>
      </w:pPr>
      <w:r>
        <w:drawing>
          <wp:inline xmlns:a="http://schemas.openxmlformats.org/drawingml/2006/main" xmlns:pic="http://schemas.openxmlformats.org/drawingml/2006/picture">
            <wp:extent cx="5029200" cy="1393634"/>
            <wp:docPr id="6" name="Picture 6"/>
            <wp:cNvGraphicFramePr>
              <a:graphicFrameLocks noChangeAspect="1"/>
            </wp:cNvGraphicFramePr>
            <a:graphic>
              <a:graphicData uri="http://schemas.openxmlformats.org/drawingml/2006/picture">
                <pic:pic>
                  <pic:nvPicPr>
                    <pic:cNvPr id="0" name="top_products.png"/>
                    <pic:cNvPicPr/>
                  </pic:nvPicPr>
                  <pic:blipFill>
                    <a:blip r:embed="rId14"/>
                    <a:stretch>
                      <a:fillRect/>
                    </a:stretch>
                  </pic:blipFill>
                  <pic:spPr>
                    <a:xfrm>
                      <a:off x="0" y="0"/>
                      <a:ext cx="5029200" cy="1393634"/>
                    </a:xfrm>
                    <a:prstGeom prst="rect"/>
                  </pic:spPr>
                </pic:pic>
              </a:graphicData>
            </a:graphic>
          </wp:inline>
        </w:drawing>
      </w:r>
    </w:p>
    <w:p w14:paraId="0010017A" w14:textId="0010017B">
      <w:pPr>
        <w:jc w:val="center"/>
      </w:pPr>
      <w:r>
        <w:rPr>
          <w:b/>
          <w:color w:val="444444"/>
          <w:sz w:val="18"/>
        </w:rPr>
        <w:t>Figure 6: Top 10 Products by Sales and Profit</w:t>
      </w:r>
    </w:p>
    <w:p w14:paraId="0010017C" w14:textId="0010017D"/>
    <w:p w14:paraId="0010017E" w14:textId="0010017F">
      <w:r>
        <w:br w:type="page"/>
      </w:r>
    </w:p>
    <w:p w14:paraId="00100180" w14:textId="00100181">
      <w:pPr>
        <w:pStyle w:val="Heading1"/>
      </w:pPr>
      <w:r>
        <w:t>14. Regional Analytics</w:t>
      </w:r>
    </w:p>
    <w:p w14:paraId="00100182" w14:textId="00100183">
      <w:pPr>
        <w:jc w:val="center"/>
      </w:pPr>
      <w:r>
        <w:drawing>
          <wp:inline xmlns:a="http://schemas.openxmlformats.org/drawingml/2006/main" xmlns:pic="http://schemas.openxmlformats.org/drawingml/2006/picture">
            <wp:extent cx="5029200" cy="1393634"/>
            <wp:docPr id="7" name="Picture 7"/>
            <wp:cNvGraphicFramePr>
              <a:graphicFrameLocks noChangeAspect="1"/>
            </wp:cNvGraphicFramePr>
            <a:graphic>
              <a:graphicData uri="http://schemas.openxmlformats.org/drawingml/2006/picture">
                <pic:pic>
                  <pic:nvPicPr>
                    <pic:cNvPr id="0" name="regional_analytics.png"/>
                    <pic:cNvPicPr/>
                  </pic:nvPicPr>
                  <pic:blipFill>
                    <a:blip r:embed="rId15"/>
                    <a:stretch>
                      <a:fillRect/>
                    </a:stretch>
                  </pic:blipFill>
                  <pic:spPr>
                    <a:xfrm>
                      <a:off x="0" y="0"/>
                      <a:ext cx="5029200" cy="1393634"/>
                    </a:xfrm>
                    <a:prstGeom prst="rect"/>
                  </pic:spPr>
                </pic:pic>
              </a:graphicData>
            </a:graphic>
          </wp:inline>
        </w:drawing>
      </w:r>
    </w:p>
    <w:p w14:paraId="00100184" w14:textId="00100185">
      <w:pPr>
        <w:jc w:val="center"/>
      </w:pPr>
      <w:r>
        <w:rPr>
          <w:b/>
          <w:color w:val="444444"/>
          <w:sz w:val="18"/>
        </w:rPr>
        <w:t>Figure 7: Regional Sales, Profit, and Profit Margin</w:t>
      </w:r>
    </w:p>
    <w:p w14:paraId="00100186" w14:textId="00100187"/>
    <w:p w14:paraId="00100188" w14:textId="00100189">
      <w:r>
        <w:rPr>
          <w:b w:val="0"/>
          <w:i w:val="0"/>
          <w:sz w:val="22"/>
        </w:rPr>
        <w:t>West and East lead in total sales. Regional managers: West=Sadie Pawthorne, East=Chuck Magee, Central=Roxanne Rodriguez, South=Fred Suzuki.</w:t>
      </w:r>
    </w:p>
    <w:p w14:paraId="0010018A" w14:textId="0010018B">
      <w:r>
        <w:br w:type="page"/>
      </w:r>
    </w:p>
    <w:p w14:paraId="0010018C" w14:textId="0010018D">
      <w:pPr>
        <w:pStyle w:val="Heading1"/>
      </w:pPr>
      <w:r>
        <w:t>15. Discount and Profitability Analysis</w:t>
      </w:r>
    </w:p>
    <w:p w14:paraId="0010018E" w14:textId="0010018F">
      <w:r>
        <w:rPr>
          <w:b/>
          <w:i w:val="0"/>
          <w:sz w:val="22"/>
        </w:rPr>
        <w:t>IMPORTANT: All findings are observational. No causal relationships are claimed.</w:t>
      </w:r>
    </w:p>
    <w:p w14:paraId="00100190" w14:textId="00100191">
      <w:pPr>
        <w:jc w:val="center"/>
      </w:pPr>
      <w:r>
        <w:drawing>
          <wp:inline xmlns:a="http://schemas.openxmlformats.org/drawingml/2006/main" xmlns:pic="http://schemas.openxmlformats.org/drawingml/2006/picture">
            <wp:extent cx="5029200" cy="1299681"/>
            <wp:docPr id="8" name="Picture 8"/>
            <wp:cNvGraphicFramePr>
              <a:graphicFrameLocks noChangeAspect="1"/>
            </wp:cNvGraphicFramePr>
            <a:graphic>
              <a:graphicData uri="http://schemas.openxmlformats.org/drawingml/2006/picture">
                <pic:pic>
                  <pic:nvPicPr>
                    <pic:cNvPr id="0" name="discount_profitability.png"/>
                    <pic:cNvPicPr/>
                  </pic:nvPicPr>
                  <pic:blipFill>
                    <a:blip r:embed="rId16"/>
                    <a:stretch>
                      <a:fillRect/>
                    </a:stretch>
                  </pic:blipFill>
                  <pic:spPr>
                    <a:xfrm>
                      <a:off x="0" y="0"/>
                      <a:ext cx="5029200" cy="1299681"/>
                    </a:xfrm>
                    <a:prstGeom prst="rect"/>
                  </pic:spPr>
                </pic:pic>
              </a:graphicData>
            </a:graphic>
          </wp:inline>
        </w:drawing>
      </w:r>
    </w:p>
    <w:p w14:paraId="00100192" w14:textId="00100193">
      <w:pPr>
        <w:jc w:val="center"/>
      </w:pPr>
      <w:r>
        <w:rPr>
          <w:b/>
          <w:color w:val="444444"/>
          <w:sz w:val="18"/>
        </w:rPr>
        <w:t>Figure 8: Discount vs Profit Analysis</w:t>
      </w:r>
    </w:p>
    <w:p w14:paraId="00100194" w14:textId="00100195"/>
    <w:p w14:paraId="00100196" w14:textId="00100197">
      <w:r>
        <w:rPr>
          <w:b w:val="0"/>
          <w:i w:val="0"/>
          <w:sz w:val="22"/>
        </w:rPr>
        <w:t>Historical data shows that order lines with discounts above 20-30% are predominantly associated with negative or near-zero profit margins.</w:t>
      </w:r>
    </w:p>
    <w:p w14:paraId="00100198" w14:textId="00100199">
      <w:r>
        <w:br w:type="page"/>
      </w:r>
    </w:p>
    <w:p w14:paraId="0010019A" w14:textId="0010019B">
      <w:pPr>
        <w:pStyle w:val="Heading1"/>
      </w:pPr>
      <w:r>
        <w:t>16. Predictive Modelling</w:t>
      </w:r>
    </w:p>
    <w:p w14:paraId="0010019C" w14:textId="0010019D">
      <w:r>
        <w:rPr>
          <w:b w:val="0"/>
          <w:i w:val="0"/>
          <w:sz w:val="22"/>
        </w:rPr>
        <w:t>Three approaches evaluated for monthly sales prediction (chronological 75/25 split):</w:t>
      </w:r>
    </w:p>
    <w:tbl>
      <w:tblPr>
        <w:tblStyle w:val="TableGrid"/>
        <w:tblW w:w="0" w:type="auto"/>
        <w:tblLook w:val="04A0" w:firstRow="1" w:lastRow="0" w:firstColumn="1" w:lastColumn="0" w:noHBand="0" w:noVBand="1"/>
      </w:tblPr>
      <w:tblGrid>
        <w:gridCol w:w="3135"/>
        <w:gridCol w:w="3135"/>
        <w:gridCol w:w="3135"/>
      </w:tblGrid>
      <w:tr>
        <w:tc>
          <w:tcPr>
            <w:tcW w:w="3135" w:type="dxa"/>
          </w:tcPr>
          <w:p w14:paraId="0010019E" w14:textId="0010019F">
            <w:r>
              <w:rPr>
                <w:b/>
              </w:rPr>
              <w:t>Model</w:t>
            </w:r>
          </w:p>
        </w:tc>
        <w:tc>
          <w:tcPr>
            <w:tcW w:w="3135" w:type="dxa"/>
          </w:tcPr>
          <w:p w14:paraId="001001A0" w14:textId="001001A1">
            <w:r>
              <w:rPr>
                <w:b/>
              </w:rPr>
              <w:t>MAE ($)</w:t>
            </w:r>
          </w:p>
        </w:tc>
        <w:tc>
          <w:tcPr>
            <w:tcW w:w="3135" w:type="dxa"/>
          </w:tcPr>
          <w:p w14:paraId="001001A2" w14:textId="001001A3">
            <w:r>
              <w:rPr>
                <w:b/>
              </w:rPr>
              <w:t>RMSE ($)</w:t>
            </w:r>
          </w:p>
        </w:tc>
      </w:tr>
      <w:tr>
        <w:tc>
          <w:tcPr>
            <w:tcW w:w="3135" w:type="dxa"/>
          </w:tcPr>
          <w:p w14:paraId="001001A4" w14:textId="001001A5">
            <w:r>
              <w:t>Baseline (Lag-1)</w:t>
            </w:r>
          </w:p>
        </w:tc>
        <w:tc>
          <w:tcPr>
            <w:tcW w:w="3135" w:type="dxa"/>
          </w:tcPr>
          <w:p w14:paraId="001001A6" w14:textId="001001A7">
            <w:r>
              <w:t>23,320</w:t>
            </w:r>
          </w:p>
        </w:tc>
        <w:tc>
          <w:tcPr>
            <w:tcW w:w="3135" w:type="dxa"/>
          </w:tcPr>
          <w:p w14:paraId="001001A8" w14:textId="001001A9">
            <w:r>
              <w:t>27,467</w:t>
            </w:r>
          </w:p>
        </w:tc>
      </w:tr>
      <w:tr>
        <w:tc>
          <w:tcPr>
            <w:tcW w:w="3135" w:type="dxa"/>
          </w:tcPr>
          <w:p w14:paraId="001001AA" w14:textId="001001AB">
            <w:r>
              <w:t>Linear Regression</w:t>
            </w:r>
          </w:p>
        </w:tc>
        <w:tc>
          <w:tcPr>
            <w:tcW w:w="3135" w:type="dxa"/>
          </w:tcPr>
          <w:p w14:paraId="001001AC" w14:textId="001001AD">
            <w:r>
              <w:t>12,968</w:t>
            </w:r>
          </w:p>
        </w:tc>
        <w:tc>
          <w:tcPr>
            <w:tcW w:w="3135" w:type="dxa"/>
          </w:tcPr>
          <w:p w14:paraId="001001AE" w14:textId="001001AF">
            <w:r>
              <w:t>16,384</w:t>
            </w:r>
          </w:p>
        </w:tc>
      </w:tr>
      <w:tr>
        <w:tc>
          <w:tcPr>
            <w:tcW w:w="3135" w:type="dxa"/>
          </w:tcPr>
          <w:p w14:paraId="001001B0" w14:textId="001001B1">
            <w:r>
              <w:t>Random Forest</w:t>
            </w:r>
          </w:p>
        </w:tc>
        <w:tc>
          <w:tcPr>
            <w:tcW w:w="3135" w:type="dxa"/>
          </w:tcPr>
          <w:p w14:paraId="001001B2" w14:textId="001001B3">
            <w:r>
              <w:t>13,897</w:t>
            </w:r>
          </w:p>
        </w:tc>
        <w:tc>
          <w:tcPr>
            <w:tcW w:w="3135" w:type="dxa"/>
          </w:tcPr>
          <w:p w14:paraId="001001B4" w14:textId="001001B5">
            <w:r>
              <w:t>16,945</w:t>
            </w:r>
          </w:p>
        </w:tc>
      </w:tr>
    </w:tbl>
    <w:p w14:paraId="001001B6" w14:textId="001001B7">
      <w:r>
        <w:rPr>
          <w:b w:val="0"/>
          <w:i w:val="0"/>
          <w:sz w:val="22"/>
        </w:rPr>
      </w:r>
    </w:p>
    <w:p w14:paraId="001001B8" w14:textId="001001B9">
      <w:r>
        <w:rPr>
          <w:b/>
          <w:i w:val="0"/>
          <w:sz w:val="22"/>
        </w:rPr>
        <w:t>Best model: Linear Regression | MAE: $12,968 | RMSE: $16,384 | MAPE: 23.5%</w:t>
      </w:r>
    </w:p>
    <w:p w14:paraId="001001BA" w14:textId="001001BB">
      <w:r>
        <w:rPr>
          <w:b w:val="0"/>
          <w:i/>
          <w:sz w:val="22"/>
        </w:rPr>
        <w:t>All metrics from actual held-out test set. Predictions are estimates, not guarantees.</w:t>
      </w:r>
    </w:p>
    <w:p w14:paraId="001001BC" w14:textId="001001BD">
      <w:pPr>
        <w:pStyle w:val="Heading2"/>
      </w:pPr>
      <w:r>
        <w:t>17. Model Evaluation</w:t>
      </w:r>
    </w:p>
    <w:p w14:paraId="001001BE" w14:textId="001001BF">
      <w:pPr>
        <w:jc w:val="center"/>
      </w:pPr>
      <w:r>
        <w:drawing>
          <wp:inline xmlns:a="http://schemas.openxmlformats.org/drawingml/2006/main" xmlns:pic="http://schemas.openxmlformats.org/drawingml/2006/picture">
            <wp:extent cx="5029200" cy="1393634"/>
            <wp:docPr id="9" name="Picture 9"/>
            <wp:cNvGraphicFramePr>
              <a:graphicFrameLocks noChangeAspect="1"/>
            </wp:cNvGraphicFramePr>
            <a:graphic>
              <a:graphicData uri="http://schemas.openxmlformats.org/drawingml/2006/picture">
                <pic:pic>
                  <pic:nvPicPr>
                    <pic:cNvPr id="0" name="model_evaluation.png"/>
                    <pic:cNvPicPr/>
                  </pic:nvPicPr>
                  <pic:blipFill>
                    <a:blip r:embed="rId17"/>
                    <a:stretch>
                      <a:fillRect/>
                    </a:stretch>
                  </pic:blipFill>
                  <pic:spPr>
                    <a:xfrm>
                      <a:off x="0" y="0"/>
                      <a:ext cx="5029200" cy="1393634"/>
                    </a:xfrm>
                    <a:prstGeom prst="rect"/>
                  </pic:spPr>
                </pic:pic>
              </a:graphicData>
            </a:graphic>
          </wp:inline>
        </w:drawing>
      </w:r>
    </w:p>
    <w:p w14:paraId="001001C0" w14:textId="001001C1">
      <w:pPr>
        <w:jc w:val="center"/>
      </w:pPr>
      <w:r>
        <w:rPr>
          <w:b/>
          <w:color w:val="444444"/>
          <w:sz w:val="18"/>
        </w:rPr>
        <w:t>Figure 9: Actual vs Predicted Monthly Sales and Residuals</w:t>
      </w:r>
    </w:p>
    <w:p w14:paraId="001001C2" w14:textId="001001C3"/>
    <w:p w14:paraId="001001C4" w14:textId="001001C5">
      <w:r>
        <w:br w:type="page"/>
      </w:r>
    </w:p>
    <w:p w14:paraId="001001C6" w14:textId="001001C7">
      <w:pPr>
        <w:pStyle w:val="Heading1"/>
      </w:pPr>
      <w:r>
        <w:t>18. Explainable ML -- Feature Importance</w:t>
      </w:r>
    </w:p>
    <w:p w14:paraId="001001C8" w14:textId="001001C9">
      <w:pPr>
        <w:jc w:val="center"/>
      </w:pPr>
      <w:r>
        <w:drawing>
          <wp:inline xmlns:a="http://schemas.openxmlformats.org/drawingml/2006/main" xmlns:pic="http://schemas.openxmlformats.org/drawingml/2006/picture">
            <wp:extent cx="4114800" cy="2013626"/>
            <wp:docPr id="10" name="Picture 10"/>
            <wp:cNvGraphicFramePr>
              <a:graphicFrameLocks noChangeAspect="1"/>
            </wp:cNvGraphicFramePr>
            <a:graphic>
              <a:graphicData uri="http://schemas.openxmlformats.org/drawingml/2006/picture">
                <pic:pic>
                  <pic:nvPicPr>
                    <pic:cNvPr id="0" name="feature_importance.png"/>
                    <pic:cNvPicPr/>
                  </pic:nvPicPr>
                  <pic:blipFill>
                    <a:blip r:embed="rId18"/>
                    <a:stretch>
                      <a:fillRect/>
                    </a:stretch>
                  </pic:blipFill>
                  <pic:spPr>
                    <a:xfrm>
                      <a:off x="0" y="0"/>
                      <a:ext cx="4114800" cy="2013626"/>
                    </a:xfrm>
                    <a:prstGeom prst="rect"/>
                  </pic:spPr>
                </pic:pic>
              </a:graphicData>
            </a:graphic>
          </wp:inline>
        </w:drawing>
      </w:r>
    </w:p>
    <w:p w14:paraId="001001CA" w14:textId="001001CB">
      <w:pPr>
        <w:jc w:val="center"/>
      </w:pPr>
      <w:r>
        <w:rPr>
          <w:b/>
          <w:color w:val="444444"/>
          <w:sz w:val="18"/>
        </w:rPr>
        <w:t>Figure 10: Random Forest Feature Importance</w:t>
      </w:r>
    </w:p>
    <w:p w14:paraId="001001CC" w14:textId="001001CD"/>
    <w:p w14:paraId="001001CE" w14:textId="001001CF">
      <w:r>
        <w:rPr>
          <w:b w:val="0"/>
          <w:i w:val="0"/>
          <w:sz w:val="22"/>
        </w:rPr>
        <w:t>Sales lag features (Lag-1, Lag-2, Lag-3) are most influential -- capturing momentum. Temporal features (Year, Quarter, Month) capture trend and seasonality.</w:t>
      </w:r>
    </w:p>
    <w:p w14:paraId="001001D0" w14:textId="001001D1">
      <w:r>
        <w:rPr>
          <w:b/>
          <w:i w:val="0"/>
          <w:sz w:val="22"/>
        </w:rPr>
        <w:t>IMPORTANT: Feature importance does not prove causality.</w:t>
      </w:r>
    </w:p>
    <w:p w14:paraId="001001D2" w14:textId="001001D3">
      <w:r>
        <w:br w:type="page"/>
      </w:r>
    </w:p>
    <w:p w14:paraId="001001D4" w14:textId="001001D5">
      <w:pPr>
        <w:pStyle w:val="Heading1"/>
      </w:pPr>
      <w:r>
        <w:t>19. Anomaly Detection</w:t>
      </w:r>
    </w:p>
    <w:p w14:paraId="001001D6" w14:textId="001001D7">
      <w:r>
        <w:rPr>
          <w:b w:val="0"/>
          <w:i w:val="0"/>
          <w:sz w:val="22"/>
        </w:rPr>
        <w:t>Isolation Forest applied at transaction level (contamination=3%) and monthly level (10%). An anomaly deviates substantially from the learned pattern -- not automatically an error or fraud.</w:t>
      </w:r>
    </w:p>
    <w:p w14:paraId="001001D8" w14:textId="001001D9">
      <w:pPr>
        <w:jc w:val="center"/>
      </w:pPr>
      <w:r>
        <w:drawing>
          <wp:inline xmlns:a="http://schemas.openxmlformats.org/drawingml/2006/main" xmlns:pic="http://schemas.openxmlformats.org/drawingml/2006/picture">
            <wp:extent cx="5029200" cy="1396157"/>
            <wp:docPr id="11" name="Picture 11"/>
            <wp:cNvGraphicFramePr>
              <a:graphicFrameLocks noChangeAspect="1"/>
            </wp:cNvGraphicFramePr>
            <a:graphic>
              <a:graphicData uri="http://schemas.openxmlformats.org/drawingml/2006/picture">
                <pic:pic>
                  <pic:nvPicPr>
                    <pic:cNvPr id="0" name="anomaly_detection.png"/>
                    <pic:cNvPicPr/>
                  </pic:nvPicPr>
                  <pic:blipFill>
                    <a:blip r:embed="rId19"/>
                    <a:stretch>
                      <a:fillRect/>
                    </a:stretch>
                  </pic:blipFill>
                  <pic:spPr>
                    <a:xfrm>
                      <a:off x="0" y="0"/>
                      <a:ext cx="5029200" cy="1396157"/>
                    </a:xfrm>
                    <a:prstGeom prst="rect"/>
                  </pic:spPr>
                </pic:pic>
              </a:graphicData>
            </a:graphic>
          </wp:inline>
        </w:drawing>
      </w:r>
    </w:p>
    <w:p w14:paraId="001001DA" w14:textId="001001DB">
      <w:pPr>
        <w:jc w:val="center"/>
      </w:pPr>
      <w:r>
        <w:rPr>
          <w:b/>
          <w:color w:val="444444"/>
          <w:sz w:val="18"/>
        </w:rPr>
        <w:t>Figure 11: Anomaly Detection -- Transaction and Monthly Level</w:t>
      </w:r>
    </w:p>
    <w:p w14:paraId="001001DC" w14:textId="001001DD"/>
    <w:p w14:paraId="001001DE" w14:textId="001001DF">
      <w:r>
        <w:rPr>
          <w:b w:val="0"/>
          <w:i w:val="0"/>
          <w:sz w:val="22"/>
        </w:rPr>
        <w:t>306 anomalous transactions detected (3.0% of all transactions).</w:t>
      </w:r>
    </w:p>
    <w:p w14:paraId="001001E0" w14:textId="001001E1">
      <w:r>
        <w:br w:type="page"/>
      </w:r>
    </w:p>
    <w:p w14:paraId="001001E2" w14:textId="001001E3">
      <w:pPr>
        <w:pStyle w:val="Heading1"/>
      </w:pPr>
      <w:r>
        <w:t>20. Business Risk Analysis</w:t>
      </w:r>
    </w:p>
    <w:p w14:paraId="001001E4" w14:textId="001001E5">
      <w:pPr>
        <w:pStyle w:val="ListBullet"/>
      </w:pPr>
      <w:r>
        <w:t>Risk 1: High Discount (&gt;=30%) + Loss Lines -- Direct margin erosion.</w:t>
      </w:r>
    </w:p>
    <w:p w14:paraId="001001E6" w14:textId="001001E7">
      <w:pPr>
        <w:pStyle w:val="ListBullet"/>
      </w:pPr>
      <w:r>
        <w:t>Risk 2: Loss Sub-Categories -- Tables and Bookcases report negative total profit.</w:t>
      </w:r>
    </w:p>
    <w:p w14:paraId="001001E8" w14:textId="001001E9">
      <w:pPr>
        <w:pStyle w:val="ListBullet"/>
      </w:pPr>
      <w:r>
        <w:t>Risk 3: Below-Median Margin Regions -- Warrant review of local discount practices.</w:t>
      </w:r>
    </w:p>
    <w:p w14:paraId="001001EA" w14:textId="001001EB">
      <w:pPr>
        <w:pStyle w:val="ListBullet"/>
      </w:pPr>
      <w:r>
        <w:t>Risk 4: Anomalous Transactions -- 306 transactions require business investigation.</w:t>
      </w:r>
    </w:p>
    <w:p w14:paraId="001001EC" w14:textId="001001ED">
      <w:r>
        <w:br w:type="page"/>
      </w:r>
    </w:p>
    <w:p w14:paraId="001001EE" w14:textId="001001EF">
      <w:pPr>
        <w:pStyle w:val="Heading1"/>
      </w:pPr>
      <w:r>
        <w:t>21. Returns Analysis</w:t>
      </w:r>
    </w:p>
    <w:tbl>
      <w:tblPr>
        <w:tblStyle w:val="TableGrid"/>
        <w:tblW w:w="0" w:type="auto"/>
        <w:tblLook w:val="04A0" w:firstRow="1" w:lastRow="0" w:firstColumn="1" w:lastColumn="0" w:noHBand="0" w:noVBand="1"/>
      </w:tblPr>
      <w:tblGrid>
        <w:gridCol w:w="4703"/>
        <w:gridCol w:w="4703"/>
      </w:tblGrid>
      <w:tr>
        <w:tc>
          <w:tcPr>
            <w:tcW w:w="4703" w:type="dxa"/>
          </w:tcPr>
          <w:p w14:paraId="001001F0" w14:textId="001001F1">
            <w:r>
              <w:rPr>
                <w:b/>
              </w:rPr>
              <w:t>Metric</w:t>
            </w:r>
          </w:p>
        </w:tc>
        <w:tc>
          <w:tcPr>
            <w:tcW w:w="4703" w:type="dxa"/>
          </w:tcPr>
          <w:p w14:paraId="001001F2" w14:textId="001001F3">
            <w:r>
              <w:rPr>
                <w:b/>
              </w:rPr>
              <w:t>Value</w:t>
            </w:r>
          </w:p>
        </w:tc>
      </w:tr>
      <w:tr>
        <w:tc>
          <w:tcPr>
            <w:tcW w:w="4703" w:type="dxa"/>
          </w:tcPr>
          <w:p w14:paraId="001001F4" w14:textId="001001F5">
            <w:r>
              <w:t>Returned Orders (Returns sheet)</w:t>
            </w:r>
          </w:p>
        </w:tc>
        <w:tc>
          <w:tcPr>
            <w:tcW w:w="4703" w:type="dxa"/>
          </w:tcPr>
          <w:p w14:paraId="001001F6" w14:textId="001001F7">
            <w:r>
              <w:t>296</w:t>
            </w:r>
          </w:p>
        </w:tc>
      </w:tr>
      <w:tr>
        <w:tc>
          <w:tcPr>
            <w:tcW w:w="4703" w:type="dxa"/>
          </w:tcPr>
          <w:p w14:paraId="001001F8" w14:textId="001001F9">
            <w:r>
              <w:t>Total Unique Orders</w:t>
            </w:r>
          </w:p>
        </w:tc>
        <w:tc>
          <w:tcPr>
            <w:tcW w:w="4703" w:type="dxa"/>
          </w:tcPr>
          <w:p w14:paraId="001001FA" w14:textId="001001FB">
            <w:r>
              <w:t>5,111</w:t>
            </w:r>
          </w:p>
        </w:tc>
      </w:tr>
      <w:tr>
        <w:tc>
          <w:tcPr>
            <w:tcW w:w="4703" w:type="dxa"/>
          </w:tcPr>
          <w:p w14:paraId="001001FC" w14:textId="001001FD">
            <w:r>
              <w:t>Order-Level Return Rate</w:t>
            </w:r>
          </w:p>
        </w:tc>
        <w:tc>
          <w:tcPr>
            <w:tcW w:w="4703" w:type="dxa"/>
          </w:tcPr>
          <w:p w14:paraId="001001FE" w14:textId="001001FF">
            <w:r>
              <w:t>5.8%</w:t>
            </w:r>
          </w:p>
        </w:tc>
      </w:tr>
    </w:tbl>
    <w:p w14:paraId="00100200" w14:textId="00100201"/>
    <w:p w14:paraId="00100202" w14:textId="00100203">
      <w:pPr>
        <w:jc w:val="center"/>
      </w:pPr>
      <w:r>
        <w:drawing>
          <wp:inline xmlns:a="http://schemas.openxmlformats.org/drawingml/2006/main" xmlns:pic="http://schemas.openxmlformats.org/drawingml/2006/picture">
            <wp:extent cx="5029200" cy="1393634"/>
            <wp:docPr id="12" name="Picture 12"/>
            <wp:cNvGraphicFramePr>
              <a:graphicFrameLocks noChangeAspect="1"/>
            </wp:cNvGraphicFramePr>
            <a:graphic>
              <a:graphicData uri="http://schemas.openxmlformats.org/drawingml/2006/picture">
                <pic:pic>
                  <pic:nvPicPr>
                    <pic:cNvPr id="0" name="returns_analysis.png"/>
                    <pic:cNvPicPr/>
                  </pic:nvPicPr>
                  <pic:blipFill>
                    <a:blip r:embed="rId20"/>
                    <a:stretch>
                      <a:fillRect/>
                    </a:stretch>
                  </pic:blipFill>
                  <pic:spPr>
                    <a:xfrm>
                      <a:off x="0" y="0"/>
                      <a:ext cx="5029200" cy="1393634"/>
                    </a:xfrm>
                    <a:prstGeom prst="rect"/>
                  </pic:spPr>
                </pic:pic>
              </a:graphicData>
            </a:graphic>
          </wp:inline>
        </w:drawing>
      </w:r>
    </w:p>
    <w:p w14:paraId="00100204" w14:textId="00100205">
      <w:pPr>
        <w:jc w:val="center"/>
      </w:pPr>
      <w:r>
        <w:rPr>
          <w:b/>
          <w:color w:val="444444"/>
          <w:sz w:val="18"/>
        </w:rPr>
        <w:t>Figure 12: Return Rate by Category, Region, and Segment</w:t>
      </w:r>
    </w:p>
    <w:p w14:paraId="00100206" w14:textId="00100207"/>
    <w:p w14:paraId="00100208" w14:textId="00100209">
      <w:r>
        <w:rPr>
          <w:b w:val="0"/>
          <w:i w:val="0"/>
          <w:sz w:val="22"/>
        </w:rPr>
        <w:t>Return rate measured at ORDER level to avoid double-counting multi-line returns.</w:t>
      </w:r>
    </w:p>
    <w:p w14:paraId="0010020A" w14:textId="0010020B">
      <w:r>
        <w:br w:type="page"/>
      </w:r>
    </w:p>
    <w:p w14:paraId="0010020C" w14:textId="0010020D">
      <w:pPr>
        <w:pStyle w:val="Heading1"/>
      </w:pPr>
      <w:r>
        <w:t>22. InsightIQ Decision Simulator</w:t>
      </w:r>
    </w:p>
    <w:p w14:paraId="0010020E" w14:textId="0010020F">
      <w:r>
        <w:rPr>
          <w:b w:val="0"/>
          <w:i w:val="0"/>
          <w:sz w:val="22"/>
        </w:rPr>
        <w:t>Uses Random Forest models trained on order-line data to estimate Sales, Profit, and Margin under different discount scenarios.</w:t>
      </w:r>
    </w:p>
    <w:p w14:paraId="00100210" w14:textId="00100211">
      <w:r>
        <w:rPr>
          <w:b/>
          <w:i w:val="0"/>
          <w:sz w:val="22"/>
        </w:rPr>
        <w:t>IMPORTANT: Model-based scenario projections from historical data. Not causal guarantees.</w:t>
      </w:r>
    </w:p>
    <w:p w14:paraId="00100212" w14:textId="00100213">
      <w:pPr>
        <w:pStyle w:val="Heading2"/>
      </w:pPr>
      <w:r>
        <w:t>23. Scenario Comparison</w:t>
      </w:r>
    </w:p>
    <w:p w14:paraId="00100214" w14:textId="00100215">
      <w:pPr>
        <w:jc w:val="center"/>
      </w:pPr>
      <w:r>
        <w:drawing>
          <wp:inline xmlns:a="http://schemas.openxmlformats.org/drawingml/2006/main" xmlns:pic="http://schemas.openxmlformats.org/drawingml/2006/picture">
            <wp:extent cx="5029200" cy="1751744"/>
            <wp:docPr id="13" name="Picture 13"/>
            <wp:cNvGraphicFramePr>
              <a:graphicFrameLocks noChangeAspect="1"/>
            </wp:cNvGraphicFramePr>
            <a:graphic>
              <a:graphicData uri="http://schemas.openxmlformats.org/drawingml/2006/picture">
                <pic:pic>
                  <pic:nvPicPr>
                    <pic:cNvPr id="0" name="scenario_comparison.png"/>
                    <pic:cNvPicPr/>
                  </pic:nvPicPr>
                  <pic:blipFill>
                    <a:blip r:embed="rId21"/>
                    <a:stretch>
                      <a:fillRect/>
                    </a:stretch>
                  </pic:blipFill>
                  <pic:spPr>
                    <a:xfrm>
                      <a:off x="0" y="0"/>
                      <a:ext cx="5029200" cy="1751744"/>
                    </a:xfrm>
                    <a:prstGeom prst="rect"/>
                  </pic:spPr>
                </pic:pic>
              </a:graphicData>
            </a:graphic>
          </wp:inline>
        </w:drawing>
      </w:r>
    </w:p>
    <w:p w14:paraId="00100216" w14:textId="00100217">
      <w:pPr>
        <w:jc w:val="center"/>
      </w:pPr>
      <w:r>
        <w:rPr>
          <w:b/>
          <w:color w:val="444444"/>
          <w:sz w:val="18"/>
        </w:rPr>
        <w:t>Figure 13: InsightIQ Decision Simulator -- Discount Scenario Comparison</w:t>
      </w:r>
    </w:p>
    <w:p w14:paraId="00100218" w14:textId="00100219"/>
    <w:p w14:paraId="0010021A" w14:textId="0010021B">
      <w:r>
        <w:rPr>
          <w:b w:val="0"/>
          <w:i w:val="0"/>
          <w:sz w:val="22"/>
        </w:rPr>
        <w:t>Context: Technology | West | Consumer | Qty=3. Under model assumptions, higher discount scenarios are associated with lower estimated profit. These are projections, not guarantees.</w:t>
      </w:r>
    </w:p>
    <w:p w14:paraId="0010021C" w14:textId="0010021D">
      <w:r>
        <w:br w:type="page"/>
      </w:r>
    </w:p>
    <w:p w14:paraId="0010021E" w14:textId="0010021F">
      <w:pPr>
        <w:pStyle w:val="Heading1"/>
      </w:pPr>
      <w:r>
        <w:t>24. Key Findings</w:t>
      </w:r>
    </w:p>
    <w:p w14:paraId="00100220" w14:textId="00100221">
      <w:pPr>
        <w:pStyle w:val="Heading2"/>
      </w:pPr>
      <w:r>
        <w:t>A. Observed Findings (from historical data)</w:t>
      </w:r>
    </w:p>
    <w:p w14:paraId="00100222" w14:textId="00100223">
      <w:pPr>
        <w:pStyle w:val="ListBullet"/>
      </w:pPr>
      <w:r>
        <w:t>Total sales $2,326,534 across 5,111 orders from 804 customers (2023-2026)</w:t>
      </w:r>
    </w:p>
    <w:p w14:paraId="00100224" w14:textId="00100225">
      <w:pPr>
        <w:pStyle w:val="ListBullet"/>
      </w:pPr>
      <w:r>
        <w:t>Overall profit margin: 12.6%</w:t>
      </w:r>
    </w:p>
    <w:p w14:paraId="00100226" w14:textId="00100227">
      <w:pPr>
        <w:pStyle w:val="ListBullet"/>
      </w:pPr>
      <w:r>
        <w:t>Technology is highest-revenue; Tables and Bookcases have negative total profit</w:t>
      </w:r>
    </w:p>
    <w:p w14:paraId="00100228" w14:textId="00100229">
      <w:pPr>
        <w:pStyle w:val="ListBullet"/>
      </w:pPr>
      <w:r>
        <w:t>Lines with discount &gt;=30% are predominantly associated with negative profit</w:t>
      </w:r>
    </w:p>
    <w:p w14:paraId="0010022A" w14:textId="0010022B">
      <w:pPr>
        <w:pStyle w:val="ListBullet"/>
      </w:pPr>
      <w:r>
        <w:t>296 returned orders = 5.8% order-level return rate</w:t>
      </w:r>
    </w:p>
    <w:p w14:paraId="0010022C" w14:textId="0010022D">
      <w:pPr>
        <w:pStyle w:val="Heading2"/>
      </w:pPr>
      <w:r>
        <w:t>B. Predictive Findings (model estimates)</w:t>
      </w:r>
    </w:p>
    <w:p w14:paraId="0010022E" w14:textId="0010022F">
      <w:pPr>
        <w:pStyle w:val="ListBullet"/>
      </w:pPr>
      <w:r>
        <w:t>Linear Regression: test MAE $12,968, RMSE $16,384, MAPE 23.5%</w:t>
      </w:r>
    </w:p>
    <w:p w14:paraId="00100230" w14:textId="00100231">
      <w:pPr>
        <w:pStyle w:val="ListBullet"/>
      </w:pPr>
      <w:r>
        <w:t>Sales lag features are the most influential predictors (not causality)</w:t>
      </w:r>
    </w:p>
    <w:p w14:paraId="00100232" w14:textId="00100233">
      <w:pPr>
        <w:pStyle w:val="Heading2"/>
      </w:pPr>
      <w:r>
        <w:t>C. Anomaly Findings</w:t>
      </w:r>
    </w:p>
    <w:p w14:paraId="00100234" w14:textId="00100235">
      <w:pPr>
        <w:pStyle w:val="ListBullet"/>
      </w:pPr>
      <w:r>
        <w:t>306 anomalous transactions (3.0%) flagged by Isolation Forest -- require investigation</w:t>
      </w:r>
    </w:p>
    <w:p w14:paraId="00100236" w14:textId="00100237">
      <w:pPr>
        <w:pStyle w:val="Heading2"/>
      </w:pPr>
      <w:r>
        <w:t>D. Scenario Estimates</w:t>
      </w:r>
    </w:p>
    <w:p w14:paraId="00100238" w14:textId="00100239">
      <w:pPr>
        <w:pStyle w:val="ListBullet"/>
      </w:pPr>
      <w:r>
        <w:t>Under model assumptions, higher discount scenarios are associated with lower estimated profit. These are projections, not causal guarantees.</w:t>
      </w:r>
    </w:p>
    <w:p w14:paraId="0010023A" w14:textId="0010023B">
      <w:r>
        <w:br w:type="page"/>
      </w:r>
    </w:p>
    <w:p w14:paraId="0010023C" w14:textId="0010023D">
      <w:pPr>
        <w:pStyle w:val="Heading1"/>
      </w:pPr>
      <w:r>
        <w:t>25. Business Recommendations</w:t>
      </w:r>
    </w:p>
    <w:p w14:paraId="0010023E" w14:textId="0010023F">
      <w:r>
        <w:rPr>
          <w:b w:val="0"/>
          <w:i/>
          <w:sz w:val="22"/>
        </w:rPr>
        <w:t>Data-supported suggestions for human review. Require domain expertise before implementation.</w:t>
      </w:r>
    </w:p>
    <w:p w14:paraId="00100240" w14:textId="00100241">
      <w:pPr>
        <w:pStyle w:val="ListBullet"/>
      </w:pPr>
      <w:r>
        <w:t>R1. Discount Strategy Review -- Transactions with discounts &gt;=30% are predominantly loss-making.</w:t>
      </w:r>
    </w:p>
    <w:p w14:paraId="00100242" w14:textId="00100243">
      <w:pPr>
        <w:pStyle w:val="ListBullet"/>
      </w:pPr>
      <w:r>
        <w:t>R2. Sub-Category Investigation -- Tables and Bookcases have negative total profit.</w:t>
      </w:r>
    </w:p>
    <w:p w14:paraId="00100244" w14:textId="00100245">
      <w:pPr>
        <w:pStyle w:val="ListBullet"/>
      </w:pPr>
      <w:r>
        <w:t>R3. Anomaly Investigation -- 306 anomalous transactions require root-cause review.</w:t>
      </w:r>
    </w:p>
    <w:p w14:paraId="00100246" w14:textId="00100247">
      <w:pPr>
        <w:pStyle w:val="ListBullet"/>
      </w:pPr>
      <w:r>
        <w:t>R4. Return Rate Monitoring -- Track as KPI; investigate high-return areas.</w:t>
      </w:r>
    </w:p>
    <w:p w14:paraId="00100248" w14:textId="00100249">
      <w:pPr>
        <w:pStyle w:val="ListBullet"/>
      </w:pPr>
      <w:r>
        <w:t>R5. Regional Alignment -- Below-median margin regions warrant review.</w:t>
      </w:r>
    </w:p>
    <w:p w14:paraId="0010024A" w14:textId="0010024B">
      <w:pPr>
        <w:pStyle w:val="ListBullet"/>
      </w:pPr>
      <w:r>
        <w:t>R6. Forecasting Integration -- Use predictive model to support planning; retrain regularly.</w:t>
      </w:r>
    </w:p>
    <w:p w14:paraId="0010024C" w14:textId="0010024D">
      <w:r>
        <w:br w:type="page"/>
      </w:r>
    </w:p>
    <w:p w14:paraId="0010024E" w14:textId="0010024F">
      <w:pPr>
        <w:pStyle w:val="Heading1"/>
      </w:pPr>
      <w:r>
        <w:t>26. Limitations</w:t>
      </w:r>
    </w:p>
    <w:p w14:paraId="00100250" w14:textId="00100251">
      <w:pPr>
        <w:pStyle w:val="ListBullet"/>
      </w:pPr>
      <w:r>
        <w:t>All findings are observational -- no causal claims can be made</w:t>
      </w:r>
    </w:p>
    <w:p w14:paraId="00100252" w14:textId="00100253">
      <w:pPr>
        <w:pStyle w:val="ListBullet"/>
      </w:pPr>
      <w:r>
        <w:t>Monthly sales model uses only ~48 observations</w:t>
      </w:r>
    </w:p>
    <w:p w14:paraId="00100254" w14:textId="00100255">
      <w:pPr>
        <w:pStyle w:val="ListBullet"/>
      </w:pPr>
      <w:r>
        <w:t>Decision Simulator does not model complex customer behavioural responses to discount changes</w:t>
      </w:r>
    </w:p>
    <w:p w14:paraId="00100256" w14:textId="00100257">
      <w:pPr>
        <w:pStyle w:val="ListBullet"/>
      </w:pPr>
      <w:r>
        <w:t>Isolation Forest contamination (3%) is an assumption</w:t>
      </w:r>
    </w:p>
    <w:p w14:paraId="00100258" w14:textId="00100259">
      <w:pPr>
        <w:pStyle w:val="ListBullet"/>
      </w:pPr>
      <w:r>
        <w:t>Returns data provides Order ID only -- no reason codes or cost data</w:t>
      </w:r>
    </w:p>
    <w:p w14:paraId="0010025A" w14:textId="0010025B">
      <w:pPr>
        <w:pStyle w:val="ListBullet"/>
      </w:pPr>
      <w:r>
        <w:t>Dataset covers US/Canada only</w:t>
      </w:r>
    </w:p>
    <w:p w14:paraId="0010025C" w14:textId="0010025D">
      <w:pPr>
        <w:pStyle w:val="ListBullet"/>
      </w:pPr>
      <w:r>
        <w:t>No external macroeconomic or competitive data included</w:t>
      </w:r>
    </w:p>
    <w:p w14:paraId="0010025E" w14:textId="0010025F">
      <w:r>
        <w:br w:type="page"/>
      </w:r>
    </w:p>
    <w:p w14:paraId="00100260" w14:textId="00100261">
      <w:pPr>
        <w:pStyle w:val="Heading1"/>
      </w:pPr>
      <w:r>
        <w:t>27. Future Scope</w:t>
      </w:r>
    </w:p>
    <w:p w14:paraId="00100262" w14:textId="00100263">
      <w:pPr>
        <w:pStyle w:val="ListBullet"/>
      </w:pPr>
      <w:r>
        <w:t>ARIMA / Prophet / LSTM for advanced time-series forecasting</w:t>
      </w:r>
    </w:p>
    <w:p w14:paraId="00100264" w14:textId="00100265">
      <w:pPr>
        <w:pStyle w:val="ListBullet"/>
      </w:pPr>
      <w:r>
        <w:t>SHAP values for per-prediction interpretability</w:t>
      </w:r>
    </w:p>
    <w:p w14:paraId="00100266" w14:textId="00100267">
      <w:pPr>
        <w:pStyle w:val="ListBullet"/>
      </w:pPr>
      <w:r>
        <w:t>Customer Lifetime Value (CLV) modelling</w:t>
      </w:r>
    </w:p>
    <w:p w14:paraId="00100268" w14:textId="00100269">
      <w:pPr>
        <w:pStyle w:val="ListBullet"/>
      </w:pPr>
      <w:r>
        <w:t>RFM-based customer churn prediction</w:t>
      </w:r>
    </w:p>
    <w:p w14:paraId="0010026A" w14:textId="0010026B">
      <w:pPr>
        <w:pStyle w:val="ListBullet"/>
      </w:pPr>
      <w:r>
        <w:t>Price elasticity with quasi-experimental methods</w:t>
      </w:r>
    </w:p>
    <w:p w14:paraId="0010026C" w14:textId="0010026D">
      <w:pPr>
        <w:pStyle w:val="ListBullet"/>
      </w:pPr>
      <w:r>
        <w:t>Streamlit / Power BI dashboard deployment</w:t>
      </w:r>
    </w:p>
    <w:p w14:paraId="0010026E" w14:textId="0010026F">
      <w:pPr>
        <w:pStyle w:val="ListBullet"/>
      </w:pPr>
      <w:r>
        <w:t>State-level geospatial choropleth visualisations</w:t>
      </w:r>
    </w:p>
    <w:p w14:paraId="00100270" w14:textId="00100271">
      <w:pPr>
        <w:pStyle w:val="ListBullet"/>
      </w:pPr>
      <w:r>
        <w:t>Automated retraining pipeline</w:t>
      </w:r>
    </w:p>
    <w:p w14:paraId="00100272" w14:textId="00100273">
      <w:r>
        <w:br w:type="page"/>
      </w:r>
    </w:p>
    <w:p w14:paraId="00100274" w14:textId="00100275">
      <w:pPr>
        <w:pStyle w:val="Heading1"/>
      </w:pPr>
      <w:r>
        <w:t>28. Conclusion</w:t>
      </w:r>
    </w:p>
    <w:p w14:paraId="00100276" w14:textId="00100277">
      <w:r>
        <w:rPr>
          <w:b w:val="0"/>
          <w:i w:val="0"/>
          <w:sz w:val="22"/>
        </w:rPr>
        <w:t>InsightIQ demonstrates a complete end-to-end business intelligence pipeline applied to the official Tableau Sample Superstore dataset. Starting from raw transactional data, the platform progresses through data preparation, EDA, predictive modelling, explainability, anomaly detection, returns analysis, and what-if decision simulation.</w:t>
      </w:r>
    </w:p>
    <w:p w14:paraId="00100278" w14:textId="00100279">
      <w:r>
        <w:rPr>
          <w:b w:val="0"/>
          <w:i w:val="0"/>
          <w:sz w:val="22"/>
        </w:rPr>
        <w:t>Actual results: total sales $2,326,534, total profit $292,296, overall margin 12.6%, 5.8% return rate, Linear Regression MAE $12,968 on monthly forecasting, 306 anomalous transactions flagged.</w:t>
      </w:r>
    </w:p>
    <w:p w14:paraId="0010027A" w14:textId="0010027B">
      <w:r>
        <w:rPr>
          <w:b w:val="0"/>
          <w:i w:val="0"/>
          <w:sz w:val="22"/>
        </w:rPr>
        <w:t>Throughout, findings are clearly distinguished as observed, predicted, or estimated -- maintaining rigorous academic standards.</w:t>
      </w:r>
    </w:p>
    <w:p w14:paraId="0010027C" w14:textId="0010027D">
      <w:r>
        <w:br w:type="page"/>
      </w:r>
    </w:p>
    <w:p w14:paraId="0010027E" w14:textId="0010027F">
      <w:pPr>
        <w:pStyle w:val="Heading1"/>
      </w:pPr>
      <w:r>
        <w:t>29. References</w:t>
      </w:r>
    </w:p>
    <w:p w14:paraId="00100280" w14:textId="00100281">
      <w:pPr>
        <w:pStyle w:val="ListNumber"/>
      </w:pPr>
      <w:r>
        <w:t>[1] Tableau Software. (2025). Sample Superstore Dataset. Tableau Public. https://public.tableau.com/app/resources/sample-data</w:t>
      </w:r>
    </w:p>
    <w:p w14:paraId="00100282" w14:textId="00100283">
      <w:pPr>
        <w:pStyle w:val="ListNumber"/>
      </w:pPr>
      <w:r>
        <w:t>[2] Pedregosa, F. et al. (2011). Scikit-learn: Machine Learning in Python. JMLR, 12, 2825-2830.</w:t>
      </w:r>
    </w:p>
    <w:p w14:paraId="00100284" w14:textId="00100285">
      <w:pPr>
        <w:pStyle w:val="ListNumber"/>
      </w:pPr>
      <w:r>
        <w:t>[3] Liu, F. T., Ting, K. M., Zhou, Z. H. (2008). Isolation Forest. Proceedings IEEE ICDM 2008.</w:t>
      </w:r>
    </w:p>
    <w:p w14:paraId="00100286" w14:textId="00100287">
      <w:pPr>
        <w:pStyle w:val="ListNumber"/>
      </w:pPr>
      <w:r>
        <w:t>[4] McKinney, W. (2010). Data Structures for Statistical Computing in Python. Proc. 9th Python in Science Conf.</w:t>
      </w:r>
    </w:p>
    <w:p w14:paraId="00100288" w14:textId="00100289">
      <w:pPr>
        <w:pStyle w:val="ListNumber"/>
      </w:pPr>
      <w:r>
        <w:t>[5] Hunter, J. D. (2007). Matplotlib: A 2D Graphics Environment. Computing in Science &amp; Engineering, 9(3), 90-95.</w:t>
      </w:r>
    </w:p>
    <w:p w14:paraId="0010028A" w14:textId="0010028B">
      <w:pPr>
        <w:pStyle w:val="ListNumber"/>
      </w:pPr>
      <w:r>
        <w:t>[6] Waskom, M. (2021). Seaborn: Statistical Data Visualization. JOSS, 6(60), 3021.</w:t>
      </w:r>
    </w:p>
    <w:p w14:paraId="0010028C" w14:textId="0010028D">
      <w:pPr>
        <w:pStyle w:val="ListNumber"/>
      </w:pPr>
      <w:r>
        <w:t>[7] IBM SkillsBuild. (2025). Data Analytics with AI Academic Internship Programme.</w:t>
      </w:r>
    </w:p>
    <w:sectPr w:rsidRPr="0006063C" w:rsidR="00FC693F"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Normal.dotm</ap:Template>
  <ap:TotalTime>0</ap:TotalTime>
  <ap:Pages>1</ap:Pages>
  <ap:Words>0</ap:Words>
  <ap:Characters>0</ap:Characters>
  <ap:Application>Microsoft Macintosh Word</ap:Application>
  <ap:DocSecurity>0</ap:DocSecurity>
  <ap:Lines>0</ap:Lines>
  <ap:Paragraphs>0</ap:Paragraphs>
  <ap:ScaleCrop>false</ap:ScaleCrop>
  <ap:HeadingPairs>
    <vt:vector baseType="variant" size="2">
      <vt:variant>
        <vt:lpstr>Title</vt:lpstr>
      </vt:variant>
      <vt:variant>
        <vt:i4>1</vt:i4>
      </vt:variant>
    </vt:vector>
  </ap:HeadingPairs>
  <ap:TitlesOfParts>
    <vt:vector baseType="lpstr" size="1">
      <vt:lpstr/>
    </vt:vector>
  </ap:TitlesOfParts>
  <ap:Manager/>
  <ap:Company/>
  <ap:LinksUpToDate>false</ap:LinksUpToDate>
  <ap:CharactersWithSpaces>0</ap:CharactersWithSpaces>
  <ap:SharedDoc>false</ap:SharedDoc>
  <ap:HyperlinkBase/>
  <ap:HyperlinksChanged>false</ap:HyperlinksChanged>
  <ap:AppVersion>14.0000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2026-09-23T23:28:40Z</vt:lpwstr>
  </op:property>
</op:Properties>
</file>