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2D00" w14:textId="753847CB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Financial Statement Dashboard</w:t>
      </w:r>
    </w:p>
    <w:p w14:paraId="65440668" w14:textId="667D6FD6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Project Overview</w:t>
      </w:r>
    </w:p>
    <w:p w14:paraId="65A905CD" w14:textId="40AC30E6" w:rsidR="001C6637" w:rsidRPr="0050349D" w:rsidRDefault="001C6637" w:rsidP="001C6637">
      <w:p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This project demonstrates the creation of an interactive financial dashboard in Power BI to visualize a company’s key financial metrics over a five-year period.</w:t>
      </w:r>
    </w:p>
    <w:p w14:paraId="205084E2" w14:textId="37A74552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Tools Used</w:t>
      </w:r>
    </w:p>
    <w:p w14:paraId="4C068BCC" w14:textId="402ABD08" w:rsidR="001C6637" w:rsidRPr="0050349D" w:rsidRDefault="001C6637" w:rsidP="005034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Excel</w:t>
      </w:r>
    </w:p>
    <w:p w14:paraId="322DE5B4" w14:textId="5A88B631" w:rsidR="001C6637" w:rsidRPr="0050349D" w:rsidRDefault="001C6637" w:rsidP="005034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Power BI Desktop</w:t>
      </w:r>
    </w:p>
    <w:p w14:paraId="25D20701" w14:textId="6709C370" w:rsidR="001C6637" w:rsidRPr="0050349D" w:rsidRDefault="001C6637" w:rsidP="005034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DAX (Data Analysis Expressions)</w:t>
      </w:r>
    </w:p>
    <w:p w14:paraId="540BBC27" w14:textId="6CE0FC26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Dataset</w:t>
      </w:r>
    </w:p>
    <w:p w14:paraId="613E0041" w14:textId="77777777" w:rsidR="001C6637" w:rsidRPr="0050349D" w:rsidRDefault="001C6637" w:rsidP="001C6637">
      <w:p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A fictional company financial dataset covering:</w:t>
      </w:r>
    </w:p>
    <w:p w14:paraId="229CA085" w14:textId="1172BE87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Revenue</w:t>
      </w:r>
    </w:p>
    <w:p w14:paraId="6DC6DF29" w14:textId="0AB3790E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COGS</w:t>
      </w:r>
    </w:p>
    <w:p w14:paraId="016C27BA" w14:textId="763A0BB5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Operating Expenses</w:t>
      </w:r>
    </w:p>
    <w:p w14:paraId="2D3CB98D" w14:textId="01B3D6B7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Net Profit</w:t>
      </w:r>
    </w:p>
    <w:p w14:paraId="0DA72BCC" w14:textId="5F62798E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Total Assets</w:t>
      </w:r>
    </w:p>
    <w:p w14:paraId="6147DA5B" w14:textId="7D51D06B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Liabilities</w:t>
      </w:r>
    </w:p>
    <w:p w14:paraId="1C90C1D2" w14:textId="1D822778" w:rsidR="001C6637" w:rsidRPr="0050349D" w:rsidRDefault="001C6637" w:rsidP="005034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Equity</w:t>
      </w:r>
    </w:p>
    <w:p w14:paraId="78684E88" w14:textId="77777777" w:rsidR="001C6637" w:rsidRPr="0050349D" w:rsidRDefault="001C6637" w:rsidP="001C6637">
      <w:pPr>
        <w:rPr>
          <w:rFonts w:ascii="Times New Roman" w:hAnsi="Times New Roman" w:cs="Times New Roman"/>
        </w:rPr>
      </w:pPr>
    </w:p>
    <w:p w14:paraId="5499AEEA" w14:textId="52778690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Key KPIs</w:t>
      </w:r>
    </w:p>
    <w:p w14:paraId="26D83C6C" w14:textId="3AF8A1BA" w:rsidR="001C6637" w:rsidRPr="0050349D" w:rsidRDefault="001C6637" w:rsidP="005034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Net Profit Margin</w:t>
      </w:r>
    </w:p>
    <w:p w14:paraId="5092C6E9" w14:textId="3E33B5C9" w:rsidR="001C6637" w:rsidRPr="0050349D" w:rsidRDefault="001C6637" w:rsidP="005034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Debt-to-Equity Ratio</w:t>
      </w:r>
    </w:p>
    <w:p w14:paraId="6ED01592" w14:textId="77777777" w:rsidR="0050349D" w:rsidRDefault="001C6637" w:rsidP="001C66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Return on Assets (ROA)</w:t>
      </w:r>
    </w:p>
    <w:p w14:paraId="32D406A6" w14:textId="043318E7" w:rsidR="001C6637" w:rsidRPr="0050349D" w:rsidRDefault="001C6637" w:rsidP="0050349D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Insights</w:t>
      </w:r>
    </w:p>
    <w:p w14:paraId="0B0FE78C" w14:textId="33AE9563" w:rsidR="001C6637" w:rsidRPr="0050349D" w:rsidRDefault="001C6637" w:rsidP="005034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Revenue grew steadily at ~8% CAGR (2020–2024).</w:t>
      </w:r>
    </w:p>
    <w:p w14:paraId="7C32A625" w14:textId="131C7EE1" w:rsidR="001C6637" w:rsidRPr="0050349D" w:rsidRDefault="001C6637" w:rsidP="005034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Net Profit Margin improved from 14% to 16%.</w:t>
      </w:r>
    </w:p>
    <w:p w14:paraId="3E1CD3CD" w14:textId="1AE0F995" w:rsidR="001C6637" w:rsidRPr="0050349D" w:rsidRDefault="001C6637" w:rsidP="005034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Debt-to-Equity ratio remained stable at ~0.7.</w:t>
      </w:r>
    </w:p>
    <w:p w14:paraId="72F62AC6" w14:textId="266BA115" w:rsidR="001C6637" w:rsidRPr="0050349D" w:rsidRDefault="001C6637" w:rsidP="005034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ROA improved, showing better asset utilization.</w:t>
      </w:r>
    </w:p>
    <w:p w14:paraId="68D3DCD2" w14:textId="31F38C09" w:rsidR="001C6637" w:rsidRPr="0050349D" w:rsidRDefault="001C6637" w:rsidP="005034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COGS rose proportionately but operating expenses grew slower.</w:t>
      </w:r>
    </w:p>
    <w:p w14:paraId="6EDE12D3" w14:textId="0DCEAE89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Business Impact</w:t>
      </w:r>
    </w:p>
    <w:p w14:paraId="5885136D" w14:textId="77777777" w:rsidR="001C6637" w:rsidRPr="0050349D" w:rsidRDefault="001C6637" w:rsidP="001C6637">
      <w:pPr>
        <w:rPr>
          <w:rFonts w:ascii="Times New Roman" w:hAnsi="Times New Roman" w:cs="Times New Roman"/>
        </w:rPr>
      </w:pPr>
      <w:r w:rsidRPr="0050349D">
        <w:rPr>
          <w:rFonts w:ascii="Times New Roman" w:hAnsi="Times New Roman" w:cs="Times New Roman"/>
        </w:rPr>
        <w:t>This dashboard provides management with quick insights into financial health, supporting better strategic decisions.</w:t>
      </w:r>
    </w:p>
    <w:p w14:paraId="3548E2F7" w14:textId="06E1A8EE" w:rsidR="001C6637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Dashboard Screenshot</w:t>
      </w:r>
    </w:p>
    <w:p w14:paraId="2CBFF4AE" w14:textId="5629563C" w:rsidR="007667EC" w:rsidRPr="007667EC" w:rsidRDefault="007667EC" w:rsidP="007667EC">
      <w:pPr>
        <w:rPr>
          <w:rFonts w:ascii="Times New Roman" w:hAnsi="Times New Roman" w:cs="Times New Roman"/>
          <w:b/>
          <w:bCs/>
        </w:rPr>
      </w:pPr>
      <w:r w:rsidRPr="007667EC">
        <w:rPr>
          <w:rFonts w:ascii="Times New Roman" w:hAnsi="Times New Roman" w:cs="Times New Roman"/>
          <w:b/>
          <w:bCs/>
        </w:rPr>
        <w:drawing>
          <wp:inline distT="0" distB="0" distL="0" distR="0" wp14:anchorId="42AE1DF4" wp14:editId="10F740ED">
            <wp:extent cx="4624754" cy="2614592"/>
            <wp:effectExtent l="0" t="0" r="4445" b="0"/>
            <wp:docPr id="65222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308" cy="262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B3E1" w14:textId="06D203CA" w:rsidR="001C6637" w:rsidRPr="0050349D" w:rsidRDefault="001C6637" w:rsidP="001C6637">
      <w:pPr>
        <w:rPr>
          <w:rFonts w:ascii="Times New Roman" w:hAnsi="Times New Roman" w:cs="Times New Roman"/>
          <w:b/>
          <w:bCs/>
        </w:rPr>
      </w:pPr>
      <w:r w:rsidRPr="0050349D">
        <w:rPr>
          <w:rFonts w:ascii="Times New Roman" w:hAnsi="Times New Roman" w:cs="Times New Roman"/>
          <w:b/>
          <w:bCs/>
        </w:rPr>
        <w:t>Author</w:t>
      </w:r>
    </w:p>
    <w:p w14:paraId="354DBB4E" w14:textId="0879A3EF" w:rsidR="001C6637" w:rsidRDefault="0050349D" w:rsidP="001C66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Sakshi Wanjari</w:t>
      </w:r>
    </w:p>
    <w:p w14:paraId="4313D488" w14:textId="77777777" w:rsidR="0050349D" w:rsidRPr="0050349D" w:rsidRDefault="0050349D" w:rsidP="001C6637">
      <w:pPr>
        <w:rPr>
          <w:rFonts w:ascii="Times New Roman" w:hAnsi="Times New Roman" w:cs="Times New Roman"/>
        </w:rPr>
      </w:pPr>
    </w:p>
    <w:sectPr w:rsidR="0050349D" w:rsidRPr="0050349D" w:rsidSect="001C6637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F6C"/>
    <w:multiLevelType w:val="hybridMultilevel"/>
    <w:tmpl w:val="36E2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43D9"/>
    <w:multiLevelType w:val="hybridMultilevel"/>
    <w:tmpl w:val="FC8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798D"/>
    <w:multiLevelType w:val="hybridMultilevel"/>
    <w:tmpl w:val="8928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50046"/>
    <w:multiLevelType w:val="hybridMultilevel"/>
    <w:tmpl w:val="BD388B62"/>
    <w:lvl w:ilvl="0" w:tplc="F05699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4325E"/>
    <w:multiLevelType w:val="hybridMultilevel"/>
    <w:tmpl w:val="55EA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C054F"/>
    <w:multiLevelType w:val="hybridMultilevel"/>
    <w:tmpl w:val="EA043240"/>
    <w:lvl w:ilvl="0" w:tplc="9766AA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F45F6"/>
    <w:multiLevelType w:val="hybridMultilevel"/>
    <w:tmpl w:val="0F6E52D4"/>
    <w:lvl w:ilvl="0" w:tplc="A7D64E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926C1"/>
    <w:multiLevelType w:val="hybridMultilevel"/>
    <w:tmpl w:val="03E4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C3D41"/>
    <w:multiLevelType w:val="hybridMultilevel"/>
    <w:tmpl w:val="6226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F777C"/>
    <w:multiLevelType w:val="hybridMultilevel"/>
    <w:tmpl w:val="479CC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F555C"/>
    <w:multiLevelType w:val="hybridMultilevel"/>
    <w:tmpl w:val="03E2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B72B2"/>
    <w:multiLevelType w:val="hybridMultilevel"/>
    <w:tmpl w:val="A502C6B6"/>
    <w:lvl w:ilvl="0" w:tplc="EC44AA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140047">
    <w:abstractNumId w:val="8"/>
  </w:num>
  <w:num w:numId="2" w16cid:durableId="1125545224">
    <w:abstractNumId w:val="11"/>
  </w:num>
  <w:num w:numId="3" w16cid:durableId="2110225567">
    <w:abstractNumId w:val="4"/>
  </w:num>
  <w:num w:numId="4" w16cid:durableId="1421758325">
    <w:abstractNumId w:val="9"/>
  </w:num>
  <w:num w:numId="5" w16cid:durableId="405957223">
    <w:abstractNumId w:val="5"/>
  </w:num>
  <w:num w:numId="6" w16cid:durableId="1438868658">
    <w:abstractNumId w:val="2"/>
  </w:num>
  <w:num w:numId="7" w16cid:durableId="2081248778">
    <w:abstractNumId w:val="10"/>
  </w:num>
  <w:num w:numId="8" w16cid:durableId="670446450">
    <w:abstractNumId w:val="6"/>
  </w:num>
  <w:num w:numId="9" w16cid:durableId="212422600">
    <w:abstractNumId w:val="1"/>
  </w:num>
  <w:num w:numId="10" w16cid:durableId="1245411872">
    <w:abstractNumId w:val="7"/>
  </w:num>
  <w:num w:numId="11" w16cid:durableId="1234314595">
    <w:abstractNumId w:val="3"/>
  </w:num>
  <w:num w:numId="12" w16cid:durableId="19708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37"/>
    <w:rsid w:val="001C6637"/>
    <w:rsid w:val="002E7599"/>
    <w:rsid w:val="0050349D"/>
    <w:rsid w:val="007045C7"/>
    <w:rsid w:val="0076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9F25D"/>
  <w15:chartTrackingRefBased/>
  <w15:docId w15:val="{DE2D6CD7-339E-4D79-A488-980AA490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Wanjari</dc:creator>
  <cp:keywords/>
  <dc:description/>
  <cp:lastModifiedBy>Sakshi Wanjari</cp:lastModifiedBy>
  <cp:revision>2</cp:revision>
  <dcterms:created xsi:type="dcterms:W3CDTF">2025-09-26T16:28:00Z</dcterms:created>
  <dcterms:modified xsi:type="dcterms:W3CDTF">2025-09-27T11:00:00Z</dcterms:modified>
</cp:coreProperties>
</file>