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png" Extension="jpeg"/>
  <Default ContentType="image/png" Extension="jpg"/>
  <Default ContentType="image/png" Extension="gif"/>
  <Default ContentType="image/png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rPr>
          <w:sz w:val="28.0"/>
          <w:vertAlign w:val="baseline"/>
        </w:rPr>
        <w:widowControl w:val="1"/>
      </w:pPr>
      <w:r w:rsidR="00000000" w:rsidDel="00000000" w:rsidRPr="00000000">
        <w:drawing>
          <wp:anchor xmlns:wp="http://schemas.openxmlformats.org/drawingml/2006/wordprocessingDrawing" simplePos="false" distT="114300" distR="114300" distB="114300" distL="114300" relativeHeight="251658240" behindDoc="true" locked="false" layoutInCell="true" allowOverlap="true">
            <wp:simplePos x="0" y="0"/>
            <wp:positionH relativeFrom="column">
              <wp:posOffset>5367909</wp:posOffset>
            </wp:positionH>
            <wp:positionV relativeFrom="paragraph">
              <wp:posOffset>-848772</wp:posOffset>
            </wp:positionV>
            <wp:extent cx="1171575" cy="1171575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6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71575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false" locked="false" layoutInCell="true" allowOverlap="true">
            <wp:simplePos x="0" y="0"/>
            <wp:positionH relativeFrom="page">
              <wp:posOffset>257556</wp:posOffset>
            </wp:positionH>
            <wp:positionV relativeFrom="page">
              <wp:posOffset>181546</wp:posOffset>
            </wp:positionV>
            <wp:extent cx="857250" cy="7620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7">
                      <a:alphaModFix amt="100000"/>
                    </a:blip>
                    <a:srcRect l="-10000" r="-14000" t="-1000" b="-11000"/>
                    <a:stretch xmlns:xsi="http://www.w3.org/2001/XMLSchema-instance" xsi:nil="true"/>
                  </pic:blipFill>
                  <pic:spPr>
                    <a:xfrm>
                      <a:off x="0" y="0"/>
                      <a:ext cx="857250" cy="762000"/>
                    </a:xfrm>
                    <a:prstGeom prst="rect"/>
                  </pic:spPr>
                </pic:pic>
              </a:graphicData>
            </a:graphic>
          </wp:anchor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Title"/>
        <w:rPr/>
        <w:widowControl w:val="1"/>
      </w:pPr>
      <w:bookmarkStart w:id="xtd2ohjonvuk" w:name="_Tocn7p4f48daxhg"/>
      <w:r w:rsidR="00000000" w:rsidDel="00000000" w:rsidRPr="00000000">
        <w:rPr>
          <w:color w:val="46ABC6" w:themeColor="accent6" w:themeShade="BF"/>
        </w:rPr>
        <w:t xml:space="preserve">WorkDrive Presales Report - April</w:t>
      </w:r>
      <w:r w:rsidR="00000000" w:rsidDel="00000000" w:rsidRPr="00000000">
        <w:rPr>
          <w:color w:val="46ABC6" w:themeColor="accent6" w:themeShade="BF"/>
        </w:rPr>
        <w:t xml:space="preserve"> 2026</w:t>
      </w:r>
      <w:bookmarkEnd w:id="xtd2ohjonvuk"/>
    </w:p>
    <w:p xmlns:w14="http://schemas.microsoft.com/office/word/2010/wordml" w:rsidR="00000000" w:rsidRDefault="00000000" w14:textId="00000000" w:rsidDel="00000000" w:rsidP="00000000" w:rsidRPr="00000000">
      <w:pPr>
        <w:rPr>
          <w:sz w:val="28.0"/>
          <w:vertAlign w:val="baseline"/>
        </w:rPr>
        <w:widowControl w:val="1"/>
      </w:pPr>
      <w:r w:rsidR="00000000" w:rsidDel="00000000" w:rsidRPr="00000000">
        <w:rPr>
          <w:sz w:val="28.0"/>
          <w:vertAlign w:val="baseline"/>
        </w:rPr>
        <w:t xml:space="preserve">April recorded 106 demos with 68 new prospects engaged during the month. The team achieved 18 deal wins with a conversion rate of 29.51%, while 10 opportunities remain actively in progress, indicating a healthy follow-up pipeline. Enterprise discussions during the month were largely focused on workflow automation, compliance integrations, advanced search capabilities, and migration requirements.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rPr/>
        <w:widowControl w:val="1"/>
      </w:pPr>
      <w:bookmarkStart w:id="rogw6akk85zw" w:name="_Tocn4kqnhu8et70"/>
      <w:r w:rsidR="00000000" w:rsidDel="00000000" w:rsidRPr="00000000">
        <w:rPr>
          <w:color w:val="000000"/>
        </w:rPr>
        <w:t xml:space="preserve">Conversion Performance:</w:t>
      </w:r>
      <w:bookmarkEnd w:id="rogw6akk85zw"/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tbl>
      <w:tblPr>
        <w:tblStyle w:val="4584678"/>
        <w:tblW w:w="5780" w:type="dxa"/>
        <w:tblInd w:w="0" w:type="dxa"/>
        <w:tblLayout w:type="fixed"/>
        <w:tblLook w:val="00000400"/>
      </w:tblPr>
      <w:tblGrid>
        <w:gridCol w:w="3855"/>
        <w:gridCol w:w="1925"/>
      </w:tblGrid>
      <w:tr>
        <w:trPr/>
        <w:tc>
          <w:tcPr>
            <w:tcW w:w="3855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sz w:val="24.0"/>
              </w:rPr>
              <w:t xml:space="preserve">Metric</w:t>
            </w:r>
          </w:p>
        </w:tc>
        <w:tc>
          <w:tcPr>
            <w:tcW w:w="1925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sz w:val="24.0"/>
              </w:rPr>
              <w:t xml:space="preserve">Value</w:t>
            </w:r>
          </w:p>
        </w:tc>
      </w:tr>
      <w:tr>
        <w:trPr/>
        <w:tc>
          <w:tcPr>
            <w:tcW w:w="3855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Total Demos</w:t>
            </w:r>
          </w:p>
        </w:tc>
        <w:tc>
          <w:tcPr>
            <w:tcW w:w="1925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106</w:t>
            </w:r>
          </w:p>
        </w:tc>
      </w:tr>
      <w:tr>
        <w:trPr/>
        <w:tc>
          <w:tcPr>
            <w:tcW w:w="3855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New Prospect Count</w:t>
            </w:r>
          </w:p>
        </w:tc>
        <w:tc>
          <w:tcPr>
            <w:tcW w:w="1925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68</w:t>
            </w:r>
          </w:p>
        </w:tc>
      </w:tr>
      <w:tr>
        <w:trPr/>
        <w:tc>
          <w:tcPr>
            <w:tcW w:w="3855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Already Engaged Prospects</w:t>
            </w:r>
          </w:p>
        </w:tc>
        <w:tc>
          <w:tcPr>
            <w:tcW w:w="1925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18</w:t>
            </w:r>
          </w:p>
        </w:tc>
      </w:tr>
      <w:tr>
        <w:trPr/>
        <w:tc>
          <w:tcPr>
            <w:tcW w:w="3855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Deal Won </w:t>
            </w:r>
          </w:p>
        </w:tc>
        <w:tc>
          <w:tcPr>
            <w:tcW w:w="1925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18</w:t>
            </w:r>
          </w:p>
        </w:tc>
      </w:tr>
      <w:tr>
        <w:trPr/>
        <w:tc>
          <w:tcPr>
            <w:tcW w:w="3855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Deal Lost</w:t>
            </w:r>
          </w:p>
        </w:tc>
        <w:tc>
          <w:tcPr>
            <w:tcW w:w="1925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39</w:t>
            </w:r>
          </w:p>
        </w:tc>
      </w:tr>
      <w:tr>
        <w:trPr/>
        <w:tc>
          <w:tcPr>
            <w:tcW w:w="3855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In Progress</w:t>
            </w:r>
          </w:p>
        </w:tc>
        <w:tc>
          <w:tcPr>
            <w:tcW w:w="1925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11</w:t>
            </w:r>
          </w:p>
        </w:tc>
      </w:tr>
      <w:tr>
        <w:trPr/>
        <w:tc>
          <w:tcPr>
            <w:tcW w:w="3855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sz w:val="24.0"/>
              </w:rPr>
              <w:t xml:space="preserve">Conversion %</w:t>
            </w:r>
          </w:p>
        </w:tc>
        <w:tc>
          <w:tcPr>
            <w:tcW w:w="1925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sz w:val="24.0"/>
              </w:rPr>
              <w:t xml:space="preserve">29.51%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rPr>
          <w:sz w:val="28.0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4779962" cy="2948163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8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962" cy="2948163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4"/>
        <w:outlineLvl w:val="3"/>
        <w:widowControl w:val="1"/>
      </w:pPr>
      <w:bookmarkStart w:id="6pd8jkqfzuix" w:name="_Toc1oug9ic2pdcc"/>
      <w:r w:rsidR="00000000" w:rsidDel="00000000" w:rsidRPr="00000000">
        <w:rPr/>
        <w:t xml:space="preserve">Observation:</w:t>
      </w:r>
      <w:bookmarkEnd w:id="6pd8jkqfzuix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color w:val="000000"/>
          <w:sz w:val="24.0"/>
        </w:rPr>
        <w:numPr>
          <w:ilvl w:val="0"/>
          <w:numId w:val="12102620"/>
        </w:numPr>
        <w:widowControl w:val="1"/>
      </w:pPr>
      <w:bookmarkStart w:id="m7er1eab6kww" w:name="_Toczikrdfld2xt6"/>
      <w:r w:rsidR="00000000" w:rsidDel="00000000" w:rsidRPr="00000000">
        <w:rPr>
          <w:color w:val="000000"/>
          <w:vertAlign w:val="baseline"/>
        </w:rPr>
        <w:t xml:space="preserve">Conversion remained stable with 16 successful closures from 68 active prospects.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color w:val="000000"/>
          <w:sz w:val="24.0"/>
        </w:rPr>
        <w:numPr>
          <w:ilvl w:val="0"/>
          <w:numId w:val="5327935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 A significant number of opportunities are still in progress, indicating potential carry-forward pipeline into upcoming months.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color w:val="000000"/>
          <w:sz w:val="24.0"/>
        </w:rPr>
        <w:numPr>
          <w:ilvl w:val="0"/>
          <w:numId w:val="6130159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 Enterprise prospects showed stronger interest in workflow automation and compliance-related use cases.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color w:val="000000"/>
          <w:sz w:val="24.0"/>
        </w:rPr>
        <w:numPr>
          <w:ilvl w:val="0"/>
          <w:numId w:val="1798106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 Follow-up consistency remains important, as several prospects are still under evaluation stages.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rPr>
          <w:color w:val="000000"/>
          <w:sz w:val="24.0"/>
        </w:rPr>
        <w:tabs>
          <w:tab w:pos="7020" w:val="left" w:leader="none"/>
        </w:tabs>
        <w:widowControl w:val="1"/>
      </w:pPr>
      <w:r w:rsidR="00000000" w:rsidDel="00000000" w:rsidRPr="00000000">
        <w:rPr/>
        <w:tab/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bookmarkStart w:id="zc6dlnbw03mz" w:name="_Toc2oiclpbwnj77"/>
      <w:r w:rsidR="00000000" w:rsidDel="00000000" w:rsidRPr="00000000">
        <w:rPr/>
        <w:t xml:space="preserve">Repeat Engagement Performance</w:t>
      </w:r>
      <w:bookmarkEnd w:id="zc6dlnbw03mz"/>
      <w:r w:rsidR="00000000" w:rsidDel="00000000" w:rsidRPr="00000000">
        <w:rPr/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>
          <w:vertAlign w:val="baseline"/>
        </w:rPr>
        <w:t xml:space="preserve">This section represents prospects who were initially engaged in previous months or prior years and re-entered the evaluation or discussion cycle during April 2026.</w:t>
      </w:r>
    </w:p>
    <w:tbl>
      <w:tblPr>
        <w:tblStyle w:val="3232927"/>
        <w:tblW w:w="5460" w:type="dxa"/>
        <w:tblInd w:w="0" w:type="dxa"/>
        <w:tblLayout w:type="fixed"/>
        <w:tblLook w:val="00000400"/>
      </w:tblPr>
      <w:tblGrid>
        <w:gridCol w:w="3660"/>
        <w:gridCol w:w="1800"/>
      </w:tblGrid>
      <w:tr>
        <w:trPr/>
        <w:tc>
          <w:tcPr>
            <w:tcW w:w="3660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</w:rPr>
              <w:jc w:val="center"/>
              <w:widowControl w:val="1"/>
            </w:pPr>
            <w:r w:rsidR="00000000" w:rsidDel="00000000" w:rsidRPr="00000000">
              <w:rPr>
                <w:b w:val="true"/>
              </w:rPr>
              <w:t xml:space="preserve">Metric</w:t>
            </w:r>
          </w:p>
        </w:tc>
        <w:tc>
          <w:tcPr>
            <w:tcW w:w="1800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</w:rPr>
              <w:jc w:val="center"/>
              <w:widowControl w:val="1"/>
            </w:pPr>
            <w:r w:rsidR="00000000" w:rsidDel="00000000" w:rsidRPr="00000000">
              <w:rPr>
                <w:b w:val="true"/>
              </w:rPr>
              <w:t xml:space="preserve">Count</w:t>
            </w:r>
          </w:p>
        </w:tc>
      </w:tr>
      <w:tr>
        <w:trPr/>
        <w:tc>
          <w:tcPr>
            <w:tcW w:w="3660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Previously Engaged Prospects</w:t>
            </w:r>
          </w:p>
        </w:tc>
        <w:tc>
          <w:tcPr>
            <w:tcW w:w="1800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18</w:t>
            </w:r>
          </w:p>
        </w:tc>
      </w:tr>
      <w:tr>
        <w:trPr/>
        <w:tc>
          <w:tcPr>
            <w:tcW w:w="3660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Deal Won</w:t>
            </w:r>
          </w:p>
        </w:tc>
        <w:tc>
          <w:tcPr>
            <w:tcW w:w="1800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7</w:t>
            </w:r>
          </w:p>
        </w:tc>
      </w:tr>
      <w:tr>
        <w:trPr/>
        <w:tc>
          <w:tcPr>
            <w:tcW w:w="3660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Deal Lost</w:t>
            </w:r>
          </w:p>
        </w:tc>
        <w:tc>
          <w:tcPr>
            <w:tcW w:w="1800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6</w:t>
            </w:r>
          </w:p>
        </w:tc>
      </w:tr>
      <w:tr>
        <w:trPr/>
        <w:tc>
          <w:tcPr>
            <w:tcW w:w="3660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In Progress</w:t>
            </w:r>
          </w:p>
        </w:tc>
        <w:tc>
          <w:tcPr>
            <w:tcW w:w="1800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1</w:t>
            </w:r>
          </w:p>
        </w:tc>
      </w:tr>
      <w:tr>
        <w:trPr/>
        <w:tc>
          <w:tcPr>
            <w:tcW w:w="3660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</w:rPr>
              <w:jc w:val="center"/>
              <w:widowControl w:val="1"/>
            </w:pPr>
            <w:r w:rsidR="00000000" w:rsidDel="00000000" w:rsidRPr="00000000">
              <w:rPr>
                <w:b w:val="true"/>
              </w:rPr>
              <w:t xml:space="preserve">Conversion %</w:t>
            </w:r>
          </w:p>
        </w:tc>
        <w:tc>
          <w:tcPr>
            <w:tcW w:w="1800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vertAlign w:val="baseline"/>
              </w:rPr>
              <w:t xml:space="preserve">50%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rPr>
          <w:vertAlign w:val="baseline"/>
        </w:rPr>
        <w:widowControl w:val="1"/>
      </w:pPr>
      <w:bookmarkStart w:id="rs61601e87dk" w:name="_Toc0d00ucts7k54"/>
      <w:bookmarkEnd w:id="rs61601e87dk"/>
      <w:r w:rsidR="00000000" w:rsidDel="00000000" w:rsidRPr="00000000">
        <w:rPr>
          <w:b w:val="true"/>
        </w:rPr>
        <w:t xml:space="preserve">Deal Size Distribution – Demo Analysis:</w:t>
      </w:r>
      <w:bookmarkEnd w:id="m7er1eab6kww"/>
    </w:p>
    <w:p xmlns:w14="http://schemas.microsoft.com/office/word/2010/wordml" w:rsidR="00000000" w:rsidRDefault="00000000" w14:textId="00000000" w:rsidDel="00000000" w:rsidP="00000000" w:rsidRPr="00000000">
      <w:pPr>
        <w:rPr>
          <w:sz w:val="28.0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066061" cy="3051844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9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061" cy="3051844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4"/>
        <w:outlineLvl w:val="3"/>
        <w:widowControl w:val="1"/>
      </w:pPr>
      <w:bookmarkStart w:id="b3ewip4mo6v5" w:name="_Tocsfq64hfgdj6t"/>
      <w:r w:rsidR="00000000" w:rsidDel="00000000" w:rsidRPr="00000000">
        <w:rPr/>
        <w:t xml:space="preserve">Observation:</w:t>
      </w:r>
      <w:bookmarkEnd w:id="b3ewip4mo6v5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color w:val="000000"/>
          <w:sz w:val="24.0"/>
        </w:rPr>
        <w:numPr>
          <w:ilvl w:val="0"/>
          <w:numId w:val="8716138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Majority of demos were concentrated in the smaller deal-size segments (1–10 and 11–50 users).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color w:val="000000"/>
          <w:sz w:val="24.0"/>
        </w:rPr>
        <w:numPr>
          <w:ilvl w:val="0"/>
          <w:numId w:val="8194001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 Enterprise-level opportunities above 500 users remained fewer in count but carried higher strategic value.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color w:val="000000"/>
          <w:sz w:val="24.0"/>
        </w:rPr>
        <w:numPr>
          <w:ilvl w:val="0"/>
          <w:numId w:val="4300242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 Several opportunities were still marked as “Not Confirmed,” indicating early-stage qualification discussions.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rPr/>
        <w:widowControl w:val="1"/>
      </w:pPr>
      <w:bookmarkStart w:id="0uvdzb6tq0m1" w:name="_Tocprphv8ca9cvh"/>
      <w:r w:rsidR="00000000" w:rsidDel="00000000" w:rsidRPr="00000000">
        <w:rPr/>
        <w:t xml:space="preserve">Deal Lost Analysis:</w:t>
      </w:r>
      <w:bookmarkEnd w:id="0uvdzb6tq0m1"/>
    </w:p>
    <w:tbl>
      <w:tblPr>
        <w:tblStyle w:val="6868382"/>
        <w:tblW w:w="5566" w:type="dxa"/>
        <w:jc w:val="left"/>
        <w:tblInd w:w="-105" w:type="dxa"/>
        <w:tblLayout w:type="fixed"/>
        <w:tblLook w:val="00000400"/>
      </w:tblPr>
      <w:tblGrid>
        <w:gridCol w:w="4605"/>
        <w:gridCol w:w="960"/>
      </w:tblGrid>
      <w:tr>
        <w:trPr/>
        <w:tc>
          <w:tcPr>
            <w:tcW w:w="4605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  <w:sz w:val="22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sz w:val="22.0"/>
              </w:rPr>
              <w:t xml:space="preserve">Metric</w:t>
            </w:r>
          </w:p>
        </w:tc>
        <w:tc>
          <w:tcPr>
            <w:tcW w:w="960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  <w:sz w:val="22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sz w:val="22.0"/>
              </w:rPr>
              <w:t xml:space="preserve">Count</w:t>
            </w:r>
          </w:p>
        </w:tc>
      </w:tr>
      <w:tr>
        <w:trPr/>
        <w:tc>
          <w:tcPr>
            <w:tcW w:w="4605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2.0"/>
              </w:rPr>
              <w:jc w:val="center"/>
              <w:widowControl w:val="1"/>
            </w:pPr>
            <w:r w:rsidR="00000000" w:rsidDel="00000000" w:rsidRPr="00000000">
              <w:rPr>
                <w:sz w:val="22.0"/>
              </w:rPr>
              <w:t xml:space="preserve">Loss Rate (Lost / Total Prospects)</w:t>
            </w:r>
          </w:p>
        </w:tc>
        <w:tc>
          <w:tcPr>
            <w:tcW w:w="960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2.0"/>
              </w:rPr>
              <w:jc w:val="center"/>
              <w:widowControl w:val="1"/>
            </w:pPr>
            <w:r w:rsidR="00000000" w:rsidDel="00000000" w:rsidRPr="00000000">
              <w:rPr>
                <w:sz w:val="22.0"/>
                <w:vertAlign w:val="baseline"/>
              </w:rPr>
              <w:t xml:space="preserve">54%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tbl>
      <w:tblPr>
        <w:tblStyle w:val="6713785"/>
        <w:tblW w:w="9635" w:type="dxa"/>
        <w:tblInd w:w="0" w:type="dxa"/>
        <w:tblLayout w:type="fixed"/>
        <w:tblLook w:val="00000400"/>
      </w:tblPr>
      <w:tblGrid>
        <w:gridCol w:w="5324"/>
        <w:gridCol w:w="1405"/>
        <w:gridCol w:w="2906"/>
      </w:tblGrid>
      <w:tr>
        <w:trPr/>
        <w:tc>
          <w:tcPr>
            <w:tcW w:w="5324" w:type="dxa"/>
            <w:tcBorders/>
            <w:tcMar>
              <w:top w:w="150" w:type="dxa"/>
              <w:left w:w="210" w:type="dxa"/>
              <w:right w:w="210" w:type="dxa"/>
              <w:bottom w:w="15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</w:rPr>
              <w:jc w:val="center"/>
              <w:widowControl w:val="1"/>
            </w:pPr>
            <w:r w:rsidR="00000000" w:rsidDel="00000000" w:rsidRPr="00000000">
              <w:rPr>
                <w:b w:val="true"/>
              </w:rPr>
              <w:t xml:space="preserve">Loss category</w:t>
            </w:r>
          </w:p>
        </w:tc>
        <w:tc>
          <w:tcPr>
            <w:tcW w:w="1405" w:type="dxa"/>
            <w:tcBorders/>
            <w:tcMar>
              <w:top w:w="150" w:type="dxa"/>
              <w:left w:w="210" w:type="dxa"/>
              <w:right w:w="210" w:type="dxa"/>
              <w:bottom w:w="15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</w:rPr>
              <w:jc w:val="center"/>
              <w:widowControl w:val="1"/>
            </w:pPr>
            <w:r w:rsidR="00000000" w:rsidDel="00000000" w:rsidRPr="00000000">
              <w:rPr>
                <w:b w:val="true"/>
              </w:rPr>
              <w:t xml:space="preserve">Count</w:t>
            </w:r>
          </w:p>
        </w:tc>
        <w:tc>
          <w:tcPr>
            <w:tcW w:w="2906" w:type="dxa"/>
            <w:tcBorders/>
            <w:tcMar>
              <w:top w:w="150" w:type="dxa"/>
              <w:left w:w="210" w:type="dxa"/>
              <w:right w:w="210" w:type="dxa"/>
              <w:bottom w:w="15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</w:rPr>
              <w:jc w:val="center"/>
              <w:widowControl w:val="1"/>
            </w:pPr>
            <w:r w:rsidR="00000000" w:rsidDel="00000000" w:rsidRPr="00000000">
              <w:rPr>
                <w:b w:val="true"/>
              </w:rPr>
              <w:t xml:space="preserve">% of total lost</w:t>
            </w:r>
          </w:p>
        </w:tc>
      </w:tr>
      <w:tr>
        <w:trPr/>
        <w:tc>
          <w:tcPr>
            <w:tcW w:w="5324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No response after multiple follow-ups</w:t>
            </w:r>
          </w:p>
        </w:tc>
        <w:tc>
          <w:tcPr>
            <w:tcW w:w="1405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18</w:t>
            </w:r>
          </w:p>
        </w:tc>
        <w:tc>
          <w:tcPr>
            <w:tcW w:w="2906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54.55%</w:t>
            </w:r>
          </w:p>
        </w:tc>
      </w:tr>
      <w:tr>
        <w:trPr/>
        <w:tc>
          <w:tcPr>
            <w:tcW w:w="5324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Delayed decision / follow-up later</w:t>
            </w:r>
          </w:p>
        </w:tc>
        <w:tc>
          <w:tcPr>
            <w:tcW w:w="1405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4</w:t>
            </w:r>
          </w:p>
        </w:tc>
        <w:tc>
          <w:tcPr>
            <w:tcW w:w="2906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12.12%</w:t>
            </w:r>
          </w:p>
        </w:tc>
      </w:tr>
      <w:tr>
        <w:trPr/>
        <w:tc>
          <w:tcPr>
            <w:tcW w:w="5324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Pricing concern (add-on storage cost)</w:t>
            </w:r>
          </w:p>
        </w:tc>
        <w:tc>
          <w:tcPr>
            <w:tcW w:w="1405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2</w:t>
            </w:r>
          </w:p>
        </w:tc>
        <w:tc>
          <w:tcPr>
            <w:tcW w:w="2906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6.06%</w:t>
            </w:r>
          </w:p>
        </w:tc>
      </w:tr>
      <w:tr>
        <w:trPr/>
        <w:tc>
          <w:tcPr>
            <w:tcW w:w="5324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Prospect not interested post intro / demo</w:t>
            </w:r>
          </w:p>
        </w:tc>
        <w:tc>
          <w:tcPr>
            <w:tcW w:w="1405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2</w:t>
            </w:r>
          </w:p>
        </w:tc>
        <w:tc>
          <w:tcPr>
            <w:tcW w:w="2906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6.06%</w:t>
            </w:r>
          </w:p>
        </w:tc>
      </w:tr>
      <w:tr>
        <w:trPr/>
        <w:tc>
          <w:tcPr>
            <w:tcW w:w="5324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Prospect purchased subscription independently</w:t>
            </w:r>
          </w:p>
        </w:tc>
        <w:tc>
          <w:tcPr>
            <w:tcW w:w="1405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1</w:t>
            </w:r>
          </w:p>
        </w:tc>
        <w:tc>
          <w:tcPr>
            <w:tcW w:w="2906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3.03%</w:t>
            </w:r>
          </w:p>
        </w:tc>
      </w:tr>
      <w:tr>
        <w:trPr/>
        <w:tc>
          <w:tcPr>
            <w:tcW w:w="5324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Staying with existing solution</w:t>
            </w:r>
          </w:p>
        </w:tc>
        <w:tc>
          <w:tcPr>
            <w:tcW w:w="1405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1</w:t>
            </w:r>
          </w:p>
        </w:tc>
        <w:tc>
          <w:tcPr>
            <w:tcW w:w="2906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3.03%</w:t>
            </w:r>
          </w:p>
        </w:tc>
      </w:tr>
      <w:tr>
        <w:trPr/>
        <w:tc>
          <w:tcPr>
            <w:tcW w:w="5324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Looking for other Zoho product (Workplace)</w:t>
            </w:r>
          </w:p>
        </w:tc>
        <w:tc>
          <w:tcPr>
            <w:tcW w:w="1405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1</w:t>
            </w:r>
          </w:p>
        </w:tc>
        <w:tc>
          <w:tcPr>
            <w:tcW w:w="2906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3.03%</w:t>
            </w:r>
          </w:p>
        </w:tc>
      </w:tr>
      <w:tr>
        <w:trPr/>
        <w:tc>
          <w:tcPr>
            <w:tcW w:w="5324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Internal evaluation delay (trial extended / waiting)</w:t>
            </w:r>
          </w:p>
        </w:tc>
        <w:tc>
          <w:tcPr>
            <w:tcW w:w="1405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1</w:t>
            </w:r>
          </w:p>
        </w:tc>
        <w:tc>
          <w:tcPr>
            <w:tcW w:w="2906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3.03%</w:t>
            </w:r>
          </w:p>
        </w:tc>
      </w:tr>
      <w:tr>
        <w:trPr/>
        <w:tc>
          <w:tcPr>
            <w:tcW w:w="5324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New requirement not met (unresolved gap)</w:t>
            </w:r>
          </w:p>
        </w:tc>
        <w:tc>
          <w:tcPr>
            <w:tcW w:w="1405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3</w:t>
            </w:r>
          </w:p>
        </w:tc>
        <w:tc>
          <w:tcPr>
            <w:tcW w:w="2906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9.09%</w:t>
            </w:r>
          </w:p>
        </w:tc>
      </w:tr>
      <w:tr>
        <w:trPr/>
        <w:tc>
          <w:tcPr>
            <w:tcW w:w="5324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</w:rPr>
              <w:jc w:val="center"/>
              <w:widowControl w:val="1"/>
            </w:pPr>
            <w:r w:rsidR="00000000" w:rsidDel="00000000" w:rsidRPr="00000000">
              <w:rPr>
                <w:b w:val="true"/>
              </w:rPr>
              <w:t xml:space="preserve">Total</w:t>
            </w:r>
          </w:p>
        </w:tc>
        <w:tc>
          <w:tcPr>
            <w:tcW w:w="1405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</w:rPr>
              <w:jc w:val="center"/>
              <w:widowControl w:val="1"/>
            </w:pPr>
            <w:r w:rsidR="00000000" w:rsidDel="00000000" w:rsidRPr="00000000">
              <w:rPr>
                <w:b w:val="true"/>
              </w:rPr>
              <w:t xml:space="preserve">33</w:t>
            </w:r>
          </w:p>
        </w:tc>
        <w:tc>
          <w:tcPr>
            <w:tcW w:w="2906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</w:rPr>
              <w:jc w:val="center"/>
              <w:widowControl w:val="1"/>
            </w:pPr>
            <w:r w:rsidR="00000000" w:rsidDel="00000000" w:rsidRPr="00000000">
              <w:rPr>
                <w:b w:val="true"/>
              </w:rPr>
              <w:t xml:space="preserve">100%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bookmarkStart w:id="c09resjq7fj7" w:name="_Tocrah2f3v1q77j"/>
    </w:p>
    <w:tbl>
      <w:tblPr>
        <w:tblStyle w:val="8489469"/>
        <w:tblW w:w="9691" w:type="dxa"/>
        <w:tblInd w:w="0" w:type="dxa"/>
        <w:tblLayout w:type="fixed"/>
        <w:tblLook w:val="00000400"/>
      </w:tblPr>
      <w:tblGrid>
        <w:gridCol w:w="6656"/>
        <w:gridCol w:w="3036"/>
      </w:tblGrid>
      <w:tr>
        <w:trPr/>
        <w:tc>
          <w:tcPr>
            <w:tcW w:w="6656" w:type="dxa"/>
            <w:tcBorders/>
            <w:tcMar>
              <w:top w:w="150" w:type="dxa"/>
              <w:left w:w="210" w:type="dxa"/>
              <w:right w:w="210" w:type="dxa"/>
              <w:bottom w:w="15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</w:rPr>
              <w:jc w:val="center"/>
              <w:widowControl w:val="1"/>
            </w:pPr>
            <w:r w:rsidR="00000000" w:rsidDel="00000000" w:rsidRPr="00000000">
              <w:rPr>
                <w:b w:val="true"/>
              </w:rPr>
              <w:t xml:space="preserve">Requirement</w:t>
            </w:r>
          </w:p>
        </w:tc>
        <w:tc>
          <w:tcPr>
            <w:tcW w:w="3036" w:type="dxa"/>
            <w:tcBorders/>
            <w:tcMar>
              <w:top w:w="150" w:type="dxa"/>
              <w:left w:w="210" w:type="dxa"/>
              <w:right w:w="210" w:type="dxa"/>
              <w:bottom w:w="15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vertAlign w:val="baseline"/>
              </w:rPr>
              <w:t xml:space="preserve">Ticket</w:t>
            </w:r>
          </w:p>
        </w:tc>
      </w:tr>
      <w:tr>
        <w:trPr/>
        <w:tc>
          <w:tcPr>
            <w:tcW w:w="6656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Integration with Compute Office</w:t>
            </w:r>
          </w:p>
        </w:tc>
        <w:tc>
          <w:tcPr>
            <w:tcW w:w="3036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>
                <w:vertAlign w:val="baseline"/>
              </w:rPr>
              <w:t xml:space="preserve">#157176847</w:t>
            </w:r>
          </w:p>
        </w:tc>
      </w:tr>
      <w:tr>
        <w:trPr/>
        <w:tc>
          <w:tcPr>
            <w:tcW w:w="6656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Custom roles and permissions</w:t>
            </w:r>
          </w:p>
        </w:tc>
        <w:tc>
          <w:tcPr>
            <w:tcW w:w="3036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>
                <w:vertAlign w:val="baseline"/>
              </w:rPr>
              <w:t xml:space="preserve"> #157476921</w:t>
            </w:r>
          </w:p>
        </w:tc>
      </w:tr>
      <w:tr>
        <w:trPr/>
        <w:tc>
          <w:tcPr>
            <w:tcW w:w="6656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Integration with Zoho Books for document workflows</w:t>
            </w:r>
          </w:p>
        </w:tc>
        <w:tc>
          <w:tcPr>
            <w:tcW w:w="3036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>
                <w:vertAlign w:val="baseline"/>
              </w:rPr>
              <w:t xml:space="preserve">#157533253</w:t>
            </w:r>
          </w:p>
        </w:tc>
      </w:tr>
      <w:tr>
        <w:trPr/>
        <w:tc>
          <w:tcPr>
            <w:tcW w:w="6656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End-to-end automation (ingest → process → push back)</w:t>
            </w:r>
          </w:p>
        </w:tc>
        <w:tc>
          <w:tcPr>
            <w:tcW w:w="3036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>
                <w:vertAlign w:val="baseline"/>
              </w:rPr>
              <w:t xml:space="preserve">#157533253</w:t>
            </w:r>
          </w:p>
        </w:tc>
      </w:tr>
      <w:tr>
        <w:trPr/>
        <w:tc>
          <w:tcPr>
            <w:tcW w:w="6656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Figma file (.fig) preview support for approvals workflow</w:t>
            </w:r>
          </w:p>
        </w:tc>
        <w:tc>
          <w:tcPr>
            <w:tcW w:w="3036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>
                <w:vertAlign w:val="baseline"/>
              </w:rPr>
              <w:t xml:space="preserve">#157838417</w:t>
            </w:r>
          </w:p>
        </w:tc>
      </w:tr>
      <w:tr>
        <w:trPr/>
        <w:tc>
          <w:tcPr>
            <w:tcW w:w="6656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Document reminders</w:t>
            </w:r>
          </w:p>
        </w:tc>
        <w:tc>
          <w:tcPr>
            <w:tcW w:w="3036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>
                <w:vertAlign w:val="baseline"/>
              </w:rPr>
              <w:t xml:space="preserve">#158148360</w:t>
            </w:r>
          </w:p>
        </w:tc>
      </w:tr>
      <w:tr>
        <w:trPr/>
        <w:tc>
          <w:tcPr>
            <w:tcW w:w="6656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Page-level search navigation</w:t>
            </w:r>
          </w:p>
        </w:tc>
        <w:tc>
          <w:tcPr>
            <w:tcW w:w="3036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>
                <w:vertAlign w:val="baseline"/>
              </w:rPr>
              <w:t xml:space="preserve">#109352167</w:t>
            </w:r>
          </w:p>
        </w:tc>
      </w:tr>
      <w:tr>
        <w:trPr/>
        <w:tc>
          <w:tcPr>
            <w:tcW w:w="6656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WorkDrive–Workline integration via API</w:t>
            </w:r>
          </w:p>
        </w:tc>
        <w:tc>
          <w:tcPr>
            <w:tcW w:w="3036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>
                <w:vertAlign w:val="baseline"/>
              </w:rPr>
              <w:t xml:space="preserve">#156552609</w:t>
            </w:r>
          </w:p>
        </w:tc>
      </w:tr>
      <w:tr>
        <w:trPr/>
        <w:tc>
          <w:tcPr>
            <w:tcW w:w="6656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Affordable storage add-on pricing</w:t>
            </w:r>
          </w:p>
        </w:tc>
        <w:tc>
          <w:tcPr>
            <w:tcW w:w="3036" w:type="dxa"/>
            <w:tcBorders/>
            <w:tcMar>
              <w:top w:w="135" w:type="dxa"/>
              <w:left w:w="210" w:type="dxa"/>
              <w:right w:w="210" w:type="dxa"/>
              <w:bottom w:w="135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>
                <w:vertAlign w:val="baseline"/>
              </w:rPr>
              <w:t xml:space="preserve">#157891018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Subtitle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4"/>
        <w:outlineLvl w:val="3"/>
        <w:widowControl w:val="1"/>
      </w:pPr>
      <w:bookmarkStart w:id="5yyrkea5o14v" w:name="_Tocxdejolqalw9v"/>
      <w:r w:rsidR="00000000" w:rsidDel="00000000" w:rsidRPr="00000000">
        <w:rPr/>
        <w:t xml:space="preserve">Observations:</w:t>
      </w:r>
      <w:bookmarkEnd w:id="c09resjq7fj7"/>
      <w:bookmarkEnd w:id="5yyrkea5o14v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color w:val="000000"/>
          <w:sz w:val="24.0"/>
        </w:rPr>
        <w:numPr>
          <w:ilvl w:val="0"/>
          <w:numId w:val="1318916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More than half of the lost opportunities were due to no response even after multiple follow-ups.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color w:val="000000"/>
          <w:sz w:val="24.0"/>
        </w:rPr>
        <w:numPr>
          <w:ilvl w:val="0"/>
          <w:numId w:val="1318916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 Delayed decision-making and extended evaluation cycles contributed to additional deal loss scenarios.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color w:val="000000"/>
          <w:sz w:val="24.0"/>
        </w:rPr>
        <w:numPr>
          <w:ilvl w:val="0"/>
          <w:numId w:val="1318916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 Pricing concerns and existing solution dependency accounted for only a small portion of the overall losses.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color w:val="000000"/>
          <w:sz w:val="24.0"/>
        </w:rPr>
        <w:numPr>
          <w:ilvl w:val="0"/>
          <w:numId w:val="1318916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 Most lost deals were due to feature limitations as well.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widowControl w:val="1"/>
      </w:pPr>
      <w:bookmarkStart w:id="torptw7x5fwl" w:name="_Tocmfeki20y1ahi"/>
      <w:r w:rsidR="00000000" w:rsidDel="00000000" w:rsidRPr="00000000">
        <w:rPr/>
        <w:t xml:space="preserve">Other Case Breakdown:</w:t>
      </w:r>
      <w:bookmarkEnd w:id="torptw7x5fwl"/>
    </w:p>
    <w:tbl>
      <w:tblPr>
        <w:tblStyle w:val="4176744"/>
        <w:tblW w:w="5406" w:type="dxa"/>
        <w:tblInd w:w="0" w:type="dxa"/>
        <w:tblLayout w:type="fixed"/>
        <w:tblLook w:val="00000400"/>
      </w:tblPr>
      <w:tblGrid>
        <w:gridCol w:w="3371"/>
        <w:gridCol w:w="2035"/>
      </w:tblGrid>
      <w:tr>
        <w:trPr/>
        <w:tc>
          <w:tcPr>
            <w:tcW w:w="3371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  <w:sz w:val="28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</w:rPr>
              <w:t xml:space="preserve">Category</w:t>
            </w:r>
          </w:p>
        </w:tc>
        <w:tc>
          <w:tcPr>
            <w:tcW w:w="2035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  <w:sz w:val="28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</w:rPr>
              <w:t xml:space="preserve">Count</w:t>
            </w:r>
          </w:p>
        </w:tc>
      </w:tr>
      <w:tr>
        <w:trPr/>
        <w:tc>
          <w:tcPr>
            <w:tcW w:w="3371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New Prospects</w:t>
            </w:r>
          </w:p>
        </w:tc>
        <w:tc>
          <w:tcPr>
            <w:tcW w:w="2035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68</w:t>
            </w:r>
          </w:p>
        </w:tc>
      </w:tr>
      <w:tr>
        <w:trPr/>
        <w:tc>
          <w:tcPr>
            <w:tcW w:w="3371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Repeat Engagements</w:t>
            </w:r>
          </w:p>
        </w:tc>
        <w:tc>
          <w:tcPr>
            <w:tcW w:w="2035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17</w:t>
            </w:r>
          </w:p>
        </w:tc>
      </w:tr>
      <w:tr>
        <w:trPr/>
        <w:tc>
          <w:tcPr>
            <w:tcW w:w="3371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Free Org</w:t>
            </w:r>
          </w:p>
        </w:tc>
        <w:tc>
          <w:tcPr>
            <w:tcW w:w="2035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2</w:t>
            </w:r>
          </w:p>
        </w:tc>
      </w:tr>
      <w:tr>
        <w:trPr/>
        <w:tc>
          <w:tcPr>
            <w:tcW w:w="3371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Existing Org</w:t>
            </w:r>
          </w:p>
        </w:tc>
        <w:tc>
          <w:tcPr>
            <w:tcW w:w="2035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9</w:t>
            </w:r>
          </w:p>
        </w:tc>
      </w:tr>
      <w:tr>
        <w:trPr/>
        <w:tc>
          <w:tcPr>
            <w:tcW w:w="3371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No Scope</w:t>
            </w:r>
          </w:p>
        </w:tc>
        <w:tc>
          <w:tcPr>
            <w:tcW w:w="2035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5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rPr>
          <w:sz w:val="28.0"/>
          <w:vertAlign w:val="baseline"/>
        </w:rPr>
        <w:tabs>
          <w:tab w:pos="3945" w:val="left" w:leader="none"/>
        </w:tabs>
        <w:widowControl w:val="1"/>
      </w:pPr>
      <w:r w:rsidR="00000000" w:rsidDel="00000000" w:rsidRPr="00000000">
        <w:rPr/>
        <w:tab/>
      </w:r>
    </w:p>
    <w:p xmlns:w14="http://schemas.microsoft.com/office/word/2010/wordml" w:rsidR="00000000" w:rsidRDefault="00000000" w14:textId="00000000" w:rsidDel="00000000" w:rsidP="00000000" w:rsidRPr="00000000">
      <w:pPr>
        <w:pStyle w:val="Heading4"/>
        <w:outlineLvl w:val="3"/>
        <w:widowControl w:val="1"/>
      </w:pPr>
      <w:bookmarkStart w:id="hakoqaqc4qnj" w:name="_Toc3g3x1cu0pyb6"/>
      <w:r w:rsidR="00000000" w:rsidDel="00000000" w:rsidRPr="00000000">
        <w:rPr/>
        <w:t xml:space="preserve">Observation:</w:t>
      </w:r>
      <w:bookmarkEnd w:id="hakoqaqc4qnj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color w:val="000000"/>
          <w:sz w:val="24.0"/>
        </w:rPr>
        <w:numPr>
          <w:ilvl w:val="0"/>
          <w:numId w:val="6140879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New prospects formed the majority of overall engagements during April.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color w:val="000000"/>
          <w:sz w:val="24.0"/>
        </w:rPr>
        <w:numPr>
          <w:ilvl w:val="0"/>
          <w:numId w:val="6140879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 Repeat engagements continued steadily, showing sustained follow-up activity with previously engaged prospects.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color w:val="000000"/>
          <w:sz w:val="24.0"/>
        </w:rPr>
        <w:numPr>
          <w:ilvl w:val="0"/>
          <w:numId w:val="6140879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 Existing organization requests primarily focused on workflow enhancements and integration requirements.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color w:val="000000"/>
          <w:sz w:val="24.0"/>
        </w:rPr>
        <w:numPr>
          <w:ilvl w:val="0"/>
          <w:numId w:val="6140879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 Very few cases were categorized as out-of-scope requests. 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rPr>
          <w:sz w:val="28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rPr/>
        <w:widowControl w:val="1"/>
      </w:pPr>
      <w:bookmarkStart w:id="tc4ealdihgvx" w:name="_Tocv06544qpmxb6"/>
      <w:r w:rsidR="00000000" w:rsidDel="00000000" w:rsidRPr="00000000">
        <w:rPr/>
        <w:t xml:space="preserve">Region-Wise Performance (Based on New Prospects): </w:t>
      </w:r>
      <w:bookmarkEnd w:id="tc4ealdihgvx"/>
      <w:r w:rsidR="00000000" w:rsidDel="00000000" w:rsidRPr="00000000">
        <w:rPr/>
        <w:t xml:space="preserve">Feb 2026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tbl>
      <w:tblPr>
        <w:tblStyle w:val="1351687"/>
        <w:tblW w:w="8135" w:type="dxa"/>
        <w:tblInd w:w="0" w:type="dxa"/>
        <w:tblLayout w:type="fixed"/>
        <w:tblLook w:val="00000400"/>
      </w:tblPr>
      <w:tblGrid>
        <w:gridCol w:w="2619"/>
        <w:gridCol w:w="2206"/>
        <w:gridCol w:w="1781"/>
        <w:gridCol w:w="1528"/>
      </w:tblGrid>
      <w:tr>
        <w:trPr/>
        <w:tc>
          <w:tcPr>
            <w:tcW w:w="2619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  <w:sz w:val="28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</w:rPr>
              <w:t xml:space="preserve">Region</w:t>
            </w:r>
          </w:p>
        </w:tc>
        <w:tc>
          <w:tcPr>
            <w:tcW w:w="2206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  <w:sz w:val="28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</w:rPr>
              <w:t xml:space="preserve">Total Deals</w:t>
            </w:r>
          </w:p>
        </w:tc>
        <w:tc>
          <w:tcPr>
            <w:tcW w:w="1781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  <w:sz w:val="28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</w:rPr>
              <w:t xml:space="preserve">Deal Won</w:t>
            </w:r>
          </w:p>
        </w:tc>
        <w:tc>
          <w:tcPr>
            <w:tcW w:w="1528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  <w:sz w:val="28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</w:rPr>
              <w:t xml:space="preserve">Deal Lost</w:t>
            </w:r>
          </w:p>
        </w:tc>
      </w:tr>
      <w:tr>
        <w:trPr/>
        <w:tc>
          <w:tcPr>
            <w:tcW w:w="2619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  <w:sz w:val="28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</w:rPr>
              <w:t xml:space="preserve">IN</w:t>
            </w:r>
          </w:p>
        </w:tc>
        <w:tc>
          <w:tcPr>
            <w:tcW w:w="2206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50</w:t>
            </w:r>
          </w:p>
        </w:tc>
        <w:tc>
          <w:tcPr>
            <w:tcW w:w="1781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12</w:t>
            </w:r>
          </w:p>
        </w:tc>
        <w:tc>
          <w:tcPr>
            <w:tcW w:w="1528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25</w:t>
            </w:r>
          </w:p>
        </w:tc>
      </w:tr>
      <w:tr>
        <w:trPr/>
        <w:tc>
          <w:tcPr>
            <w:tcW w:w="2619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  <w:sz w:val="28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</w:rPr>
              <w:t xml:space="preserve">US</w:t>
            </w:r>
          </w:p>
        </w:tc>
        <w:tc>
          <w:tcPr>
            <w:tcW w:w="2206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9</w:t>
            </w:r>
          </w:p>
        </w:tc>
        <w:tc>
          <w:tcPr>
            <w:tcW w:w="1781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2</w:t>
            </w:r>
          </w:p>
        </w:tc>
        <w:tc>
          <w:tcPr>
            <w:tcW w:w="1528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6</w:t>
            </w:r>
          </w:p>
        </w:tc>
      </w:tr>
      <w:tr>
        <w:trPr/>
        <w:tc>
          <w:tcPr>
            <w:tcW w:w="2619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  <w:sz w:val="28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</w:rPr>
              <w:t xml:space="preserve">EMEA</w:t>
            </w:r>
          </w:p>
        </w:tc>
        <w:tc>
          <w:tcPr>
            <w:tcW w:w="2206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5</w:t>
            </w:r>
          </w:p>
        </w:tc>
        <w:tc>
          <w:tcPr>
            <w:tcW w:w="1781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2</w:t>
            </w:r>
          </w:p>
        </w:tc>
        <w:tc>
          <w:tcPr>
            <w:tcW w:w="1528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2</w:t>
            </w:r>
          </w:p>
        </w:tc>
      </w:tr>
      <w:tr>
        <w:trPr/>
        <w:tc>
          <w:tcPr>
            <w:tcW w:w="2619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  <w:sz w:val="28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</w:rPr>
              <w:t xml:space="preserve">ANZ</w:t>
            </w:r>
          </w:p>
        </w:tc>
        <w:tc>
          <w:tcPr>
            <w:tcW w:w="2206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0</w:t>
            </w:r>
          </w:p>
        </w:tc>
        <w:tc>
          <w:tcPr>
            <w:tcW w:w="1781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0</w:t>
            </w:r>
          </w:p>
        </w:tc>
        <w:tc>
          <w:tcPr>
            <w:tcW w:w="1528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0</w:t>
            </w:r>
          </w:p>
        </w:tc>
      </w:tr>
      <w:tr>
        <w:trPr/>
        <w:tc>
          <w:tcPr>
            <w:tcW w:w="2619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  <w:sz w:val="28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</w:rPr>
              <w:t xml:space="preserve">APAC</w:t>
            </w:r>
          </w:p>
        </w:tc>
        <w:tc>
          <w:tcPr>
            <w:tcW w:w="2206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1</w:t>
            </w:r>
          </w:p>
        </w:tc>
        <w:tc>
          <w:tcPr>
            <w:tcW w:w="1781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0</w:t>
            </w:r>
          </w:p>
        </w:tc>
        <w:tc>
          <w:tcPr>
            <w:tcW w:w="1528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0</w:t>
            </w:r>
          </w:p>
        </w:tc>
      </w:tr>
      <w:tr>
        <w:trPr/>
        <w:tc>
          <w:tcPr>
            <w:tcW w:w="2619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  <w:sz w:val="28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</w:rPr>
              <w:t xml:space="preserve">EU</w:t>
            </w:r>
          </w:p>
        </w:tc>
        <w:tc>
          <w:tcPr>
            <w:tcW w:w="2206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3</w:t>
            </w:r>
          </w:p>
        </w:tc>
        <w:tc>
          <w:tcPr>
            <w:tcW w:w="1781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2</w:t>
            </w:r>
          </w:p>
        </w:tc>
        <w:tc>
          <w:tcPr>
            <w:tcW w:w="1528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0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rPr>
          <w:sz w:val="28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4"/>
        <w:outlineLvl w:val="3"/>
        <w:widowControl w:val="1"/>
      </w:pPr>
      <w:bookmarkStart w:id="jj9rxpywaem9" w:name="_Toc1mzd9az7f04v"/>
      <w:r w:rsidR="00000000" w:rsidDel="00000000" w:rsidRPr="00000000">
        <w:rPr/>
        <w:t xml:space="preserve">Observation:</w:t>
      </w:r>
      <w:bookmarkEnd w:id="jj9rxpywaem9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color w:val="000000"/>
          <w:sz w:val="24.0"/>
        </w:rPr>
        <w:numPr>
          <w:ilvl w:val="0"/>
          <w:numId w:val="4106180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India contributed the highest number of opportunities and overall deal closures during April.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color w:val="000000"/>
          <w:sz w:val="24.0"/>
        </w:rPr>
        <w:numPr>
          <w:ilvl w:val="0"/>
          <w:numId w:val="1759188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 US and EMEA regions maintained stable conversion performance with lower deal-loss ratios.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color w:val="000000"/>
          <w:sz w:val="24.0"/>
        </w:rPr>
        <w:numPr>
          <w:ilvl w:val="0"/>
          <w:numId w:val="2638205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 APAC and ANZ regions had comparatively lower engagement volumes during the month.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color w:val="000000"/>
          <w:sz w:val="24.0"/>
        </w:rPr>
        <w:numPr>
          <w:ilvl w:val="0"/>
          <w:numId w:val="5675554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 Regional enterprise discussions were mainly centered around migration, compliance, and sharing controls.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widowControl w:val="1"/>
      </w:pPr>
      <w:bookmarkStart w:id="nmne4ywvckxy" w:name="_Tocbr62k5mls2xn"/>
      <w:r w:rsidR="00000000" w:rsidDel="00000000" w:rsidRPr="00000000">
        <w:rPr/>
        <w:t xml:space="preserve">Deal Source Analysis:</w:t>
      </w:r>
      <w:bookmarkEnd w:id="nmne4ywvckxy"/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tbl>
      <w:tblPr>
        <w:tblStyle w:val="8412754"/>
        <w:tblW w:w="5319" w:type="dxa"/>
        <w:tblInd w:w="0" w:type="dxa"/>
        <w:tblLayout w:type="fixed"/>
        <w:tblLook w:val="00000400"/>
      </w:tblPr>
      <w:tblGrid>
        <w:gridCol w:w="3345"/>
        <w:gridCol w:w="1974"/>
      </w:tblGrid>
      <w:tr>
        <w:trPr/>
        <w:tc>
          <w:tcPr>
            <w:tcW w:w="3345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  <w:sz w:val="28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</w:rPr>
              <w:t xml:space="preserve">Source</w:t>
            </w:r>
          </w:p>
        </w:tc>
        <w:tc>
          <w:tcPr>
            <w:tcW w:w="1974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  <w:sz w:val="28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</w:rPr>
              <w:t xml:space="preserve">Count</w:t>
            </w:r>
          </w:p>
        </w:tc>
      </w:tr>
      <w:tr>
        <w:trPr/>
        <w:tc>
          <w:tcPr>
            <w:tcW w:w="3345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WorkDrive – Book a Demo</w:t>
            </w:r>
          </w:p>
        </w:tc>
        <w:tc>
          <w:tcPr>
            <w:tcW w:w="1974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57</w:t>
            </w:r>
          </w:p>
        </w:tc>
      </w:tr>
      <w:tr>
        <w:trPr/>
        <w:tc>
          <w:tcPr>
            <w:tcW w:w="3345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From Sales End</w:t>
            </w:r>
          </w:p>
        </w:tc>
        <w:tc>
          <w:tcPr>
            <w:tcW w:w="1974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27</w:t>
            </w:r>
          </w:p>
        </w:tc>
      </w:tr>
      <w:tr>
        <w:trPr/>
        <w:tc>
          <w:tcPr>
            <w:tcW w:w="3345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WD Live Support</w:t>
            </w:r>
          </w:p>
        </w:tc>
        <w:tc>
          <w:tcPr>
            <w:tcW w:w="1974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16</w:t>
            </w:r>
          </w:p>
        </w:tc>
      </w:tr>
      <w:tr>
        <w:trPr/>
        <w:tc>
          <w:tcPr>
            <w:tcW w:w="3345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Internal Loop</w:t>
            </w:r>
          </w:p>
        </w:tc>
        <w:tc>
          <w:tcPr>
            <w:tcW w:w="1974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3</w:t>
            </w:r>
          </w:p>
        </w:tc>
      </w:tr>
      <w:tr>
        <w:trPr/>
        <w:tc>
          <w:tcPr>
            <w:tcW w:w="3345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Direct Mail to Presales</w:t>
            </w:r>
          </w:p>
        </w:tc>
        <w:tc>
          <w:tcPr>
            <w:tcW w:w="1974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2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rPr>
          <w:sz w:val="28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widowControl w:val="1"/>
      </w:pPr>
      <w:bookmarkStart w:id="j6zkcx4i0rs9" w:name="_Tocao0eo17mlr8j"/>
      <w:r w:rsidR="00000000" w:rsidDel="00000000" w:rsidRPr="00000000">
        <w:rPr/>
        <w:t xml:space="preserve">Observation</w:t>
      </w:r>
      <w:bookmarkEnd w:id="j6zkcx4i0rs9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color w:val="000000"/>
          <w:sz w:val="24.0"/>
        </w:rPr>
        <w:numPr>
          <w:ilvl w:val="0"/>
          <w:numId w:val="7054223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“Book a Demo” remained the primary lead source contributing the highest number of opportunities.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color w:val="000000"/>
          <w:sz w:val="24.0"/>
        </w:rPr>
        <w:numPr>
          <w:ilvl w:val="0"/>
          <w:numId w:val="7054223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 Sales-referred opportunities continued to contribute significantly to enterprise discussions.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color w:val="000000"/>
          <w:sz w:val="24.0"/>
        </w:rPr>
        <w:numPr>
          <w:ilvl w:val="0"/>
          <w:numId w:val="7054223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 Live support channels also played an important role in generating qualified engagements.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color w:val="000000"/>
          <w:sz w:val="24.0"/>
        </w:rPr>
        <w:numPr>
          <w:ilvl w:val="0"/>
          <w:numId w:val="7054223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 Direct outreach and internal referrals contributed comparatively fewer leads. 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rPr>
          <w:sz w:val="28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widowControl w:val="1"/>
      </w:pPr>
      <w:bookmarkStart w:id="tqucpfspx3gj" w:name="_Tockfzcx4eaxgnf"/>
      <w:r w:rsidR="00000000" w:rsidDel="00000000" w:rsidRPr="00000000">
        <w:rPr/>
        <w:t xml:space="preserve">Requests Handled:</w:t>
      </w:r>
      <w:bookmarkEnd w:id="tqucpfspx3gj"/>
    </w:p>
    <w:tbl>
      <w:tblPr>
        <w:tblStyle w:val="5862763"/>
        <w:tblW w:w="4075" w:type="dxa"/>
        <w:jc w:val="left"/>
        <w:tblInd w:w="-225" w:type="dxa"/>
        <w:tblLayout w:type="fixed"/>
        <w:tblLook w:val="00000400"/>
      </w:tblPr>
      <w:tblGrid>
        <w:gridCol w:w="2079"/>
        <w:gridCol w:w="1996"/>
      </w:tblGrid>
      <w:tr>
        <w:trPr/>
        <w:tc>
          <w:tcPr>
            <w:tcW w:w="2079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  <w:sz w:val="28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</w:rPr>
              <w:t xml:space="preserve">Channel</w:t>
            </w:r>
          </w:p>
        </w:tc>
        <w:tc>
          <w:tcPr>
            <w:tcW w:w="1996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b w:val="true"/>
                <w:sz w:val="28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</w:rPr>
              <w:t xml:space="preserve">Count</w:t>
            </w:r>
          </w:p>
        </w:tc>
      </w:tr>
      <w:tr>
        <w:trPr/>
        <w:tc>
          <w:tcPr>
            <w:tcW w:w="2079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Emails</w:t>
            </w:r>
          </w:p>
        </w:tc>
        <w:tc>
          <w:tcPr>
            <w:tcW w:w="1996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556</w:t>
            </w:r>
          </w:p>
        </w:tc>
      </w:tr>
      <w:tr>
        <w:trPr/>
        <w:tc>
          <w:tcPr>
            <w:tcW w:w="2079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Demos</w:t>
            </w:r>
          </w:p>
        </w:tc>
        <w:tc>
          <w:tcPr>
            <w:tcW w:w="1996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106</w:t>
            </w:r>
          </w:p>
        </w:tc>
      </w:tr>
      <w:tr>
        <w:trPr/>
        <w:tc>
          <w:tcPr>
            <w:tcW w:w="2079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Calls</w:t>
            </w:r>
          </w:p>
        </w:tc>
        <w:tc>
          <w:tcPr>
            <w:tcW w:w="1996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jc w:val="center"/>
              <w:widowControl w:val="1"/>
            </w:pPr>
            <w:r w:rsidR="00000000" w:rsidDel="00000000" w:rsidRPr="00000000">
              <w:rPr/>
              <w:t xml:space="preserve">117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widowControl w:val="1"/>
      </w:pPr>
      <w:bookmarkStart w:id="85hp75qbu0j4" w:name="_Tocko2f43bcrc95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widowControl w:val="1"/>
      </w:pPr>
      <w:r w:rsidR="00000000" w:rsidDel="00000000" w:rsidRPr="00000000">
        <w:rPr/>
        <w:t xml:space="preserve">Feature Demand Analysis:</w:t>
      </w:r>
      <w:bookmarkEnd w:id="85hp75qbu0j4"/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  <w:vertAlign w:val="baseline"/>
        </w:rPr>
        <w:t xml:space="preserve">Workflow Enhancements:</w:t>
      </w:r>
    </w:p>
    <w:p xmlns:w14="http://schemas.microsoft.com/office/word/2010/wordml" w:rsidR="00000000" w:rsidRDefault="00000000" w14:textId="00000000" w:rsidDel="00000000" w:rsidP="00000000" w:rsidRPr="00000000">
      <w:pPr>
        <w:rPr>
          <w:vertAlign w:val="baseline"/>
        </w:rPr>
        <w:widowControl w:val="1"/>
      </w:pPr>
    </w:p>
    <w:tbl>
      <w:tblPr>
        <w:tblStyle w:val="4554684"/>
        <w:tblW w:w="9899" w:type="dxa"/>
        <w:tblInd w:w="0" w:type="dxa"/>
        <w:tblLayout w:type="fixed"/>
        <w:tblLook w:val="00000420"/>
      </w:tblPr>
      <w:tblGrid>
        <w:gridCol w:w="1803"/>
        <w:gridCol w:w="4447"/>
        <w:gridCol w:w="1629"/>
        <w:gridCol w:w="2020"/>
      </w:tblGrid>
      <w:tr>
        <w:trPr/>
        <w:tc>
          <w:tcPr>
            <w:tcW w:w="1803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Feature Name</w:t>
            </w:r>
          </w:p>
        </w:tc>
        <w:tc>
          <w:tcPr>
            <w:tcW w:w="4447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Feature Description</w:t>
            </w:r>
          </w:p>
        </w:tc>
        <w:tc>
          <w:tcPr>
            <w:tcW w:w="1629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Ticket ID</w:t>
            </w:r>
          </w:p>
        </w:tc>
        <w:tc>
          <w:tcPr>
            <w:tcW w:w="2020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Sprint Link</w:t>
            </w:r>
          </w:p>
        </w:tc>
      </w:tr>
      <w:tr>
        <w:trPr/>
        <w:tc>
          <w:tcPr>
            <w:tcW w:w="1803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Advanced Workflow Analytics Dashboard</w:t>
            </w:r>
          </w:p>
        </w:tc>
        <w:tc>
          <w:tcPr>
            <w:tcW w:w="4447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Centralized project-wise and overall workflow dashboard with pending internal/client approvals, overdue tracking, pending submissions, and reporting integration support via Zoho Analytics or Zoho Creator.</w:t>
            </w:r>
          </w:p>
        </w:tc>
        <w:tc>
          <w:tcPr>
            <w:tcW w:w="1629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#157238382</w:t>
            </w:r>
          </w:p>
        </w:tc>
        <w:tc>
          <w:tcPr>
            <w:tcW w:w="2020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0.0"/>
              <w:rPr>
                <w:color w:val="000000"/>
                <w:sz w:val="20.0"/>
              </w:rPr>
              <w:widowControl w:val="1"/>
            </w:pPr>
            <w:hyperlink xmlns:r="http://schemas.openxmlformats.org/officeDocument/2006/relationships" r:id="rId10">
              <w:r w:rsidR="00000000" w:rsidDel="00000000" w:rsidRPr="00000000">
                <w:rPr>
                  <w:rFonts w:ascii="Arial Regular" w:eastAsia="Arial Regular" w:hAnsi="Arial Regular" w:cs="Arial Regular"/>
                  <w:sz w:val="20.0"/>
                  <w:vertAlign w:val="baseline"/>
                  <w:rStyle w:val="Hyperlink"/>
                </w:rPr>
                <w:t xml:space="preserve">https://sprints.zoho.in/workspace/zdocs#P15/itemdetails/I8296</w:t>
              </w:r>
            </w:hyperlink>
          </w:p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</w:p>
        </w:tc>
      </w:tr>
      <w:tr>
        <w:trPr/>
        <w:tc>
          <w:tcPr>
            <w:tcW w:w="1803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Workflow Due Date Tracking</w:t>
            </w:r>
          </w:p>
        </w:tc>
        <w:tc>
          <w:tcPr>
            <w:tcW w:w="4447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Centralized tracking view for files that crossed due dates along with pending workflow participants.</w:t>
            </w:r>
          </w:p>
        </w:tc>
        <w:tc>
          <w:tcPr>
            <w:tcW w:w="1629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#149970514</w:t>
            </w:r>
          </w:p>
        </w:tc>
        <w:tc>
          <w:tcPr>
            <w:tcW w:w="2020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i w:val="false"/>
                <w:color w:val="185C8A"/>
                <w:spacing w:val="0"/>
                <w:sz w:val="20.0"/>
                <w:u w:val="single"/>
                <w:shd w:fill="auto" w:val="clear" w:color="auto"/>
                <w:vertAlign w:val="baseline"/>
              </w:rPr>
              <w:t xml:space="preserve">https://sprints.zoho.in/workspace/zdocs#P15/itemdetails/I829</w:t>
            </w:r>
            <w:r w:rsidR="00000000" w:rsidDel="00000000" w:rsidRPr="00000000">
              <w:rPr>
                <w:b w:val="false"/>
                <w:rFonts w:ascii="Roboto" w:eastAsia="Roboto" w:hAnsi="Roboto" w:cs="Roboto"/>
                <w:i w:val="false"/>
                <w:color w:val="185C8A"/>
                <w:spacing w:val="0"/>
                <w:sz w:val="20.0"/>
                <w:u w:val="single"/>
                <w:shd w:fill="FFFFFF" w:val="clear" w:color="auto"/>
                <w:vertAlign w:val="baseline"/>
              </w:rPr>
              <w:t xml:space="preserve">7</w:t>
            </w:r>
          </w:p>
        </w:tc>
      </w:tr>
      <w:tr>
        <w:trPr/>
        <w:tc>
          <w:tcPr>
            <w:tcW w:w="1803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Expiry Tracking &amp; Alerts</w:t>
            </w:r>
          </w:p>
        </w:tc>
        <w:tc>
          <w:tcPr>
            <w:tcW w:w="4447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Expiry tracking with automated alerts to support expiry workflows, notifications, and document validation.</w:t>
            </w:r>
          </w:p>
        </w:tc>
        <w:tc>
          <w:tcPr>
            <w:tcW w:w="1629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#158062577</w:t>
            </w:r>
          </w:p>
        </w:tc>
        <w:tc>
          <w:tcPr>
            <w:tcW w:w="2020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hyperlink xmlns:r="http://schemas.openxmlformats.org/officeDocument/2006/relationships" r:id="rId11">
              <w:r w:rsidR="00000000" w:rsidDel="00000000" w:rsidRPr="00000000">
                <w:rPr>
                  <w:sz w:val="24.0"/>
                  <w:rStyle w:val="Hyperlink"/>
                </w:rPr>
                <w:t xml:space="preserve">https://sprints.zoho.in/workspace/zdocs#P15/itemdetails/17850</w:t>
              </w:r>
            </w:hyperlink>
          </w:p>
        </w:tc>
      </w:tr>
      <w:tr>
        <w:trPr/>
        <w:tc>
          <w:tcPr>
            <w:tcW w:w="1803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Long-Term Document Reminder Workflow</w:t>
            </w:r>
          </w:p>
        </w:tc>
        <w:tc>
          <w:tcPr>
            <w:tcW w:w="4447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Long-term recurring document reminder workflows for approvals, renewals, and policy tracking.</w:t>
            </w:r>
          </w:p>
        </w:tc>
        <w:tc>
          <w:tcPr>
            <w:tcW w:w="1629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#158148360</w:t>
            </w:r>
          </w:p>
        </w:tc>
        <w:tc>
          <w:tcPr>
            <w:tcW w:w="2020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hyperlink xmlns:r="http://schemas.openxmlformats.org/officeDocument/2006/relationships" r:id="rId12">
              <w:r w:rsidR="00000000" w:rsidDel="00000000" w:rsidRPr="00000000">
                <w:rPr>
                  <w:sz w:val="24.0"/>
                  <w:rStyle w:val="Hyperlink"/>
                </w:rPr>
                <w:t xml:space="preserve">https://sprints.zoho.in/workspace/zdocs#P15/itemdetails/17858</w:t>
              </w:r>
            </w:hyperlink>
          </w:p>
        </w:tc>
      </w:tr>
      <w:tr>
        <w:trPr/>
        <w:tc>
          <w:tcPr>
            <w:tcW w:w="1803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Policy Renewal Reminder Workflow</w:t>
            </w:r>
          </w:p>
        </w:tc>
        <w:tc>
          <w:tcPr>
            <w:tcW w:w="4447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Automated policy renewal reminder workflows with version update tracking support.</w:t>
            </w:r>
          </w:p>
        </w:tc>
        <w:tc>
          <w:tcPr>
            <w:tcW w:w="1629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#158466041</w:t>
            </w:r>
          </w:p>
        </w:tc>
        <w:tc>
          <w:tcPr>
            <w:tcW w:w="2020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hyperlink xmlns:r="http://schemas.openxmlformats.org/officeDocument/2006/relationships" r:id="rId13">
              <w:r w:rsidR="00000000" w:rsidDel="00000000" w:rsidRPr="00000000">
                <w:rPr>
                  <w:sz w:val="24.0"/>
                  <w:rStyle w:val="Hyperlink"/>
                </w:rPr>
                <w:t xml:space="preserve">https://sprints.zoho.in/workspace/zdocs#P15/itemdetails/17885</w:t>
              </w:r>
            </w:hyperlink>
          </w:p>
        </w:tc>
      </w:tr>
      <w:tr>
        <w:trPr/>
        <w:tc>
          <w:tcPr>
            <w:tcW w:w="1803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Workflow Audit Trail Embedding</w:t>
            </w:r>
          </w:p>
        </w:tc>
        <w:tc>
          <w:tcPr>
            <w:tcW w:w="4447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Automatically capture workflow activity logs in a structured table format and embed them within the final approved document.</w:t>
            </w:r>
          </w:p>
        </w:tc>
        <w:tc>
          <w:tcPr>
            <w:tcW w:w="1629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#155995585</w:t>
            </w:r>
          </w:p>
        </w:tc>
        <w:tc>
          <w:tcPr>
            <w:tcW w:w="2020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sz w:val="24.0"/>
              </w:rPr>
              <w:t xml:space="preserve">Supported through custom functions.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  <w:vertAlign w:val="baseline"/>
        </w:rPr>
        <w:t xml:space="preserve">External Integrations &amp; Migration: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tbl>
      <w:tblPr>
        <w:tblStyle w:val="2741768"/>
        <w:tblW w:w="10022" w:type="dxa"/>
        <w:tblInd w:w="0" w:type="dxa"/>
        <w:tblLayout w:type="fixed"/>
        <w:tblLook w:val="00000420"/>
      </w:tblPr>
      <w:tblGrid>
        <w:gridCol w:w="1898"/>
        <w:gridCol w:w="4234"/>
        <w:gridCol w:w="2009"/>
        <w:gridCol w:w="1882"/>
      </w:tblGrid>
      <w:tr>
        <w:trPr/>
        <w:tc>
          <w:tcPr>
            <w:tcW w:w="1898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Feature Name</w:t>
            </w:r>
          </w:p>
        </w:tc>
        <w:tc>
          <w:tcPr>
            <w:tcW w:w="4234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Feature Description</w:t>
            </w:r>
          </w:p>
        </w:tc>
        <w:tc>
          <w:tcPr>
            <w:tcW w:w="2009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Ticket ID</w:t>
            </w:r>
          </w:p>
        </w:tc>
        <w:tc>
          <w:tcPr>
            <w:tcW w:w="1882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Sprint Link</w:t>
            </w:r>
          </w:p>
        </w:tc>
      </w:tr>
      <w:tr>
        <w:trPr/>
        <w:tc>
          <w:tcPr>
            <w:tcW w:w="1898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SharePoint Migration Support</w:t>
            </w:r>
          </w:p>
        </w:tc>
        <w:tc>
          <w:tcPr>
            <w:tcW w:w="4234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Native migration support for transferring SharePoint data, structure, and permissions into Zoho WorkDrive for enterprise migration use cases.</w:t>
            </w:r>
          </w:p>
        </w:tc>
        <w:tc>
          <w:tcPr>
            <w:tcW w:w="2009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#158978615</w:t>
            </w:r>
          </w:p>
        </w:tc>
        <w:tc>
          <w:tcPr>
            <w:tcW w:w="1882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hyperlink xmlns:r="http://schemas.openxmlformats.org/officeDocument/2006/relationships" r:id="rId14">
              <w:r w:rsidR="00000000" w:rsidDel="00000000" w:rsidRPr="00000000">
                <w:rPr>
                  <w:rStyle w:val="Hyperlink"/>
                </w:rPr>
                <w:t xml:space="preserve">https://sprints.zoho.in/workspace/zdocs#P15/itemdetails/17689/description</w:t>
              </w:r>
            </w:hyperlink>
          </w:p>
        </w:tc>
      </w:tr>
      <w:tr>
        <w:trPr/>
        <w:tc>
          <w:tcPr>
            <w:tcW w:w="1898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Forcepoint DLP Integration</w:t>
            </w:r>
          </w:p>
        </w:tc>
        <w:tc>
          <w:tcPr>
            <w:tcW w:w="4234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Integration capability between Zoho WorkDrive and Forcepoint DLP for enterprise-grade data loss prevention and compliance monitoring.</w:t>
            </w:r>
          </w:p>
        </w:tc>
        <w:tc>
          <w:tcPr>
            <w:tcW w:w="2009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#158978615</w:t>
            </w:r>
          </w:p>
        </w:tc>
        <w:tc>
          <w:tcPr>
            <w:tcW w:w="1882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hyperlink xmlns:r="http://schemas.openxmlformats.org/officeDocument/2006/relationships" r:id="rId15">
              <w:r w:rsidR="00000000" w:rsidDel="00000000" w:rsidRPr="00000000">
                <w:rPr>
                  <w:rStyle w:val="Hyperlink"/>
                </w:rPr>
                <w:t xml:space="preserve">https://sprints.zoho.in/workspace/zdocs#P15/itemdetails/17467/description</w:t>
              </w:r>
            </w:hyperlink>
          </w:p>
        </w:tc>
      </w:tr>
      <w:tr>
        <w:trPr/>
        <w:tc>
          <w:tcPr>
            <w:tcW w:w="1898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GTB DLP Integration</w:t>
            </w:r>
          </w:p>
        </w:tc>
        <w:tc>
          <w:tcPr>
            <w:tcW w:w="4234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Integration support with GTB DLP for enterprise compliance workflows, including alerts/notifications when users attempt to share DLP-classified files.</w:t>
            </w:r>
          </w:p>
        </w:tc>
        <w:tc>
          <w:tcPr>
            <w:tcW w:w="2009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#153970357</w:t>
            </w:r>
          </w:p>
        </w:tc>
        <w:tc>
          <w:tcPr>
            <w:tcW w:w="1882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hyperlink xmlns:r="http://schemas.openxmlformats.org/officeDocument/2006/relationships" r:id="rId16">
              <w:r w:rsidR="00000000" w:rsidDel="00000000" w:rsidRPr="00000000">
                <w:rPr>
                  <w:rStyle w:val="Hyperlink"/>
                </w:rPr>
                <w:t xml:space="preserve">https://sprints.zoho.in/workspace/zdocs#P15/itemdetails/18081</w:t>
              </w:r>
            </w:hyperlink>
          </w:p>
        </w:tc>
      </w:tr>
      <w:tr>
        <w:trPr/>
        <w:tc>
          <w:tcPr>
            <w:tcW w:w="1898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DLP Share Attempt Alerts</w:t>
            </w:r>
          </w:p>
        </w:tc>
        <w:tc>
          <w:tcPr>
            <w:tcW w:w="4234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Alerts/notifications for failed DLP share attempts and classified file-sharing activities.</w:t>
            </w:r>
          </w:p>
        </w:tc>
        <w:tc>
          <w:tcPr>
            <w:tcW w:w="2009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#153970357</w:t>
            </w:r>
          </w:p>
        </w:tc>
        <w:tc>
          <w:tcPr>
            <w:tcW w:w="1882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hyperlink xmlns:r="http://schemas.openxmlformats.org/officeDocument/2006/relationships" r:id="rId17">
              <w:r w:rsidR="00000000" w:rsidDel="00000000" w:rsidRPr="00000000">
                <w:rPr>
                  <w:rStyle w:val="Hyperlink"/>
                </w:rPr>
                <w:t xml:space="preserve">https://sprints.zoho.in/workspace/zdocs#P15/itemdetails/18082</w:t>
              </w:r>
            </w:hyperlink>
          </w:p>
        </w:tc>
      </w:tr>
      <w:tr>
        <w:trPr/>
        <w:tc>
          <w:tcPr>
            <w:tcW w:w="1898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Zoho Books Integration</w:t>
            </w:r>
          </w:p>
        </w:tc>
        <w:tc>
          <w:tcPr>
            <w:tcW w:w="4234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Integration with Zoho Books for document workflow confirmations and end-to-end automation support.</w:t>
            </w:r>
            <w:r w:rsidR="00000000" w:rsidDel="00000000" w:rsidRPr="00000000">
              <w:rPr/>
              <w:t xml:space="preserve"> </w:t>
            </w:r>
            <w:r w:rsidR="00000000" w:rsidDel="00000000" w:rsidRPr="00000000">
              <w:rPr/>
              <w:t xml:space="preserve">(ingest → process → push back to system)</w:t>
            </w:r>
          </w:p>
        </w:tc>
        <w:tc>
          <w:tcPr>
            <w:tcW w:w="2009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  <w:r w:rsidR="00000000" w:rsidDel="00000000" w:rsidRPr="00000000">
              <w:rPr/>
              <w:t xml:space="preserve">#157533253</w:t>
            </w:r>
          </w:p>
        </w:tc>
        <w:tc>
          <w:tcPr>
            <w:tcW w:w="1882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jc w:val="center"/>
              <w:widowControl w:val="1"/>
            </w:pP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rPr>
          <w:b w:val="true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vertAlign w:val="baseline"/>
        </w:rPr>
        <w:widowControl w:val="1"/>
      </w:pPr>
      <w:r w:rsidR="00000000" w:rsidDel="00000000" w:rsidRPr="00000000">
        <w:rPr>
          <w:b w:val="true"/>
          <w:vertAlign w:val="baseline"/>
        </w:rPr>
        <w:t xml:space="preserve">Security, Sharing &amp; Permissions: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tbl>
      <w:tblPr>
        <w:tblStyle w:val="9474171"/>
        <w:tblW w:w="10161" w:type="dxa"/>
        <w:tblInd w:w="0" w:type="dxa"/>
        <w:tblLayout w:type="fixed"/>
        <w:tblLook w:val="00000420"/>
      </w:tblPr>
      <w:tblGrid>
        <w:gridCol w:w="1639"/>
        <w:gridCol w:w="4778"/>
        <w:gridCol w:w="1495"/>
        <w:gridCol w:w="2249"/>
      </w:tblGrid>
      <w:tr>
        <w:trPr/>
        <w:tc>
          <w:tcPr>
            <w:tcW w:w="1639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sz w:val="24.0"/>
                <w:vertAlign w:val="baseline"/>
              </w:rPr>
              <w:t xml:space="preserve">Feature Name</w:t>
            </w:r>
          </w:p>
        </w:tc>
        <w:tc>
          <w:tcPr>
            <w:tcW w:w="4778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sz w:val="24.0"/>
                <w:vertAlign w:val="baseline"/>
              </w:rPr>
              <w:t xml:space="preserve">Feature Description</w:t>
            </w:r>
          </w:p>
        </w:tc>
        <w:tc>
          <w:tcPr>
            <w:tcW w:w="1495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sz w:val="24.0"/>
                <w:vertAlign w:val="baseline"/>
              </w:rPr>
              <w:t xml:space="preserve">Ticket ID</w:t>
            </w:r>
          </w:p>
        </w:tc>
        <w:tc>
          <w:tcPr>
            <w:tcW w:w="2249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sz w:val="24.0"/>
                <w:vertAlign w:val="baseline"/>
              </w:rPr>
              <w:t xml:space="preserve">Sprint Link</w:t>
            </w:r>
          </w:p>
        </w:tc>
      </w:tr>
      <w:tr>
        <w:trPr/>
        <w:tc>
          <w:tcPr>
            <w:tcW w:w="1639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color w:val="000000"/>
                <w:sz w:val="24.0"/>
                <w:vertAlign w:val="baseline"/>
              </w:rPr>
              <w:t xml:space="preserve">Advanced Sharing Restrictions</w:t>
            </w:r>
          </w:p>
        </w:tc>
        <w:tc>
          <w:tcPr>
            <w:tcW w:w="4778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color w:val="000000"/>
                <w:sz w:val="24.0"/>
                <w:vertAlign w:val="baseline"/>
              </w:rPr>
              <w:t xml:space="preserve">Ability to disable org-wide link-based internal sharing (“Anyone on the team”) and enforce email-based internal sharing only.</w:t>
            </w:r>
          </w:p>
        </w:tc>
        <w:tc>
          <w:tcPr>
            <w:tcW w:w="1495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color w:val="000000"/>
                <w:sz w:val="24.0"/>
                <w:vertAlign w:val="baseline"/>
              </w:rPr>
              <w:t xml:space="preserve">#158978615</w:t>
            </w:r>
          </w:p>
        </w:tc>
        <w:tc>
          <w:tcPr>
            <w:tcW w:w="2249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hyperlink xmlns:r="http://schemas.openxmlformats.org/officeDocument/2006/relationships" r:id="rId18">
              <w:r w:rsidR="00000000" w:rsidDel="00000000" w:rsidRPr="00000000">
                <w:rPr>
                  <w:sz w:val="24.0"/>
                  <w:vertAlign w:val="baseline"/>
                  <w:rStyle w:val="Hyperlink"/>
                </w:rPr>
                <w:t xml:space="preserve">https://sprints.zoho.in/workspace/zdocs#P15/itemdetails/18062</w:t>
              </w:r>
            </w:hyperlink>
          </w:p>
        </w:tc>
      </w:tr>
      <w:tr>
        <w:trPr/>
        <w:tc>
          <w:tcPr>
            <w:tcW w:w="1639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color w:val="000000"/>
                <w:sz w:val="24.0"/>
                <w:vertAlign w:val="baseline"/>
              </w:rPr>
              <w:t xml:space="preserve">Custom Roles &amp; Permissions</w:t>
            </w:r>
          </w:p>
        </w:tc>
        <w:tc>
          <w:tcPr>
            <w:tcW w:w="4778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color w:val="000000"/>
                <w:sz w:val="24.0"/>
                <w:vertAlign w:val="baseline"/>
              </w:rPr>
              <w:t xml:space="preserve">User-based advanced custom Team folder roles and permissions management for enterprise-level access control.</w:t>
            </w:r>
          </w:p>
        </w:tc>
        <w:tc>
          <w:tcPr>
            <w:tcW w:w="1495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color w:val="000000"/>
                <w:sz w:val="24.0"/>
                <w:vertAlign w:val="baseline"/>
              </w:rPr>
              <w:t xml:space="preserve">#157476921</w:t>
            </w:r>
          </w:p>
        </w:tc>
        <w:tc>
          <w:tcPr>
            <w:tcW w:w="2249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i w:val="false"/>
                <w:strike w:val="false"/>
                <w:color w:val="000000"/>
                <w:spacing w:val="0"/>
                <w:sz w:val="24.0"/>
                <w:u w:val="none"/>
                <w:shd w:fill="auto" w:val="clear" w:color="auto"/>
                <w:vertAlign w:val="baseline"/>
              </w:rPr>
              <w:t xml:space="preserve">https://sprints.zoho.in/workspace/zdocs#P15/itemdetails/I546</w:t>
            </w:r>
          </w:p>
        </w:tc>
      </w:tr>
      <w:tr>
        <w:trPr/>
        <w:tc>
          <w:tcPr>
            <w:tcW w:w="1639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color w:val="000000"/>
                <w:sz w:val="24.0"/>
                <w:vertAlign w:val="baseline"/>
              </w:rPr>
              <w:t xml:space="preserve">Team Folder Storage Quota</w:t>
            </w:r>
          </w:p>
        </w:tc>
        <w:tc>
          <w:tcPr>
            <w:tcW w:w="4778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color w:val="000000"/>
                <w:sz w:val="24.0"/>
                <w:vertAlign w:val="baseline"/>
              </w:rPr>
              <w:t xml:space="preserve">Storage quota management at Team Folder level.</w:t>
            </w:r>
          </w:p>
        </w:tc>
        <w:tc>
          <w:tcPr>
            <w:tcW w:w="1495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color w:val="000000"/>
                <w:sz w:val="24.0"/>
                <w:vertAlign w:val="baseline"/>
              </w:rPr>
              <w:t xml:space="preserve">#157843287</w:t>
            </w:r>
          </w:p>
        </w:tc>
        <w:tc>
          <w:tcPr>
            <w:tcW w:w="2249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hyperlink xmlns:r="http://schemas.openxmlformats.org/officeDocument/2006/relationships" r:id="rId19">
              <w:r w:rsidR="00000000" w:rsidDel="00000000" w:rsidRPr="00000000">
                <w:rPr>
                  <w:sz w:val="24.0"/>
                  <w:vertAlign w:val="baseline"/>
                  <w:rStyle w:val="Hyperlink"/>
                </w:rPr>
                <w:t xml:space="preserve">https://sprints.zoho.in/workspace/zdocs#P15/itemdetails/17765</w:t>
              </w:r>
            </w:hyperlink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rPr>
          <w:b w:val="true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vertAlign w:val="baseline"/>
        </w:rPr>
        <w:widowControl w:val="1"/>
      </w:pPr>
      <w:r w:rsidR="00000000" w:rsidDel="00000000" w:rsidRPr="00000000">
        <w:rPr>
          <w:b w:val="true"/>
          <w:vertAlign w:val="baseline"/>
        </w:rPr>
        <w:t xml:space="preserve">AI &amp; Intelligent Features: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tbl>
      <w:tblPr>
        <w:tblStyle w:val="9178142"/>
        <w:tblW w:w="10122" w:type="dxa"/>
        <w:tblInd w:w="0" w:type="dxa"/>
        <w:tblLayout w:type="fixed"/>
        <w:tblLook w:val="00000420"/>
      </w:tblPr>
      <w:tblGrid>
        <w:gridCol w:w="1548"/>
        <w:gridCol w:w="4212"/>
        <w:gridCol w:w="1908"/>
        <w:gridCol w:w="2454"/>
      </w:tblGrid>
      <w:tr>
        <w:trPr/>
        <w:tc>
          <w:tcPr>
            <w:tcW w:w="1548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sz w:val="24.0"/>
                <w:vertAlign w:val="baseline"/>
              </w:rPr>
              <w:t xml:space="preserve">Feature Name</w:t>
            </w:r>
          </w:p>
        </w:tc>
        <w:tc>
          <w:tcPr>
            <w:tcW w:w="4212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sz w:val="24.0"/>
                <w:vertAlign w:val="baseline"/>
              </w:rPr>
              <w:t xml:space="preserve">Feature Description</w:t>
            </w:r>
          </w:p>
        </w:tc>
        <w:tc>
          <w:tcPr>
            <w:tcW w:w="1908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sz w:val="24.0"/>
                <w:vertAlign w:val="baseline"/>
              </w:rPr>
              <w:t xml:space="preserve">Ticket ID</w:t>
            </w:r>
          </w:p>
        </w:tc>
        <w:tc>
          <w:tcPr>
            <w:tcW w:w="2454" w:type="dxa"/>
            <w:tcBorders/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sz w:val="24.0"/>
                <w:vertAlign w:val="baseline"/>
              </w:rPr>
              <w:t xml:space="preserve">Sprint Link</w:t>
            </w:r>
          </w:p>
        </w:tc>
      </w:tr>
      <w:tr>
        <w:trPr/>
        <w:tc>
          <w:tcPr>
            <w:tcW w:w="1548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color w:val="000000"/>
                <w:sz w:val="24.0"/>
                <w:vertAlign w:val="baseline"/>
              </w:rPr>
              <w:t xml:space="preserve">Gemini AI Integration</w:t>
            </w:r>
          </w:p>
        </w:tc>
        <w:tc>
          <w:tcPr>
            <w:tcW w:w="4212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color w:val="000000"/>
                <w:sz w:val="24.0"/>
                <w:vertAlign w:val="baseline"/>
              </w:rPr>
              <w:t xml:space="preserve">Integration support for Google Gemini Enterprise as the LLM provider for AI-powered capabilities across WorkDrive and Workplace applications.</w:t>
            </w:r>
          </w:p>
        </w:tc>
        <w:tc>
          <w:tcPr>
            <w:tcW w:w="1908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color w:val="000000"/>
                <w:sz w:val="24.0"/>
                <w:vertAlign w:val="baseline"/>
              </w:rPr>
              <w:t xml:space="preserve">#158978615</w:t>
            </w:r>
          </w:p>
        </w:tc>
        <w:tc>
          <w:tcPr>
            <w:tcW w:w="2454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hyperlink xmlns:r="http://schemas.openxmlformats.org/officeDocument/2006/relationships" r:id="rId20">
              <w:r w:rsidR="00000000" w:rsidDel="00000000" w:rsidRPr="00000000">
                <w:rPr>
                  <w:sz w:val="24.0"/>
                  <w:vertAlign w:val="baseline"/>
                  <w:rStyle w:val="Hyperlink"/>
                </w:rPr>
                <w:t xml:space="preserve">https://sprints.zoho.in/workspace/zdocs#P15/itemdetails/18064</w:t>
              </w:r>
            </w:hyperlink>
          </w:p>
        </w:tc>
      </w:tr>
      <w:tr>
        <w:trPr/>
        <w:tc>
          <w:tcPr>
            <w:tcW w:w="1548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color w:val="000000"/>
                <w:sz w:val="24.0"/>
                <w:vertAlign w:val="baseline"/>
              </w:rPr>
              <w:t xml:space="preserve">Advanced Document Search</w:t>
            </w:r>
          </w:p>
        </w:tc>
        <w:tc>
          <w:tcPr>
            <w:tcW w:w="4212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color w:val="000000"/>
                <w:sz w:val="24.0"/>
                <w:vertAlign w:val="baseline"/>
              </w:rPr>
              <w:t xml:space="preserve">Search capability to navigate to the exact page directly, section, or transaction within large documents based on keywords or vendor names.</w:t>
            </w:r>
          </w:p>
        </w:tc>
        <w:tc>
          <w:tcPr>
            <w:tcW w:w="1908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color w:val="000000"/>
                <w:sz w:val="24.0"/>
                <w:vertAlign w:val="baseline"/>
              </w:rPr>
              <w:t xml:space="preserve">#109352167</w:t>
            </w:r>
          </w:p>
        </w:tc>
        <w:tc>
          <w:tcPr>
            <w:tcW w:w="2454" w:type="dxa"/>
            <w:tcBorders/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hyperlink xmlns:r="http://schemas.openxmlformats.org/officeDocument/2006/relationships" r:id="rId21">
              <w:r w:rsidR="00000000" w:rsidDel="00000000" w:rsidRPr="00000000">
                <w:rPr>
                  <w:sz w:val="24.0"/>
                  <w:vertAlign w:val="baseline"/>
                  <w:rStyle w:val="Hyperlink"/>
                </w:rPr>
                <w:t xml:space="preserve">https://sprints.zoho.in/workspace/zdocs#P15/itemdetails/17875</w:t>
              </w:r>
            </w:hyperlink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rPr>
          <w:sz w:val="28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widowControl w:val="1"/>
      </w:pPr>
      <w:bookmarkStart w:id="ftxrqe8lctqg" w:name="_Tocorr0ixtrcz1c"/>
      <w:r w:rsidR="00000000" w:rsidDel="00000000" w:rsidRPr="00000000">
        <w:rPr/>
        <w:t xml:space="preserve">Feature Trend Observations:</w:t>
      </w:r>
      <w:bookmarkEnd w:id="ftxrqe8lctqg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color w:val="000000"/>
          <w:sz w:val="24.0"/>
        </w:rPr>
        <w:numPr>
          <w:ilvl w:val="0"/>
          <w:numId w:val="4650048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Workflow enhancements remained the most requested category, especially around reminders, escalations, approvals, and tracking.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color w:val="000000"/>
          <w:sz w:val="24.0"/>
        </w:rPr>
        <w:numPr>
          <w:ilvl w:val="0"/>
          <w:numId w:val="4650048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 Enterprise customers showed strong demand for DLP integrations, migration capabilities, and advanced sharing controls.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color w:val="000000"/>
          <w:sz w:val="24.0"/>
        </w:rPr>
        <w:numPr>
          <w:ilvl w:val="0"/>
          <w:numId w:val="4650048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 Search improvements and AI-powered capabilities gained increased interest from enterprise prospects.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color w:val="000000"/>
          <w:sz w:val="24.0"/>
        </w:rPr>
        <w:numPr>
          <w:ilvl w:val="0"/>
          <w:numId w:val="4650048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 Customers increasingly expect WorkDrive to function as a centralized workflow and compliance management platform beyond standard document storage capabilities. 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rPr>
          <w:sz w:val="28.0"/>
          <w:vertAlign w:val="baseline"/>
        </w:rPr>
        <w:widowControl w:val="1"/>
      </w:pPr>
    </w:p>
    <w:sectPr>
      <w:headerReference xmlns:r="http://schemas.openxmlformats.org/officeDocument/2006/relationships" r:id="rId22" w:type="default"/>
      <w:footerReference xmlns:r="http://schemas.openxmlformats.org/officeDocument/2006/relationships" r:id="rId23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a2285fb3-17c3-ee47-f0cf-e2c282a02f5c" w:fontKey="{00000000-0000-0000-0000-000000000000}" w:subsetted="0"/>
  </w:font>
  <w:font w:name="Anonymous Pro Regular">
    <w:embedRegular xmlns:r="http://schemas.openxmlformats.org/officeDocument/2006/relationships" r:id="rIde9a02926-d2fb-747f-c62e-699d086c2505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2575864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609310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868313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489396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592996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509953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367847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486253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106353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027828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917313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013728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742241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718863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320832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971501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529126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024686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143008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852450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723306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073971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457878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558091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160153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726668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418952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733924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035154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430742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624255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176177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017818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num w:numId="61301590">
    <w:abstractNumId w:val="86242554"/>
  </w:num>
  <w:num w:numId="61408791">
    <w:abstractNumId w:val="61761778"/>
  </w:num>
  <w:num w:numId="64960024">
    <w:abstractNumId w:val="25758649"/>
  </w:num>
  <w:num w:numId="74637666">
    <w:abstractNumId w:val="26093104"/>
  </w:num>
  <w:num w:numId="38721369">
    <w:abstractNumId w:val="68683130"/>
  </w:num>
  <w:num w:numId="10790404">
    <w:abstractNumId w:val="34893969"/>
  </w:num>
  <w:num w:numId="56755542">
    <w:abstractNumId w:val="90739718"/>
  </w:num>
  <w:num w:numId="59616977">
    <w:abstractNumId w:val="15929963"/>
  </w:num>
  <w:num w:numId="62118894">
    <w:abstractNumId w:val="65099530"/>
  </w:num>
  <w:num w:numId="17591883">
    <w:abstractNumId w:val="17266685"/>
  </w:num>
  <w:num w:numId="13189161">
    <w:abstractNumId w:val="71430081"/>
  </w:num>
  <w:num w:numId="78568575">
    <w:abstractNumId w:val="23678478"/>
  </w:num>
  <w:num w:numId="20069598">
    <w:abstractNumId w:val="94862533"/>
  </w:num>
  <w:num w:numId="38692232">
    <w:abstractNumId w:val="31063533"/>
  </w:num>
  <w:num w:numId="17981063">
    <w:abstractNumId w:val="41601534"/>
  </w:num>
  <w:num w:numId="87161386">
    <w:abstractNumId w:val="25580913"/>
  </w:num>
  <w:num w:numId="75386612">
    <w:abstractNumId w:val="90278282"/>
  </w:num>
  <w:num w:numId="94424344">
    <w:abstractNumId w:val="79173138"/>
  </w:num>
  <w:num w:numId="46500484">
    <w:abstractNumId w:val="60351549"/>
  </w:num>
  <w:num w:numId="70542231">
    <w:abstractNumId w:val="87233062"/>
  </w:num>
  <w:num w:numId="12102620">
    <w:abstractNumId w:val="14578787"/>
  </w:num>
  <w:num w:numId="41061804">
    <w:abstractNumId w:val="64189525"/>
  </w:num>
  <w:num w:numId="14522505">
    <w:abstractNumId w:val="20137289"/>
  </w:num>
  <w:num w:numId="53279356">
    <w:abstractNumId w:val="48524509"/>
  </w:num>
  <w:num w:numId="18558741">
    <w:abstractNumId w:val="97422413"/>
  </w:num>
  <w:num w:numId="79767015">
    <w:abstractNumId w:val="27188638"/>
  </w:num>
  <w:num w:numId="51406127">
    <w:abstractNumId w:val="93208329"/>
  </w:num>
  <w:num w:numId="7318957">
    <w:abstractNumId w:val="49715011"/>
  </w:num>
  <w:num w:numId="81940016">
    <w:abstractNumId w:val="97339249"/>
  </w:num>
  <w:num w:numId="34389641">
    <w:abstractNumId w:val="95291263"/>
  </w:num>
  <w:num w:numId="43002429">
    <w:abstractNumId w:val="30178186"/>
  </w:num>
  <w:num w:numId="26382056">
    <w:abstractNumId w:val="64307429"/>
  </w:num>
  <w:num w:numId="54274802">
    <w:abstractNumId w:val="50246860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b w:val="false"/>
        <w:rFonts w:ascii="Roboto" w:eastAsia="Roboto" w:hAnsi="Roboto" w:cs="Roboto"/>
        <w:color w:val="000000" w:themeColor="dark1"/>
        <w:sz w:val="24"/>
      </w:rPr>
    </w:rPrDefault>
    <w:pPrDefault>
      <w:pPr>
        <w:spacing w:line="288.0000114440918" w:after="0.0" w:before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0.0" w:before="240.0"/>
      <w:jc w:val="left"/>
      <w:widowControl w:val="1"/>
    </w:pPr>
    <w:rPr>
      <w:b w:val="false"/>
      <w:rFonts w:ascii="Roboto" w:eastAsia="Roboto" w:hAnsi="Roboto" w:cs="Roboto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1A3A2A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1A3A2A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88.0000114440918" w:after="0.0" w:before="240.0"/>
      <w:jc w:val="left"/>
      <w:widowControl w:val="1"/>
    </w:pPr>
    <w:rPr>
      <w:rFonts w:ascii="Anonymous Pro Regular" w:eastAsia="Anonymous Pro Regular" w:hAnsi="Anonymous Pro Regular" w:cs="Anonymous Pro Regular"/>
      <w:color w:val="000000" w:themeColor="dark1"/>
      <w:spacing w:val="40"/>
      <w:sz w:val="36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1A3A2A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rFonts w:ascii="Anonymous Pro Regular" w:eastAsia="Anonymous Pro Regular" w:hAnsi="Anonymous Pro Regular" w:cs="Anonymous Pro Regular"/>
      <w:color w:val="000000" w:themeColor="dark1"/>
      <w:spacing w:val="40"/>
      <w:sz w:val="36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1A3A2A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i w:val="true"/>
      <w:color w:val="000000" w:themeColor="dark1" w:themeTint="3f"/>
    </w:rPr>
    <w:unhideWhenUsed/>
    <w:qFormat/>
  </w:style>
  <w:style w:type="character" w:styleId="Emphasis">
    <w:name w:val="Emphasis"/>
    <w:uiPriority w:val="1"/>
    <w:basedOn w:val="DefaultParagraphFont"/>
    <w:rPr>
      <w:i w:val="true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i w:val="true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</w:rPr>
    <w:unhideWhenUsed/>
    <w:qFormat/>
  </w:style>
  <w:style w:type="character" w:styleId="SubtleReference">
    <w:name w:val="Subtle Reference"/>
    <w:uiPriority w:val="1"/>
    <w:basedOn w:val="DefaultParagraphFont"/>
    <w:rPr>
      <w:color w:val="000000" w:themeColor="dark1" w:themeTint="3f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spacing w:val="0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table" w:styleId="4584678">
    <w:uiPriority w:val="1"/>
    <w:tblPr>
      <w:tblBorders>
        <w:top w:val="single" w:color="FFFFFF" w:sz="6"/>
        <w:left w:val="single" w:color="FFFFFF" w:sz="6"/>
        <w:bottom w:val="single" w:color="FFFFFF" w:sz="6"/>
        <w:right w:val="single" w:color="FFFFFF" w:sz="6"/>
        <w:insideH w:val="single" w:color="FFFFFF" w:sz="6"/>
        <w:insideV w:val="single" w:color="FFFFFF" w:sz="6"/>
      </w:tblBorders>
      <w:tblStyleRowBandSize w:val="1"/>
    </w:tblPr>
    <w:tcPr>
      <w:tcMar>
        <w:left w:w="90" w:type="dxa"/>
        <w:right w:w="90" w:type="dxa"/>
      </w:tcMar>
      <w:vAlign w:val="top"/>
    </w:tcPr>
    <w:tblStylePr w:type="band1Horz">
      <w:tcPr>
        <w:shd w:fill="90CDDD" w:val="clear" w:color="auto"/>
        <w:vAlign w:val="top"/>
      </w:tcPr>
    </w:tblStylePr>
    <w:tblStylePr w:type="band2Horz">
      <w:tcPr>
        <w:shd w:fill="DAEEF4" w:val="clear" w:color="auto"/>
        <w:vAlign w:val="top"/>
      </w:tcPr>
    </w:tblStylePr>
    <w:unhideWhenUsed/>
    <w:qFormat/>
  </w:style>
  <w:style w:type="table" w:styleId="3232927">
    <w:uiPriority w:val="1"/>
    <w:tblPr>
      <w:tblBorders>
        <w:top w:val="single" w:color="FFFFFF" w:sz="6"/>
        <w:left w:val="single" w:color="FFFFFF" w:sz="6"/>
        <w:bottom w:val="single" w:color="FFFFFF" w:sz="6"/>
        <w:right w:val="single" w:color="FFFFFF" w:sz="6"/>
        <w:insideH w:val="single" w:color="FFFFFF" w:sz="6"/>
        <w:insideV w:val="single" w:color="FFFFFF" w:sz="6"/>
      </w:tblBorders>
      <w:tblStyleRowBandSize w:val="1"/>
    </w:tblPr>
    <w:tcPr>
      <w:tcMar>
        <w:left w:w="90" w:type="dxa"/>
        <w:right w:w="90" w:type="dxa"/>
      </w:tcMar>
      <w:vAlign w:val="top"/>
    </w:tcPr>
    <w:tblStylePr w:type="band1Horz">
      <w:tcPr>
        <w:shd w:fill="90CDDD" w:val="clear" w:color="auto"/>
        <w:vAlign w:val="top"/>
      </w:tcPr>
    </w:tblStylePr>
    <w:tblStylePr w:type="band2Horz">
      <w:tcPr>
        <w:shd w:fill="DAEEF4" w:val="clear" w:color="auto"/>
        <w:vAlign w:val="top"/>
      </w:tcPr>
    </w:tblStylePr>
    <w:unhideWhenUsed/>
    <w:qFormat/>
  </w:style>
  <w:style w:type="table" w:styleId="6868382">
    <w:uiPriority w:val="1"/>
    <w:tblPr>
      <w:tblBorders>
        <w:top w:val="single" w:color="FFFFFF" w:sz="6"/>
        <w:left w:val="single" w:color="FFFFFF" w:sz="6"/>
        <w:bottom w:val="single" w:color="FFFFFF" w:sz="6"/>
        <w:right w:val="single" w:color="FFFFFF" w:sz="6"/>
        <w:insideH w:val="single" w:color="FFFFFF" w:sz="6"/>
        <w:insideV w:val="single" w:color="FFFFFF" w:sz="6"/>
      </w:tblBorders>
      <w:tblStyleRowBandSize w:val="1"/>
    </w:tblPr>
    <w:tcPr>
      <w:tcMar>
        <w:left w:w="90" w:type="dxa"/>
        <w:right w:w="90" w:type="dxa"/>
      </w:tcMar>
      <w:vAlign w:val="top"/>
    </w:tcPr>
    <w:tblStylePr w:type="band1Horz">
      <w:tcPr>
        <w:shd w:fill="90CDDD" w:val="clear" w:color="auto"/>
        <w:vAlign w:val="top"/>
      </w:tcPr>
    </w:tblStylePr>
    <w:tblStylePr w:type="band2Horz">
      <w:tcPr>
        <w:shd w:fill="DAEEF4" w:val="clear" w:color="auto"/>
        <w:vAlign w:val="top"/>
      </w:tcPr>
    </w:tblStylePr>
    <w:unhideWhenUsed/>
    <w:qFormat/>
  </w:style>
  <w:style w:type="table" w:styleId="6713785">
    <w:uiPriority w:val="1"/>
    <w:tblPr>
      <w:tblBorders>
        <w:top w:val="single" w:color="FFFFFF" w:sz="6"/>
        <w:left w:val="single" w:color="FFFFFF" w:sz="6"/>
        <w:bottom w:val="single" w:color="FFFFFF" w:sz="6"/>
        <w:right w:val="single" w:color="FFFFFF" w:sz="6"/>
        <w:insideH w:val="single" w:color="FFFFFF" w:sz="6"/>
        <w:insideV w:val="single" w:color="FFFFFF" w:sz="6"/>
      </w:tblBorders>
      <w:tblStyleRowBandSize w:val="1"/>
    </w:tblPr>
    <w:tcPr>
      <w:tcMar>
        <w:left w:w="90" w:type="dxa"/>
        <w:right w:w="90" w:type="dxa"/>
      </w:tcMar>
      <w:vAlign w:val="top"/>
    </w:tcPr>
    <w:tblStylePr w:type="band1Horz">
      <w:tcPr>
        <w:shd w:fill="90CDDD" w:val="clear" w:color="auto"/>
        <w:vAlign w:val="top"/>
      </w:tcPr>
    </w:tblStylePr>
    <w:tblStylePr w:type="band2Horz">
      <w:tcPr>
        <w:shd w:fill="DAEEF4" w:val="clear" w:color="auto"/>
        <w:vAlign w:val="top"/>
      </w:tcPr>
    </w:tblStylePr>
    <w:unhideWhenUsed/>
    <w:qFormat/>
  </w:style>
  <w:style w:type="table" w:styleId="8489469">
    <w:uiPriority w:val="1"/>
    <w:tblPr>
      <w:tblBorders>
        <w:top w:val="single" w:color="FFFFFF" w:sz="6"/>
        <w:left w:val="single" w:color="FFFFFF" w:sz="6"/>
        <w:bottom w:val="single" w:color="FFFFFF" w:sz="6"/>
        <w:right w:val="single" w:color="FFFFFF" w:sz="6"/>
        <w:insideH w:val="single" w:color="FFFFFF" w:sz="6"/>
        <w:insideV w:val="single" w:color="FFFFFF" w:sz="6"/>
      </w:tblBorders>
      <w:tblStyleRowBandSize w:val="1"/>
    </w:tblPr>
    <w:tcPr>
      <w:tcMar>
        <w:left w:w="90" w:type="dxa"/>
        <w:right w:w="90" w:type="dxa"/>
      </w:tcMar>
      <w:vAlign w:val="top"/>
    </w:tcPr>
    <w:tblStylePr w:type="band1Horz">
      <w:tcPr>
        <w:shd w:fill="90CDDD" w:val="clear" w:color="auto"/>
        <w:vAlign w:val="top"/>
      </w:tcPr>
    </w:tblStylePr>
    <w:tblStylePr w:type="band2Horz">
      <w:tcPr>
        <w:shd w:fill="DAEEF4" w:val="clear" w:color="auto"/>
        <w:vAlign w:val="top"/>
      </w:tcPr>
    </w:tblStylePr>
    <w:unhideWhenUsed/>
    <w:qFormat/>
  </w:style>
  <w:style w:type="table" w:styleId="4176744">
    <w:uiPriority w:val="1"/>
    <w:tblPr>
      <w:tblBorders>
        <w:top w:val="single" w:color="FFFFFF" w:sz="6"/>
        <w:left w:val="single" w:color="FFFFFF" w:sz="6"/>
        <w:bottom w:val="single" w:color="FFFFFF" w:sz="6"/>
        <w:right w:val="single" w:color="FFFFFF" w:sz="6"/>
        <w:insideH w:val="single" w:color="FFFFFF" w:sz="6"/>
        <w:insideV w:val="single" w:color="FFFFFF" w:sz="6"/>
      </w:tblBorders>
      <w:tblStyleRowBandSize w:val="1"/>
    </w:tblPr>
    <w:tcPr>
      <w:tcMar>
        <w:left w:w="90" w:type="dxa"/>
        <w:right w:w="90" w:type="dxa"/>
      </w:tcMar>
      <w:vAlign w:val="top"/>
    </w:tcPr>
    <w:tblStylePr w:type="band1Horz">
      <w:tcPr>
        <w:shd w:fill="90CDDD" w:val="clear" w:color="auto"/>
        <w:vAlign w:val="top"/>
      </w:tcPr>
    </w:tblStylePr>
    <w:tblStylePr w:type="band2Horz">
      <w:tcPr>
        <w:shd w:fill="DAEEF4" w:val="clear" w:color="auto"/>
        <w:vAlign w:val="top"/>
      </w:tcPr>
    </w:tblStylePr>
    <w:unhideWhenUsed/>
    <w:qFormat/>
  </w:style>
  <w:style w:type="table" w:styleId="1351687">
    <w:uiPriority w:val="1"/>
    <w:tblPr>
      <w:tblBorders>
        <w:top w:val="single" w:color="FFFFFF" w:sz="6"/>
        <w:left w:val="single" w:color="FFFFFF" w:sz="6"/>
        <w:bottom w:val="single" w:color="FFFFFF" w:sz="6"/>
        <w:right w:val="single" w:color="FFFFFF" w:sz="6"/>
        <w:insideH w:val="single" w:color="FFFFFF" w:sz="6"/>
        <w:insideV w:val="single" w:color="FFFFFF" w:sz="6"/>
      </w:tblBorders>
      <w:tblStyleRowBandSize w:val="1"/>
    </w:tblPr>
    <w:tcPr>
      <w:tcMar>
        <w:left w:w="90" w:type="dxa"/>
        <w:right w:w="90" w:type="dxa"/>
      </w:tcMar>
      <w:vAlign w:val="top"/>
    </w:tcPr>
    <w:tblStylePr w:type="band1Horz">
      <w:tcPr>
        <w:shd w:fill="90CDDD" w:val="clear" w:color="auto"/>
        <w:vAlign w:val="top"/>
      </w:tcPr>
    </w:tblStylePr>
    <w:tblStylePr w:type="band2Horz">
      <w:tcPr>
        <w:shd w:fill="DAEEF4" w:val="clear" w:color="auto"/>
        <w:vAlign w:val="top"/>
      </w:tcPr>
    </w:tblStylePr>
    <w:unhideWhenUsed/>
    <w:qFormat/>
  </w:style>
  <w:style w:type="table" w:styleId="8412754">
    <w:uiPriority w:val="1"/>
    <w:tblPr>
      <w:tblBorders>
        <w:top w:val="single" w:color="FFFFFF" w:sz="6"/>
        <w:left w:val="single" w:color="FFFFFF" w:sz="6"/>
        <w:bottom w:val="single" w:color="FFFFFF" w:sz="6"/>
        <w:right w:val="single" w:color="FFFFFF" w:sz="6"/>
        <w:insideH w:val="single" w:color="FFFFFF" w:sz="6"/>
        <w:insideV w:val="single" w:color="FFFFFF" w:sz="6"/>
      </w:tblBorders>
      <w:tblStyleRowBandSize w:val="1"/>
    </w:tblPr>
    <w:tcPr>
      <w:tcMar>
        <w:left w:w="90" w:type="dxa"/>
        <w:right w:w="90" w:type="dxa"/>
      </w:tcMar>
      <w:vAlign w:val="top"/>
    </w:tcPr>
    <w:tblStylePr w:type="band1Horz">
      <w:tcPr>
        <w:shd w:fill="90CDDD" w:val="clear" w:color="auto"/>
        <w:vAlign w:val="top"/>
      </w:tcPr>
    </w:tblStylePr>
    <w:tblStylePr w:type="band2Horz">
      <w:tcPr>
        <w:shd w:fill="DAEEF4" w:val="clear" w:color="auto"/>
        <w:vAlign w:val="top"/>
      </w:tcPr>
    </w:tblStylePr>
    <w:unhideWhenUsed/>
    <w:qFormat/>
  </w:style>
  <w:style w:type="table" w:styleId="5862763">
    <w:uiPriority w:val="1"/>
    <w:tblPr>
      <w:tblBorders>
        <w:top w:val="single" w:color="FFFFFF" w:sz="6"/>
        <w:left w:val="single" w:color="FFFFFF" w:sz="6"/>
        <w:bottom w:val="single" w:color="FFFFFF" w:sz="6"/>
        <w:right w:val="single" w:color="FFFFFF" w:sz="6"/>
        <w:insideH w:val="single" w:color="FFFFFF" w:sz="6"/>
        <w:insideV w:val="single" w:color="FFFFFF" w:sz="6"/>
      </w:tblBorders>
      <w:tblStyleRowBandSize w:val="1"/>
    </w:tblPr>
    <w:tcPr>
      <w:tcMar>
        <w:left w:w="90" w:type="dxa"/>
        <w:right w:w="90" w:type="dxa"/>
      </w:tcMar>
      <w:vAlign w:val="top"/>
    </w:tcPr>
    <w:tblStylePr w:type="band1Horz">
      <w:tcPr>
        <w:shd w:fill="90CDDD" w:val="clear" w:color="auto"/>
        <w:vAlign w:val="top"/>
      </w:tcPr>
    </w:tblStylePr>
    <w:tblStylePr w:type="band2Horz">
      <w:tcPr>
        <w:shd w:fill="DAEEF4" w:val="clear" w:color="auto"/>
        <w:vAlign w:val="top"/>
      </w:tcPr>
    </w:tblStylePr>
    <w:unhideWhenUsed/>
    <w:qFormat/>
  </w:style>
  <w:style w:type="character" w:styleId="Hyperlink">
    <w:name w:val="Hyperlink"/>
    <w:uiPriority w:val="1"/>
    <w:basedOn w:val="DefaultParagraphFont"/>
    <w:rPr>
      <w:color w:val="0000FF"/>
      <w:u w:val="single"/>
    </w:rPr>
    <w:unhideWhenUsed/>
    <w:qFormat/>
  </w:style>
  <w:style w:type="table" w:styleId="4554684">
    <w:uiPriority w:val="1"/>
    <w:tblPr>
      <w:tblBorders>
        <w:top w:val="single" w:color="46ABC6" w:sz="6"/>
        <w:left w:val="single" w:color="46ABC6" w:sz="6"/>
        <w:bottom w:val="single" w:color="46ABC6" w:sz="6"/>
        <w:right w:val="single" w:color="46ABC6" w:sz="6"/>
        <w:insideH w:val="single" w:color="46ABC6" w:sz="6"/>
        <w:insideV w:val="single" w:color="46ABC6" w:sz="6"/>
      </w:tblBorders>
      <w:tblStyleRowBandSize w:val="1"/>
    </w:tblPr>
    <w:tcPr>
      <w:tcBorders>
        <w:top w:val="single" w:color="46ABC6" w:sz="6"/>
        <w:left w:val="single" w:color="46ABC6" w:sz="6"/>
        <w:bottom w:val="single" w:color="46ABC6" w:sz="6"/>
        <w:right w:val="single" w:color="46ABC6" w:sz="6"/>
        <w:insideH w:val="single" w:color="46ABC6" w:sz="6"/>
        <w:insideV w:val="single" w:color="46ABC6" w:sz="6"/>
      </w:tcBorders>
      <w:shd w:fill="90CDDD" w:val="clear" w:color="auto"/>
      <w:tcMar>
        <w:left w:w="90" w:type="dxa"/>
        <w:right w:w="90" w:type="dxa"/>
      </w:tcMar>
      <w:vAlign w:val="top"/>
    </w:tcPr>
    <w:tblStylePr w:type="band1Horz">
      <w:tcPr>
        <w:shd w:fill="DAEEF4" w:val="clear" w:color="auto"/>
        <w:vAlign w:val="top"/>
      </w:tcPr>
    </w:tblStylePr>
    <w:tblStylePr w:type="firstRow">
      <w:rPr>
        <w:b w:val="true"/>
        <w:color w:val="FFFFFF"/>
      </w:rPr>
      <w:pPr>
        <w:widowControl w:val="1"/>
      </w:pPr>
      <w:tcPr>
        <w:shd w:fill="46ABC6" w:val="clear" w:color="auto"/>
        <w:vAlign w:val="top"/>
      </w:tcPr>
    </w:tblStylePr>
    <w:unhideWhenUsed/>
    <w:qFormat/>
  </w:style>
  <w:style w:type="table" w:styleId="2741768">
    <w:uiPriority w:val="1"/>
    <w:tblPr>
      <w:tblBorders>
        <w:top w:val="single" w:color="46ABC6" w:sz="6"/>
        <w:left w:val="single" w:color="46ABC6" w:sz="6"/>
        <w:bottom w:val="single" w:color="46ABC6" w:sz="6"/>
        <w:right w:val="single" w:color="46ABC6" w:sz="6"/>
        <w:insideH w:val="single" w:color="46ABC6" w:sz="6"/>
        <w:insideV w:val="single" w:color="46ABC6" w:sz="6"/>
      </w:tblBorders>
      <w:tblStyleRowBandSize w:val="1"/>
    </w:tblPr>
    <w:tcPr>
      <w:tcBorders>
        <w:top w:val="single" w:color="46ABC6" w:sz="6"/>
        <w:left w:val="single" w:color="46ABC6" w:sz="6"/>
        <w:bottom w:val="single" w:color="46ABC6" w:sz="6"/>
        <w:right w:val="single" w:color="46ABC6" w:sz="6"/>
        <w:insideH w:val="single" w:color="46ABC6" w:sz="6"/>
        <w:insideV w:val="single" w:color="46ABC6" w:sz="6"/>
      </w:tcBorders>
      <w:shd w:fill="90CDDD" w:val="clear" w:color="auto"/>
      <w:tcMar>
        <w:left w:w="90" w:type="dxa"/>
        <w:right w:w="90" w:type="dxa"/>
      </w:tcMar>
      <w:vAlign w:val="top"/>
    </w:tcPr>
    <w:tblStylePr w:type="band1Horz">
      <w:tcPr>
        <w:shd w:fill="DAEEF4" w:val="clear" w:color="auto"/>
        <w:vAlign w:val="top"/>
      </w:tcPr>
    </w:tblStylePr>
    <w:tblStylePr w:type="firstRow">
      <w:rPr>
        <w:b w:val="true"/>
        <w:color w:val="FFFFFF"/>
      </w:rPr>
      <w:pPr>
        <w:widowControl w:val="1"/>
      </w:pPr>
      <w:tcPr>
        <w:shd w:fill="46ABC6" w:val="clear" w:color="auto"/>
        <w:vAlign w:val="top"/>
      </w:tcPr>
    </w:tblStylePr>
    <w:unhideWhenUsed/>
    <w:qFormat/>
  </w:style>
  <w:style w:type="table" w:styleId="9474171">
    <w:uiPriority w:val="1"/>
    <w:tblPr>
      <w:tblBorders>
        <w:top w:val="single" w:color="46ABC6" w:sz="6"/>
        <w:left w:val="single" w:color="46ABC6" w:sz="6"/>
        <w:bottom w:val="single" w:color="46ABC6" w:sz="6"/>
        <w:right w:val="single" w:color="46ABC6" w:sz="6"/>
        <w:insideH w:val="single" w:color="46ABC6" w:sz="6"/>
        <w:insideV w:val="single" w:color="46ABC6" w:sz="6"/>
      </w:tblBorders>
      <w:tblStyleRowBandSize w:val="1"/>
    </w:tblPr>
    <w:tcPr>
      <w:tcBorders>
        <w:top w:val="single" w:color="46ABC6" w:sz="6"/>
        <w:left w:val="single" w:color="46ABC6" w:sz="6"/>
        <w:bottom w:val="single" w:color="46ABC6" w:sz="6"/>
        <w:right w:val="single" w:color="46ABC6" w:sz="6"/>
        <w:insideH w:val="single" w:color="46ABC6" w:sz="6"/>
        <w:insideV w:val="single" w:color="46ABC6" w:sz="6"/>
      </w:tcBorders>
      <w:shd w:fill="90CDDD" w:val="clear" w:color="auto"/>
      <w:tcMar>
        <w:left w:w="90" w:type="dxa"/>
        <w:right w:w="90" w:type="dxa"/>
      </w:tcMar>
      <w:vAlign w:val="top"/>
    </w:tcPr>
    <w:tblStylePr w:type="band1Horz">
      <w:tcPr>
        <w:shd w:fill="DAEEF4" w:val="clear" w:color="auto"/>
        <w:vAlign w:val="top"/>
      </w:tcPr>
    </w:tblStylePr>
    <w:tblStylePr w:type="firstRow">
      <w:rPr>
        <w:b w:val="true"/>
        <w:color w:val="FFFFFF"/>
      </w:rPr>
      <w:pPr>
        <w:widowControl w:val="1"/>
      </w:pPr>
      <w:tcPr>
        <w:shd w:fill="46ABC6" w:val="clear" w:color="auto"/>
        <w:vAlign w:val="top"/>
      </w:tcPr>
    </w:tblStylePr>
    <w:unhideWhenUsed/>
    <w:qFormat/>
  </w:style>
  <w:style w:type="table" w:styleId="9178142">
    <w:uiPriority w:val="1"/>
    <w:tblPr>
      <w:tblBorders>
        <w:top w:val="single" w:color="46ABC6" w:sz="6"/>
        <w:left w:val="single" w:color="46ABC6" w:sz="6"/>
        <w:bottom w:val="single" w:color="46ABC6" w:sz="6"/>
        <w:right w:val="single" w:color="46ABC6" w:sz="6"/>
        <w:insideH w:val="single" w:color="46ABC6" w:sz="6"/>
        <w:insideV w:val="single" w:color="46ABC6" w:sz="6"/>
      </w:tblBorders>
      <w:tblStyleRowBandSize w:val="1"/>
    </w:tblPr>
    <w:tcPr>
      <w:tcBorders>
        <w:top w:val="single" w:color="46ABC6" w:sz="6"/>
        <w:left w:val="single" w:color="46ABC6" w:sz="6"/>
        <w:bottom w:val="single" w:color="46ABC6" w:sz="6"/>
        <w:right w:val="single" w:color="46ABC6" w:sz="6"/>
        <w:insideH w:val="single" w:color="46ABC6" w:sz="6"/>
        <w:insideV w:val="single" w:color="46ABC6" w:sz="6"/>
      </w:tcBorders>
      <w:shd w:fill="90CDDD" w:val="clear" w:color="auto"/>
      <w:tcMar>
        <w:left w:w="90" w:type="dxa"/>
        <w:right w:w="90" w:type="dxa"/>
      </w:tcMar>
      <w:vAlign w:val="top"/>
    </w:tcPr>
    <w:tblStylePr w:type="band1Horz">
      <w:tcPr>
        <w:shd w:fill="DAEEF4" w:val="clear" w:color="auto"/>
        <w:vAlign w:val="top"/>
      </w:tcPr>
    </w:tblStylePr>
    <w:tblStylePr w:type="firstRow">
      <w:rPr>
        <w:b w:val="true"/>
        <w:color w:val="FFFFFF"/>
      </w:rPr>
      <w:pPr>
        <w:widowControl w:val="1"/>
      </w:pPr>
      <w:tcPr>
        <w:shd w:fill="46ABC6" w:val="clear" w:color="auto"/>
        <w:vAlign w:val="top"/>
      </w:tcPr>
    </w:tblStyle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media/c9b5df75-00f7-4987-aff3-3b5da22edc3a.png" Type="http://schemas.openxmlformats.org/officeDocument/2006/relationships/image" /><Relationship Id="rId7" Target="media/b88bcdf4-6204-4020-8cd1-82bf369d538d.png" Type="http://schemas.openxmlformats.org/officeDocument/2006/relationships/image" /><Relationship Id="rId8" Target="media/520d5c6c-8d69-44fb-810f-886f0dc0a4cc.png" Type="http://schemas.openxmlformats.org/officeDocument/2006/relationships/image" /><Relationship Id="rId9" Target="media/591d766f-a88c-44ad-95f5-fa940eb927ff.png" Type="http://schemas.openxmlformats.org/officeDocument/2006/relationships/image" /><Relationship Id="rId10" Target="https://sprints.zoho.in/workspace/zdocs#P15/itemdetails/I8296" Type="http://schemas.openxmlformats.org/officeDocument/2006/relationships/hyperlink" TargetMode="External" /><Relationship Id="rId11" Target="https://sprints.zoho.in/workspace/zdocs#P15/itemdetails/17850" Type="http://schemas.openxmlformats.org/officeDocument/2006/relationships/hyperlink" TargetMode="External" /><Relationship Id="rId12" Target="https://sprints.zoho.in/workspace/zdocs#P15/itemdetails/17858" Type="http://schemas.openxmlformats.org/officeDocument/2006/relationships/hyperlink" TargetMode="External" /><Relationship Id="rId13" Target="https://sprints.zoho.in/workspace/zdocs#P15/itemdetails/17885" Type="http://schemas.openxmlformats.org/officeDocument/2006/relationships/hyperlink" TargetMode="External" /><Relationship Id="rId14" Target="https://sprints.zoho.in/workspace/zdocs#P15/itemdetails/17689/description" Type="http://schemas.openxmlformats.org/officeDocument/2006/relationships/hyperlink" TargetMode="External" /><Relationship Id="rId15" Target="https://sprints.zoho.in/workspace/zdocs#P15/itemdetails/17467/description" Type="http://schemas.openxmlformats.org/officeDocument/2006/relationships/hyperlink" TargetMode="External" /><Relationship Id="rId16" Target="https://sprints.zoho.in/workspace/zdocs#P15/itemdetails/18081" Type="http://schemas.openxmlformats.org/officeDocument/2006/relationships/hyperlink" TargetMode="External" /><Relationship Id="rId17" Target="https://sprints.zoho.in/workspace/zdocs#P15/itemdetails/18082" Type="http://schemas.openxmlformats.org/officeDocument/2006/relationships/hyperlink" TargetMode="External" /><Relationship Id="rId18" Target="https://sprints.zoho.in/workspace/zdocs#P15/itemdetails/18062" Type="http://schemas.openxmlformats.org/officeDocument/2006/relationships/hyperlink" TargetMode="External" /><Relationship Id="rId19" Target="https://sprints.zoho.in/workspace/zdocs#P15/itemdetails/17765" Type="http://schemas.openxmlformats.org/officeDocument/2006/relationships/hyperlink" TargetMode="External" /><Relationship Id="rId20" Target="https://sprints.zoho.in/workspace/zdocs#P15/itemdetails/18064" Type="http://schemas.openxmlformats.org/officeDocument/2006/relationships/hyperlink" TargetMode="External" /><Relationship Id="rId21" Target="https://sprints.zoho.in/workspace/zdocs#P15/itemdetails/17875" Type="http://schemas.openxmlformats.org/officeDocument/2006/relationships/hyperlink" TargetMode="External" /><Relationship Id="rId22" Target="header1.xml" Type="http://schemas.openxmlformats.org/officeDocument/2006/relationships/header" /><Relationship Id="rId23" Target="footer2.xml" Type="http://schemas.openxmlformats.org/officeDocument/2006/relationships/footer" /></Relationships>
</file>

<file path=word/_rels/fontTable.xml.rels><?xml version='1.0' encoding='UTF-8' ?><Relationships xmlns="http://schemas.openxmlformats.org/package/2006/relationships"><Relationship Id="rIda2285fb3-17c3-ee47-f0cf-e2c282a02f5c" Target="fonts/Roboto.ttf" Type="http://schemas.openxmlformats.org/officeDocument/2006/relationships/font" /><Relationship Id="rIde9a02926-d2fb-747f-c62e-699d086c2505" Target="fonts/AnonymousProRegular.ttf" Type="http://schemas.openxmlformats.org/officeDocument/2006/relationships/font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A3A2A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