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13. Limitations of Low-Code Platforms for a Complex Enterprise Use Case</w:t>
      </w:r>
    </w:p>
    <w:p>
      <w:pPr>
        <w:spacing w:before="240" w:after="120"/>
      </w:pPr>
      <w:r>
        <w:rPr>
          <w:rFonts w:ascii="Times New Roman" w:hAnsi="Times New Roman" w:eastAsia="Times New Roman"/>
          <w:b/>
          <w:sz w:val="28"/>
        </w:rPr>
        <w:t>Aim:</w:t>
      </w:r>
    </w:p>
    <w:p>
      <w:pPr>
        <w:spacing w:after="120" w:line="276" w:lineRule="auto"/>
      </w:pPr>
      <w:r>
        <w:rPr>
          <w:rFonts w:ascii="Times New Roman" w:hAnsi="Times New Roman" w:eastAsia="Times New Roman"/>
          <w:b w:val="0"/>
          <w:sz w:val="24"/>
        </w:rPr>
        <w:t>To analyze the technical, architectural, and operational limitations of low-code development platforms when implemented for complex, large-scale enterprise software requirements.</w:t>
      </w:r>
    </w:p>
    <w:p>
      <w:pPr>
        <w:spacing w:before="240" w:after="120"/>
      </w:pPr>
      <w:r>
        <w:rPr>
          <w:rFonts w:ascii="Times New Roman" w:hAnsi="Times New Roman" w:eastAsia="Times New Roman"/>
          <w:b/>
          <w:sz w:val="28"/>
        </w:rPr>
        <w:t>Overview:</w:t>
      </w:r>
    </w:p>
    <w:p>
      <w:pPr>
        <w:spacing w:after="120" w:line="276" w:lineRule="auto"/>
      </w:pPr>
      <w:r>
        <w:rPr>
          <w:rFonts w:ascii="Times New Roman" w:hAnsi="Times New Roman" w:eastAsia="Times New Roman"/>
          <w:b w:val="0"/>
          <w:sz w:val="24"/>
        </w:rPr>
        <w:t>While low-code platforms provide rapid application development (RAD) capabilities for simple to medium business applications, they encounter significant constraints when applied to complex enterprise systems. Key theoretical limitations include: Customization Constraints (reliance on pre-built templates and visual components becomes restrictive for deeply customized algorithms or niche interfaces); Scalability and Performance Bottlenecks (standardized infrastructure can experience throttling under massive transaction volumes or high-load queries); Vendor Lock-in and Proprietary Codebases (generated code cannot always be easily exported or refactored); and Complex Integration Challenges (connecting legacy systems such as on-premise SAP or mainframe databases often exceeds built-in connectors).</w:t>
      </w:r>
    </w:p>
    <w:p>
      <w:pPr>
        <w:spacing w:after="120" w:line="276" w:lineRule="auto"/>
      </w:pPr>
      <w:r>
        <w:rPr>
          <w:rFonts w:ascii="Times New Roman" w:hAnsi="Times New Roman" w:eastAsia="Times New Roman"/>
          <w:b w:val="0"/>
          <w:sz w:val="24"/>
        </w:rPr>
        <w:t>Case Study Scenario: A multinational manufacturing company attempted to build an end-to-end global supply chain tracking system requiring real-time IoT stream processing, complex machine learning demand-forecasting models, and sub-second inventory adjustments across 50,000 concurrent warehouse nodes. Identified limitations included the customization wall for multi-variable optimization algorithms, database schema rigidity causing query timeouts, and escalating licensing costs that made a traditional microservices architecture more economical.</w:t>
      </w:r>
    </w:p>
    <w:p>
      <w:pPr>
        <w:spacing w:before="240" w:after="120"/>
      </w:pPr>
      <w:r>
        <w:rPr>
          <w:rFonts w:ascii="Times New Roman" w:hAnsi="Times New Roman" w:eastAsia="Times New Roman"/>
          <w:b/>
          <w:sz w:val="28"/>
        </w:rPr>
        <w:t>Procedure:</w:t>
      </w:r>
    </w:p>
    <w:p>
      <w:pPr>
        <w:spacing w:after="120" w:line="276" w:lineRule="auto"/>
      </w:pPr>
      <w:r>
        <w:rPr>
          <w:rFonts w:ascii="Times New Roman" w:hAnsi="Times New Roman" w:eastAsia="Times New Roman"/>
          <w:b w:val="0"/>
          <w:sz w:val="24"/>
        </w:rPr>
        <w:t>1. Study the general capabilities and constraints of leading low-code platforms.</w:t>
      </w:r>
    </w:p>
    <w:p>
      <w:pPr>
        <w:spacing w:after="120" w:line="276" w:lineRule="auto"/>
      </w:pPr>
      <w:r>
        <w:rPr>
          <w:rFonts w:ascii="Times New Roman" w:hAnsi="Times New Roman" w:eastAsia="Times New Roman"/>
          <w:b w:val="0"/>
          <w:sz w:val="24"/>
        </w:rPr>
        <w:t>2. Define a complex enterprise use case (global supply chain &amp; predictive logistics engine) with high requirements for real-time processing, ML models, and concurrent load.</w:t>
      </w:r>
    </w:p>
    <w:p>
      <w:pPr>
        <w:spacing w:after="120" w:line="276" w:lineRule="auto"/>
      </w:pPr>
      <w:r>
        <w:rPr>
          <w:rFonts w:ascii="Times New Roman" w:hAnsi="Times New Roman" w:eastAsia="Times New Roman"/>
          <w:b w:val="0"/>
          <w:sz w:val="24"/>
        </w:rPr>
        <w:t>3. Map the use-case requirements against the typical features and limitations of low-code platforms.</w:t>
      </w:r>
    </w:p>
    <w:p>
      <w:pPr>
        <w:spacing w:after="120" w:line="276" w:lineRule="auto"/>
      </w:pPr>
      <w:r>
        <w:rPr>
          <w:rFonts w:ascii="Times New Roman" w:hAnsi="Times New Roman" w:eastAsia="Times New Roman"/>
          <w:b w:val="0"/>
          <w:sz w:val="24"/>
        </w:rPr>
        <w:t>4. Identify specific failure points: customization walls, schema rigidity, performance throttling, and cost escalation.</w:t>
      </w:r>
    </w:p>
    <w:p>
      <w:pPr>
        <w:spacing w:after="120" w:line="276" w:lineRule="auto"/>
      </w:pPr>
      <w:r>
        <w:rPr>
          <w:rFonts w:ascii="Times New Roman" w:hAnsi="Times New Roman" w:eastAsia="Times New Roman"/>
          <w:b w:val="0"/>
          <w:sz w:val="24"/>
        </w:rPr>
        <w:t>5. Compare the projected cost and maintainability of continuing on low-code versus migrating to a containerized microservices architecture.</w:t>
      </w:r>
    </w:p>
    <w:p>
      <w:pPr>
        <w:spacing w:after="120" w:line="276" w:lineRule="auto"/>
      </w:pPr>
      <w:r>
        <w:rPr>
          <w:rFonts w:ascii="Times New Roman" w:hAnsi="Times New Roman" w:eastAsia="Times New Roman"/>
          <w:b w:val="0"/>
          <w:sz w:val="24"/>
        </w:rPr>
        <w:t>6. Summarize the findings and draw conclusions about the suitability of low-code for complex enterprise systems.</w:t>
      </w:r>
    </w:p>
    <w:p>
      <w:pPr>
        <w:spacing w:before="240" w:after="120"/>
      </w:pPr>
      <w:r>
        <w:rPr>
          <w:rFonts w:ascii="Times New Roman" w:hAnsi="Times New Roman" w:eastAsia="Times New Roman"/>
          <w:b/>
          <w:sz w:val="28"/>
        </w:rPr>
        <w:t>Result:</w:t>
      </w:r>
    </w:p>
    <w:p>
      <w:pPr>
        <w:spacing w:after="120" w:line="276" w:lineRule="auto"/>
      </w:pPr>
      <w:r>
        <w:rPr>
          <w:rFonts w:ascii="Times New Roman" w:hAnsi="Times New Roman" w:eastAsia="Times New Roman"/>
          <w:b w:val="0"/>
          <w:sz w:val="24"/>
        </w:rPr>
        <w:t>The case study demonstrates that while low-code platforms excel at fast delivery for departmental tools and lightweight business workflows, they present critical structural limitations for complex enterprise systems. Factors such as rigid customization boundaries, scalability ceilings, vendor lock-in, and unpredictable scaling costs mean that highly intricate software projects ultimately require traditional application development approaches to ensure absolute flexibility, performance, and long-term maintainability.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