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70.png" ContentType="image/png"/>
  <Override PartName="/word/media/rId75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9.png" ContentType="image/png"/>
  <Override PartName="/word/media/rId106.png" ContentType="image/png"/>
  <Override PartName="/word/media/rId110.png" ContentType="image/png"/>
  <Override PartName="/word/media/rId115.png" ContentType="image/png"/>
  <Override PartName="/word/media/rId120.png" ContentType="image/png"/>
  <Override PartName="/word/media/rId20.png" ContentType="image/png"/>
  <Override PartName="/word/media/rId31.png" ContentType="image/png"/>
  <Override PartName="/word/media/rId25.png" ContentType="image/png"/>
  <Override PartName="/word/media/rId36.png" ContentType="image/png"/>
  <Override PartName="/word/media/rId41.png" ContentType="image/png"/>
  <Override PartName="/word/media/rId46.png" ContentType="image/png"/>
  <Override PartName="/word/media/rId53.png" ContentType="image/png"/>
  <Override PartName="/word/media/rId58.png" ContentType="image/png"/>
  <Override PartName="/word/media/rId6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Работа с Git и моделирование экспоненциального роста</w:t>
      </w:r>
    </w:p>
    <w:p>
      <w:pPr>
        <w:pStyle w:val="Author"/>
      </w:pPr>
      <w:r>
        <w:t xml:space="preserve">Кудякова София 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работу с системой контроля версий Git, настроить рабочее окружение для выполнения лабораторных работ, создать воспроизводимый проект на языке Julia с использованием пакета DrWatson и выполнить моделирование экспоненциального роста.</w:t>
      </w:r>
    </w:p>
    <w:p>
      <w:pPr>
        <w:pStyle w:val="BodyText"/>
      </w:pPr>
      <w:r>
        <w:t xml:space="preserve">В ходе работы необходимо реализовать математическую модель экспоненциального роста, выполнить её численное решение, провести параметрическое исследование влияния коэффициента роста</w:t>
      </w:r>
      <w:r>
        <w:t xml:space="preserve"> </w:t>
      </w:r>
      <m:oMath>
        <m:r>
          <m:t>α</m:t>
        </m:r>
      </m:oMath>
      <w:r>
        <w:t xml:space="preserve">, сохранить результаты вычислений и подготовить материалы проекта в форматах Julia, Jupyter Notebook и Quarto.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соответствии с методическими указаниями в ходе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Настроить систему контроля версий Git.</w:t>
      </w:r>
    </w:p>
    <w:p>
      <w:pPr>
        <w:pStyle w:val="Compact"/>
        <w:numPr>
          <w:ilvl w:val="0"/>
          <w:numId w:val="1001"/>
        </w:numPr>
      </w:pPr>
      <w:r>
        <w:t xml:space="preserve">Настроить рабочее пространство курса и лабораторной работы.</w:t>
      </w:r>
    </w:p>
    <w:p>
      <w:pPr>
        <w:pStyle w:val="Compact"/>
        <w:numPr>
          <w:ilvl w:val="0"/>
          <w:numId w:val="1001"/>
        </w:numPr>
      </w:pPr>
      <w:r>
        <w:t xml:space="preserve">Создать проект DrWatson для выполнения вычислительных экспериментов.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 Julia.</w:t>
      </w:r>
    </w:p>
    <w:p>
      <w:pPr>
        <w:pStyle w:val="Compact"/>
        <w:numPr>
          <w:ilvl w:val="0"/>
          <w:numId w:val="1001"/>
        </w:numPr>
      </w:pPr>
      <w:r>
        <w:t xml:space="preserve">Проверить корректность установки пакетов и структуру проекта.</w:t>
      </w:r>
    </w:p>
    <w:p>
      <w:pPr>
        <w:pStyle w:val="Compact"/>
        <w:numPr>
          <w:ilvl w:val="0"/>
          <w:numId w:val="1001"/>
        </w:numPr>
      </w:pPr>
      <w:r>
        <w:t xml:space="preserve">Реализовать модель экспоненциального роста.</w:t>
      </w:r>
    </w:p>
    <w:p>
      <w:pPr>
        <w:pStyle w:val="Compact"/>
        <w:numPr>
          <w:ilvl w:val="0"/>
          <w:numId w:val="1001"/>
        </w:numPr>
      </w:pPr>
      <w:r>
        <w:t xml:space="preserve">Выполнить численное моделирование.</w:t>
      </w:r>
    </w:p>
    <w:p>
      <w:pPr>
        <w:pStyle w:val="Compact"/>
        <w:numPr>
          <w:ilvl w:val="0"/>
          <w:numId w:val="1001"/>
        </w:numPr>
      </w:pPr>
      <w:r>
        <w:t xml:space="preserve">Построить график полученного решения.</w:t>
      </w:r>
    </w:p>
    <w:p>
      <w:pPr>
        <w:pStyle w:val="Compact"/>
        <w:numPr>
          <w:ilvl w:val="0"/>
          <w:numId w:val="1001"/>
        </w:numPr>
      </w:pPr>
      <w:r>
        <w:t xml:space="preserve">Оформить программу в литературном стиле.</w:t>
      </w:r>
    </w:p>
    <w:p>
      <w:pPr>
        <w:pStyle w:val="Compact"/>
        <w:numPr>
          <w:ilvl w:val="0"/>
          <w:numId w:val="1001"/>
        </w:numPr>
      </w:pPr>
      <w:r>
        <w:t xml:space="preserve">Выполнить параметрическое исследование модели.</w:t>
      </w:r>
    </w:p>
    <w:p>
      <w:pPr>
        <w:pStyle w:val="Compact"/>
        <w:numPr>
          <w:ilvl w:val="0"/>
          <w:numId w:val="1001"/>
        </w:numPr>
      </w:pPr>
      <w:r>
        <w:t xml:space="preserve">Исследовать зависимость времени удвоения от параметра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Выполнить бенчмаркинг времени вычислений.</w:t>
      </w:r>
    </w:p>
    <w:p>
      <w:pPr>
        <w:pStyle w:val="Compact"/>
        <w:numPr>
          <w:ilvl w:val="0"/>
          <w:numId w:val="1001"/>
        </w:numPr>
      </w:pPr>
      <w:r>
        <w:t xml:space="preserve">Сохранить результаты экспериментов.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из литературного кода чистый Julia-код, Jupyter Notebook и документацию Quarto.</w:t>
      </w:r>
    </w:p>
    <w:p>
      <w:pPr>
        <w:pStyle w:val="Compact"/>
        <w:numPr>
          <w:ilvl w:val="0"/>
          <w:numId w:val="1001"/>
        </w:numPr>
      </w:pPr>
      <w:r>
        <w:t xml:space="preserve">Выполнить полученный Jupyter Notebook и подготовить материалы для итогового отчёта.</w:t>
      </w:r>
    </w:p>
    <w:bookmarkEnd w:id="10"/>
    <w:bookmarkStart w:id="14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11" w:name="система-контроля-версий-git"/>
    <w:p>
      <w:pPr>
        <w:pStyle w:val="Heading2"/>
      </w:pPr>
      <w:r>
        <w:t xml:space="preserve">3.1 Система контроля версий Git</w:t>
      </w:r>
    </w:p>
    <w:p>
      <w:pPr>
        <w:pStyle w:val="FirstParagraph"/>
      </w:pPr>
      <w:r>
        <w:t xml:space="preserve">Git представляет собой распределённую систему контроля версий, предназначенную для хранения истории изменений проекта и организации совместной работы с исходным кодом.</w:t>
      </w:r>
    </w:p>
    <w:p>
      <w:pPr>
        <w:pStyle w:val="BodyText"/>
      </w:pPr>
      <w:r>
        <w:t xml:space="preserve">В рамках лабораторной работы Git используется для хранения учебного репозитория, отслеживания изменений файлов проекта и синхронизации локального рабочего пространства с удалёнными репозиториями.</w:t>
      </w:r>
    </w:p>
    <w:p>
      <w:pPr>
        <w:pStyle w:val="BodyText"/>
      </w:pPr>
      <w:r>
        <w:t xml:space="preserve">Для работы с удалёнными репозиториями могут использоваться GitHub и GitVerse. Для безопасной аутентификации применяется механизм SSH-ключей.</w:t>
      </w:r>
    </w:p>
    <w:bookmarkEnd w:id="11"/>
    <w:bookmarkStart w:id="12" w:name="проект-drwatson"/>
    <w:p>
      <w:pPr>
        <w:pStyle w:val="Heading2"/>
      </w:pPr>
      <w:r>
        <w:t xml:space="preserve">3.2 Проект DrWatson</w:t>
      </w:r>
    </w:p>
    <w:p>
      <w:pPr>
        <w:pStyle w:val="FirstParagraph"/>
      </w:pPr>
      <w:r>
        <w:t xml:space="preserve">DrWatson.jl является фреймворком для организации научных вычислительных проектов на языке Julia. Он предоставляет средства для структурирования проекта, работы с данными и результатами экспериментов, а также обеспечения воспроизводимости вычислений.</w:t>
      </w:r>
    </w:p>
    <w:p>
      <w:pPr>
        <w:pStyle w:val="BodyText"/>
      </w:pPr>
      <w:r>
        <w:t xml:space="preserve">Стандартная структура проекта включает каталоги для исходного кода, скриптов, данных и графических результатов.</w:t>
      </w:r>
    </w:p>
    <w:p>
      <w:pPr>
        <w:pStyle w:val="BodyText"/>
      </w:pPr>
      <w:r>
        <w:t xml:space="preserve">В ходе работы используются функции и макросы DrWatson, в частности</w:t>
      </w:r>
      <w:r>
        <w:t xml:space="preserve"> </w:t>
      </w:r>
      <w:r>
        <w:rPr>
          <w:rStyle w:val="VerbatimChar"/>
        </w:rPr>
        <w:t xml:space="preserve">@quickactivate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projectdir()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datadir()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plotsdir()</w:t>
      </w:r>
      <w:r>
        <w:t xml:space="preserve">.</w:t>
      </w:r>
    </w:p>
    <w:bookmarkEnd w:id="12"/>
    <w:bookmarkStart w:id="13" w:name="модель-экспоненциального-роста"/>
    <w:p>
      <w:pPr>
        <w:pStyle w:val="Heading2"/>
      </w:pPr>
      <w:r>
        <w:t xml:space="preserve">3.3 Модель экспоненциального роста</w:t>
      </w:r>
    </w:p>
    <w:p>
      <w:pPr>
        <w:pStyle w:val="FirstParagraph"/>
      </w:pPr>
      <w:r>
        <w:t xml:space="preserve">В качестве математической модели рассматривается экспоненциальный рост. Экспоненциальным называется процесс, при котором скорость изменения величины пропорциональна её текущему значению.</w:t>
      </w:r>
    </w:p>
    <w:p>
      <w:pPr>
        <w:pStyle w:val="BodyText"/>
      </w:pPr>
      <w:r>
        <w:t xml:space="preserve">Модель задаётся дифференциальным уравнением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текущее значение исследуемой величины,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— время, 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— коэффициент роста.</w:t>
      </w:r>
    </w:p>
    <w:p>
      <w:pPr>
        <w:pStyle w:val="BodyText"/>
      </w:pPr>
      <w:r>
        <w:t xml:space="preserve">При начальном условии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аналитическое решение имеет вид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Если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, наблюдается экспоненциальный рост. При отрицательном значении параметра модель описывает экспоненциальное затухание.</w:t>
      </w:r>
    </w:p>
    <w:p>
      <w:pPr>
        <w:pStyle w:val="BodyText"/>
      </w:pPr>
      <w:r>
        <w:t xml:space="preserve">Одной из основных характеристик модели является время удвоения. Оно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Следовательно, при увеличении коэффициента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время удвоения уменьшается. Методические указания также отмечают, что модель экспоненциального роста является идеализированной и в реальных системах бесконечный рост ограничивается ресурсами.</w:t>
      </w:r>
    </w:p>
    <w:bookmarkEnd w:id="13"/>
    <w:bookmarkEnd w:id="14"/>
    <w:bookmarkStart w:id="12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19" w:name="настройка-git"/>
    <w:p>
      <w:pPr>
        <w:pStyle w:val="Heading2"/>
      </w:pPr>
      <w:r>
        <w:t xml:space="preserve">4.1 Настройка Git</w:t>
      </w:r>
    </w:p>
    <w:p>
      <w:pPr>
        <w:pStyle w:val="FirstParagraph"/>
      </w:pPr>
      <w:r>
        <w:t xml:space="preserve">На первом этапе была выполнена настройка системы контроля версий Git.</w:t>
      </w:r>
    </w:p>
    <w:p>
      <w:pPr>
        <w:pStyle w:val="BodyText"/>
      </w:pPr>
      <w:r>
        <w:t xml:space="preserve">Для задания имени пользователя и адреса электронной почты используются команды: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"Sofia Kudyakova"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"1132236033@rudn.ru"</w:t>
      </w:r>
    </w:p>
    <w:p>
      <w:pPr>
        <w:pStyle w:val="FirstParagraph"/>
      </w:pPr>
      <w:r>
        <w:t xml:space="preserve">Также были настроены параметры отображения путей и окончания строк: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</w:p>
    <w:p>
      <w:pPr>
        <w:pStyle w:val="FirstParagraph"/>
      </w:pPr>
      <w:r>
        <w:t xml:space="preserve">Данные настройки позволяют корректно работать с русскоязычными именами файлов и единообразно обрабатывать окончания строк в проекте.</w:t>
      </w:r>
    </w:p>
    <w:p>
      <w:pPr>
        <w:pStyle w:val="BodyText"/>
      </w:pPr>
      <w:r>
        <w:t xml:space="preserve">Результат настройки Git представлен на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fig-001"/>
          <w:p>
            <w:pPr>
              <w:pStyle w:val="Compact"/>
              <w:jc w:val="center"/>
            </w:pPr>
            <w:r>
              <w:drawing>
                <wp:inline>
                  <wp:extent cx="3733800" cy="699213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992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Настройка Git</w:t>
            </w:r>
          </w:p>
          <w:bookmarkEnd w:id="18"/>
        </w:tc>
      </w:tr>
    </w:tbl>
    <w:bookmarkEnd w:id="19"/>
    <w:bookmarkStart w:id="24" w:name="настройка-ssh-доступа"/>
    <w:p>
      <w:pPr>
        <w:pStyle w:val="Heading2"/>
      </w:pPr>
      <w:r>
        <w:t xml:space="preserve">4.2 Настройка SSH-доступа</w:t>
      </w:r>
    </w:p>
    <w:p>
      <w:pPr>
        <w:pStyle w:val="FirstParagraph"/>
      </w:pPr>
      <w:r>
        <w:t xml:space="preserve">Для работы с удалёнными Git-репозиториями был настроен доступ по протоколу SSH.</w:t>
      </w:r>
    </w:p>
    <w:p>
      <w:pPr>
        <w:pStyle w:val="BodyText"/>
      </w:pPr>
      <w:r>
        <w:t xml:space="preserve">Для создания SSH-ключа используется алгоритм Ed25519. После создания ключа открытая часть ключа добавляется в соответствующий аккаунт удалённого репозитория.</w:t>
      </w:r>
    </w:p>
    <w:p>
      <w:pPr>
        <w:pStyle w:val="BodyText"/>
      </w:pPr>
      <w:r>
        <w:t xml:space="preserve">Проверка соединения с удалённым репозиторием позволяет убедиться, что SSH-аутентификация настроена корректно.</w:t>
      </w:r>
    </w:p>
    <w:p>
      <w:pPr>
        <w:pStyle w:val="BodyText"/>
      </w:pPr>
      <w:r>
        <w:t xml:space="preserve">Результат настройки SSH представлен на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002"/>
          <w:p>
            <w:pPr>
              <w:pStyle w:val="Compact"/>
              <w:jc w:val="center"/>
            </w:pPr>
            <w:r>
              <w:drawing>
                <wp:inline>
                  <wp:extent cx="3733800" cy="316514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5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SSH-доступа</w:t>
            </w:r>
          </w:p>
          <w:bookmarkEnd w:id="23"/>
        </w:tc>
      </w:tr>
    </w:tbl>
    <w:bookmarkEnd w:id="24"/>
    <w:bookmarkStart w:id="30" w:name="настройка-gitverse"/>
    <w:p>
      <w:pPr>
        <w:pStyle w:val="Heading2"/>
      </w:pPr>
      <w:r>
        <w:t xml:space="preserve">4.3 Настройка GitVerse</w:t>
      </w:r>
    </w:p>
    <w:p>
      <w:pPr>
        <w:pStyle w:val="FirstParagraph"/>
      </w:pPr>
      <w:r>
        <w:t xml:space="preserve">В ходе лабораторной работы также была выполнена настройка GitVerse для работы с учебным проектом. После настройки был проверен доступ к репозиторию и возможность взаимодействия с ним через Git.</w:t>
      </w:r>
    </w:p>
    <w:p>
      <w:pPr>
        <w:pStyle w:val="BodyText"/>
      </w:pPr>
      <w:r>
        <w:t xml:space="preserve">Настройка GitVerse позволила использовать его в качестве дополнительной платформы для хранения и синхронизации результатов лабораторной работы.</w:t>
      </w:r>
    </w:p>
    <w:p>
      <w:pPr>
        <w:pStyle w:val="BodyText"/>
      </w:pPr>
      <w:r>
        <w:t xml:space="preserve">Результат настройки GitVerse представлен на</w:t>
      </w:r>
      <w:r>
        <w:t xml:space="preserve"> </w:t>
      </w:r>
      <w:hyperlink w:anchor="fig-333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333"/>
          <w:p>
            <w:pPr>
              <w:pStyle w:val="Compact"/>
              <w:jc w:val="center"/>
            </w:pPr>
            <w:bookmarkStart w:id="28" w:name="fig-333"/>
            <w:r>
              <w:drawing>
                <wp:inline>
                  <wp:extent cx="3733800" cy="2088839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333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88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8"/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</w:t>
            </w:r>
          </w:p>
          <w:bookmarkEnd w:id="29"/>
        </w:tc>
      </w:tr>
    </w:tbl>
    <w:bookmarkEnd w:id="30"/>
    <w:bookmarkStart w:id="35" w:name="создание-рабочего-пространства-курса"/>
    <w:p>
      <w:pPr>
        <w:pStyle w:val="Heading2"/>
      </w:pPr>
      <w:r>
        <w:t xml:space="preserve">4.4 Создание рабочего пространства курса</w:t>
      </w:r>
    </w:p>
    <w:p>
      <w:pPr>
        <w:pStyle w:val="FirstParagraph"/>
      </w:pPr>
      <w:r>
        <w:t xml:space="preserve">В соответствии с методическими указаниями был создан рабочий каталог курса и подготовлена структура лабораторных работ.</w:t>
      </w:r>
    </w:p>
    <w:p>
      <w:pPr>
        <w:pStyle w:val="BodyText"/>
      </w:pPr>
      <w:r>
        <w:t xml:space="preserve">Репозиторий курса содержит каталоги отдельных лабораторных работ. Для лабораторной работы №1 используется каталог lab01, внутри которого расположены каталог проекта и каталог отчёта.</w:t>
      </w:r>
    </w:p>
    <w:p>
      <w:pPr>
        <w:pStyle w:val="BodyText"/>
      </w:pPr>
      <w:r>
        <w:t xml:space="preserve">Полученная структура соответствует структуре, приведённой в методических указаниях. В ней каталог project содержит вычислительную часть работы, а каталог report предназначен для оформления отчёта. Методичка предусматривает наличие отдельных каталогов для проекта и отчёта.</w:t>
      </w:r>
    </w:p>
    <w:p>
      <w:pPr>
        <w:pStyle w:val="BodyText"/>
      </w:pPr>
      <w:r>
        <w:t xml:space="preserve">Результат подготовки рабочего пространства представлен на</w:t>
      </w:r>
      <w:r>
        <w:t xml:space="preserve"> </w:t>
      </w:r>
      <w:hyperlink w:anchor="fig-003">
        <w:r>
          <w:rPr>
            <w:rStyle w:val="Hyperlink"/>
          </w:rPr>
          <w:t xml:space="preserve">Рисунок 4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1976041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76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Создание рабочего пространства курса</w:t>
            </w:r>
          </w:p>
          <w:bookmarkEnd w:id="34"/>
        </w:tc>
      </w:tr>
    </w:tbl>
    <w:bookmarkEnd w:id="35"/>
    <w:bookmarkStart w:id="40" w:name="создание-проекта-drwatson"/>
    <w:p>
      <w:pPr>
        <w:pStyle w:val="Heading2"/>
      </w:pPr>
      <w:r>
        <w:t xml:space="preserve">4.5 Создание проекта DrWatson</w:t>
      </w:r>
    </w:p>
    <w:p>
      <w:pPr>
        <w:pStyle w:val="FirstParagraph"/>
      </w:pPr>
      <w:r>
        <w:t xml:space="preserve">В каталоге лабораторной работы был создан проект Julia с использованием DrWatson.</w:t>
      </w:r>
    </w:p>
    <w:p>
      <w:pPr>
        <w:pStyle w:val="BodyText"/>
      </w:pPr>
      <w:r>
        <w:t xml:space="preserve">Проект содержит файлы Project.toml и Manifest.toml, а также каталоги для скриптов, данных, графиков, исходного кода, ноутбуков и документов.</w:t>
      </w:r>
    </w:p>
    <w:p>
      <w:pPr>
        <w:pStyle w:val="BodyText"/>
      </w:pPr>
      <w:r>
        <w:t xml:space="preserve">Основные каталоги проекта имеют следующее назначение: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Каталог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data/</w:t>
            </w:r>
          </w:p>
        </w:tc>
        <w:tc>
          <w:tcPr/>
          <w:p>
            <w:pPr>
              <w:pStyle w:val="Compact"/>
            </w:pPr>
            <w:r>
              <w:t xml:space="preserve">результаты вычислительных экспериментов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plots/</w:t>
            </w:r>
          </w:p>
        </w:tc>
        <w:tc>
          <w:tcPr/>
          <w:p>
            <w:pPr>
              <w:pStyle w:val="Compact"/>
            </w:pPr>
            <w:r>
              <w:t xml:space="preserve">графические результаты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scripts/</w:t>
            </w:r>
          </w:p>
        </w:tc>
        <w:tc>
          <w:tcPr/>
          <w:p>
            <w:pPr>
              <w:pStyle w:val="Compact"/>
            </w:pPr>
            <w:r>
              <w:t xml:space="preserve">скрипты вычислений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src/</w:t>
            </w:r>
          </w:p>
        </w:tc>
        <w:tc>
          <w:tcPr/>
          <w:p>
            <w:pPr>
              <w:pStyle w:val="Compact"/>
            </w:pPr>
            <w:r>
              <w:t xml:space="preserve">исходный код проекта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notebooks/</w:t>
            </w:r>
          </w:p>
        </w:tc>
        <w:tc>
          <w:tcPr/>
          <w:p>
            <w:pPr>
              <w:pStyle w:val="Compact"/>
            </w:pPr>
            <w:r>
              <w:t xml:space="preserve">Jupyter Notebook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markdown/</w:t>
            </w:r>
          </w:p>
        </w:tc>
        <w:tc>
          <w:tcPr/>
          <w:p>
            <w:pPr>
              <w:pStyle w:val="Compact"/>
            </w:pPr>
            <w:r>
              <w:t xml:space="preserve">документы Quarto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test/</w:t>
            </w:r>
          </w:p>
        </w:tc>
        <w:tc>
          <w:tcPr/>
          <w:p>
            <w:pPr>
              <w:pStyle w:val="Compact"/>
            </w:pPr>
            <w:r>
              <w:t xml:space="preserve">тесты проекта</w:t>
            </w:r>
          </w:p>
        </w:tc>
      </w:tr>
    </w:tbl>
    <w:p>
      <w:pPr>
        <w:pStyle w:val="BodyText"/>
      </w:pPr>
      <w:r>
        <w:t xml:space="preserve">Методические указания приводят аналогичную структуру DrWatson-проекта с каталогами data, scripts, src и другими служебными каталогами.</w:t>
      </w:r>
    </w:p>
    <w:p>
      <w:pPr>
        <w:pStyle w:val="BodyText"/>
      </w:pPr>
      <w:r>
        <w:t xml:space="preserve">Полученная структура проекта представлена на</w:t>
      </w:r>
      <w:r>
        <w:t xml:space="preserve"> </w:t>
      </w:r>
      <w:hyperlink w:anchor="fig-004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004"/>
          <w:p>
            <w:pPr>
              <w:pStyle w:val="Compact"/>
              <w:jc w:val="center"/>
            </w:pPr>
            <w:r>
              <w:drawing>
                <wp:inline>
                  <wp:extent cx="3733800" cy="2707533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7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DrWatson</w:t>
            </w:r>
          </w:p>
          <w:bookmarkEnd w:id="39"/>
        </w:tc>
      </w:tr>
    </w:tbl>
    <w:bookmarkEnd w:id="40"/>
    <w:bookmarkStart w:id="45" w:name="установка-необходимых-пакетов"/>
    <w:p>
      <w:pPr>
        <w:pStyle w:val="Heading2"/>
      </w:pPr>
      <w:r>
        <w:t xml:space="preserve">4.6 Установка необходимых пакетов</w:t>
      </w:r>
    </w:p>
    <w:p>
      <w:pPr>
        <w:pStyle w:val="FirstParagraph"/>
      </w:pPr>
      <w:r>
        <w:t xml:space="preserve">Для выполнения вычислений были подключены необходимые пакеты Julia: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Pkg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"DrWatson"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"DifferentialEquations"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"DataFrames"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"CSV"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"Literate"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"IJulia"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"BenchmarkTools"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Pkg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"Quarto"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проекте используются следующие основные пакеты:</w:t>
      </w:r>
    </w:p>
    <w:p>
      <w:pPr>
        <w:pStyle w:val="Compact"/>
        <w:numPr>
          <w:ilvl w:val="0"/>
          <w:numId w:val="1002"/>
        </w:numPr>
      </w:pPr>
      <w:r>
        <w:t xml:space="preserve">DrWatson — организация вычислительного проекта;</w:t>
      </w:r>
    </w:p>
    <w:p>
      <w:pPr>
        <w:pStyle w:val="Compact"/>
        <w:numPr>
          <w:ilvl w:val="0"/>
          <w:numId w:val="1002"/>
        </w:numPr>
      </w:pPr>
      <w:r>
        <w:t xml:space="preserve">DifferentialEquations — численное решение дифференциальных уравнений;</w:t>
      </w:r>
    </w:p>
    <w:p>
      <w:pPr>
        <w:pStyle w:val="Compact"/>
        <w:numPr>
          <w:ilvl w:val="0"/>
          <w:numId w:val="1002"/>
        </w:numPr>
      </w:pPr>
      <w:r>
        <w:t xml:space="preserve">Plots — построение графиков;</w:t>
      </w:r>
    </w:p>
    <w:p>
      <w:pPr>
        <w:pStyle w:val="Compact"/>
        <w:numPr>
          <w:ilvl w:val="0"/>
          <w:numId w:val="1002"/>
        </w:numPr>
      </w:pPr>
      <w:r>
        <w:t xml:space="preserve">DataFrames — работа с табличными данными;</w:t>
      </w:r>
    </w:p>
    <w:p>
      <w:pPr>
        <w:pStyle w:val="Compact"/>
        <w:numPr>
          <w:ilvl w:val="0"/>
          <w:numId w:val="1002"/>
        </w:numPr>
      </w:pPr>
      <w:r>
        <w:t xml:space="preserve">JLD2 — сохранение результатов;</w:t>
      </w:r>
    </w:p>
    <w:p>
      <w:pPr>
        <w:pStyle w:val="Compact"/>
        <w:numPr>
          <w:ilvl w:val="0"/>
          <w:numId w:val="1002"/>
        </w:numPr>
      </w:pPr>
      <w:r>
        <w:t xml:space="preserve">Literate — преобразование литературного кода;</w:t>
      </w:r>
    </w:p>
    <w:p>
      <w:pPr>
        <w:pStyle w:val="Compact"/>
        <w:numPr>
          <w:ilvl w:val="0"/>
          <w:numId w:val="1002"/>
        </w:numPr>
      </w:pPr>
      <w:r>
        <w:t xml:space="preserve">IJulia — работа с Jupyter Notebook;</w:t>
      </w:r>
    </w:p>
    <w:p>
      <w:pPr>
        <w:pStyle w:val="Compact"/>
        <w:numPr>
          <w:ilvl w:val="0"/>
          <w:numId w:val="1002"/>
        </w:numPr>
      </w:pPr>
      <w:r>
        <w:t xml:space="preserve">BenchmarkTools — измерение времени вычислений;</w:t>
      </w:r>
    </w:p>
    <w:p>
      <w:pPr>
        <w:pStyle w:val="Compact"/>
        <w:numPr>
          <w:ilvl w:val="0"/>
          <w:numId w:val="1002"/>
        </w:numPr>
      </w:pPr>
      <w:r>
        <w:t xml:space="preserve">Quarto — подготовка документации.</w:t>
      </w:r>
    </w:p>
    <w:p>
      <w:pPr>
        <w:pStyle w:val="FirstParagraph"/>
      </w:pPr>
      <w:r>
        <w:t xml:space="preserve">Перечень пакетов соответствует методическим указаниям лабораторной работы.</w:t>
      </w:r>
    </w:p>
    <w:p>
      <w:pPr>
        <w:pStyle w:val="BodyText"/>
      </w:pPr>
      <w:r>
        <w:t xml:space="preserve">Результат установки и загрузки пакетов представлен на</w:t>
      </w:r>
      <w:r>
        <w:t xml:space="preserve"> </w:t>
      </w:r>
      <w:hyperlink w:anchor="fig-005">
        <w:r>
          <w:rPr>
            <w:rStyle w:val="Hyperlink"/>
          </w:rPr>
          <w:t xml:space="preserve">Рисунок 6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5"/>
          <w:p>
            <w:pPr>
              <w:pStyle w:val="Compact"/>
              <w:jc w:val="center"/>
            </w:pPr>
            <w:r>
              <w:drawing>
                <wp:inline>
                  <wp:extent cx="3733800" cy="1912233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необходимых пакетов</w:t>
            </w:r>
          </w:p>
          <w:bookmarkEnd w:id="44"/>
        </w:tc>
      </w:tr>
    </w:tbl>
    <w:bookmarkEnd w:id="45"/>
    <w:bookmarkStart w:id="50" w:name="проверка-проекта"/>
    <w:p>
      <w:pPr>
        <w:pStyle w:val="Heading2"/>
      </w:pPr>
      <w:r>
        <w:t xml:space="preserve">4.7 Проверка проекта</w:t>
      </w:r>
    </w:p>
    <w:p>
      <w:pPr>
        <w:pStyle w:val="FirstParagraph"/>
      </w:pPr>
      <w:r>
        <w:t xml:space="preserve">Для проверки корректности окружения был использован скрипт</w:t>
      </w:r>
      <w:r>
        <w:t xml:space="preserve"> </w:t>
      </w:r>
      <w:r>
        <w:rPr>
          <w:rStyle w:val="VerbatimChar"/>
        </w:rPr>
        <w:t xml:space="preserve">scripts/test_setup.jl</w:t>
      </w:r>
      <w:r>
        <w:t xml:space="preserve">.</w:t>
      </w:r>
    </w:p>
    <w:p>
      <w:pPr>
        <w:pStyle w:val="BodyText"/>
      </w:pPr>
      <w:r>
        <w:t xml:space="preserve">В скрипте выполняется активация проекта: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</w:p>
    <w:p>
      <w:pPr>
        <w:pStyle w:val="FirstParagraph"/>
      </w:pPr>
      <w:r>
        <w:t xml:space="preserve">После этого последовательно загружаются необходимые пакеты и проверяются основные пути проекта.</w:t>
      </w:r>
    </w:p>
    <w:p>
      <w:pPr>
        <w:pStyle w:val="BodyText"/>
      </w:pPr>
      <w:r>
        <w:t xml:space="preserve">Также выводятся пути к корню проекта, каталогу данных, скриптам и графикам.</w:t>
      </w:r>
    </w:p>
    <w:p>
      <w:pPr>
        <w:pStyle w:val="BodyText"/>
      </w:pPr>
      <w:r>
        <w:t xml:space="preserve">Методические указания предлагают выполнять аналогичную проверку с помощью</w:t>
      </w:r>
      <w:r>
        <w:t xml:space="preserve"> </w:t>
      </w:r>
      <w:r>
        <w:rPr>
          <w:rStyle w:val="VerbatimChar"/>
        </w:rPr>
        <w:t xml:space="preserve">scripts/test_setup.jl</w:t>
      </w:r>
      <w:r>
        <w:t xml:space="preserve">.</w:t>
      </w:r>
    </w:p>
    <w:p>
      <w:pPr>
        <w:pStyle w:val="BodyText"/>
      </w:pPr>
      <w:r>
        <w:t xml:space="preserve">Результат проверки проекта представлен на</w:t>
      </w:r>
      <w:r>
        <w:t xml:space="preserve"> </w:t>
      </w:r>
      <w:hyperlink w:anchor="fig-006">
        <w:r>
          <w:rPr>
            <w:rStyle w:val="Hyperlink"/>
          </w:rPr>
          <w:t xml:space="preserve">Рисунок 7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264293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642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проекта</w:t>
            </w:r>
          </w:p>
          <w:bookmarkEnd w:id="49"/>
        </w:tc>
      </w:tr>
    </w:tbl>
    <w:bookmarkEnd w:id="50"/>
    <w:bookmarkStart w:id="69" w:name="моделирование-экспоненциального-роста"/>
    <w:p>
      <w:pPr>
        <w:pStyle w:val="Heading2"/>
      </w:pPr>
      <w:r>
        <w:t xml:space="preserve">4.8 Моделирование экспоненциального роста</w:t>
      </w:r>
    </w:p>
    <w:bookmarkStart w:id="51" w:name="реализация-модели"/>
    <w:p>
      <w:pPr>
        <w:pStyle w:val="Heading3"/>
      </w:pPr>
      <w:r>
        <w:t xml:space="preserve">4.8.1 Реализация модели</w:t>
      </w:r>
    </w:p>
    <w:p>
      <w:pPr>
        <w:pStyle w:val="FirstParagraph"/>
      </w:pPr>
      <w:r>
        <w:t xml:space="preserve">На следующем этапе была реализована модель экспоненциального роста.</w:t>
      </w:r>
    </w:p>
    <w:p>
      <w:pPr>
        <w:pStyle w:val="BodyText"/>
      </w:pPr>
      <w:r>
        <w:t xml:space="preserve">Функция правой части дифференциального уравнения имеет вид: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Она задаёт зависимость скорости изменения величины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от её текущего значения.</w:t>
      </w:r>
    </w:p>
    <w:p>
      <w:pPr>
        <w:pStyle w:val="BodyText"/>
      </w:pPr>
      <w:r>
        <w:t xml:space="preserve">Реализация соответствует модели, приведённой в методических указаниях.</w:t>
      </w:r>
    </w:p>
    <w:bookmarkEnd w:id="51"/>
    <w:bookmarkStart w:id="52" w:name="задание-начальных-параметров"/>
    <w:p>
      <w:pPr>
        <w:pStyle w:val="Heading3"/>
      </w:pPr>
      <w:r>
        <w:t xml:space="preserve">4.8.2 Задание начальных параметров</w:t>
      </w:r>
    </w:p>
    <w:p>
      <w:pPr>
        <w:pStyle w:val="FirstParagraph"/>
      </w:pPr>
      <w:r>
        <w:t xml:space="preserve">Для первого эксперимента были выбраны следующие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Начальное значение исследуемой величины равно 1, коэффициент роста равен 0.3, а моделирование проводится на интервале времени от 0 до 10.</w:t>
      </w:r>
    </w:p>
    <w:p>
      <w:pPr>
        <w:pStyle w:val="BodyText"/>
      </w:pPr>
      <w:r>
        <w:t xml:space="preserve">После задания параметров формируется задача:</w:t>
      </w:r>
    </w:p>
    <w:p>
      <w:pPr>
        <w:pStyle w:val="SourceCode"/>
      </w:pP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Для численного решения используется метод Tsit5(), а результаты сохраняются с шагом 0.1.</w:t>
      </w:r>
    </w:p>
    <w:p>
      <w:pPr>
        <w:pStyle w:val="BodyText"/>
      </w:pPr>
      <w:r>
        <w:t xml:space="preserve">Такая постановка соответствует примеру из методических указаний.</w:t>
      </w:r>
    </w:p>
    <w:bookmarkEnd w:id="52"/>
    <w:bookmarkStart w:id="57" w:name="построение-графика"/>
    <w:p>
      <w:pPr>
        <w:pStyle w:val="Heading3"/>
      </w:pPr>
      <w:r>
        <w:t xml:space="preserve">4.8.3 Построение графика</w:t>
      </w:r>
    </w:p>
    <w:p>
      <w:pPr>
        <w:pStyle w:val="FirstParagraph"/>
      </w:pPr>
      <w:r>
        <w:t xml:space="preserve">После получения численного решения был построен график зависимости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от времени: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sol,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График сохраняется с помощью функции savefig.</w:t>
      </w:r>
    </w:p>
    <w:p>
      <w:pPr>
        <w:pStyle w:val="BodyText"/>
      </w:pPr>
      <w:r>
        <w:t xml:space="preserve">Результат моделирования 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представлен на</w:t>
      </w:r>
      <w:r>
        <w:t xml:space="preserve"> </w:t>
      </w:r>
      <w:hyperlink w:anchor="fig-007">
        <w:r>
          <w:rPr>
            <w:rStyle w:val="Hyperlink"/>
          </w:rPr>
          <w:t xml:space="preserve">Рисунок 8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7"/>
          <w:p>
            <w:pPr>
              <w:pStyle w:val="Compact"/>
              <w:jc w:val="center"/>
            </w:pPr>
            <w:r>
              <w:drawing>
                <wp:inline>
                  <wp:extent cx="3733800" cy="2208502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85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 зависимости</w:t>
            </w:r>
          </w:p>
          <w:bookmarkEnd w:id="56"/>
        </w:tc>
      </w:tr>
    </w:tbl>
    <w:p>
      <w:pPr>
        <w:pStyle w:val="BodyText"/>
      </w:pPr>
      <w:r>
        <w:t xml:space="preserve">Полученная траектория имеет характерную для экспоненциального роста форму: с течением времени скорость увеличения величины возрастает.</w:t>
      </w:r>
    </w:p>
    <w:bookmarkEnd w:id="57"/>
    <w:bookmarkStart w:id="62" w:name="формирование-таблицы-результатов"/>
    <w:p>
      <w:pPr>
        <w:pStyle w:val="Heading3"/>
      </w:pPr>
      <w:r>
        <w:t xml:space="preserve">4.8.4 Формирование таблицы результатов</w:t>
      </w:r>
    </w:p>
    <w:p>
      <w:pPr>
        <w:pStyle w:val="FirstParagraph"/>
      </w:pPr>
      <w:r>
        <w:t xml:space="preserve">Для анализа численного решения была сформирована таблица, содержащая моменты времени и соответствующие значения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Таблица позволяет анализировать численные значения решения в отдельных моментах времени.</w:t>
      </w:r>
    </w:p>
    <w:p>
      <w:pPr>
        <w:pStyle w:val="BodyText"/>
      </w:pPr>
      <w:r>
        <w:t xml:space="preserve">Результат вывода первых строк таблицы представлен на</w:t>
      </w:r>
      <w:r>
        <w:t xml:space="preserve"> </w:t>
      </w:r>
      <w:hyperlink w:anchor="fig-008">
        <w:r>
          <w:rPr>
            <w:rStyle w:val="Hyperlink"/>
          </w:rPr>
          <w:t xml:space="preserve">Рисунок 9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8"/>
          <w:p>
            <w:pPr>
              <w:pStyle w:val="Compact"/>
              <w:jc w:val="center"/>
            </w:pPr>
            <w:r>
              <w:drawing>
                <wp:inline>
                  <wp:extent cx="3733800" cy="102652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65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Формирование таблицы результатов</w:t>
            </w:r>
          </w:p>
          <w:bookmarkEnd w:id="61"/>
        </w:tc>
      </w:tr>
    </w:tbl>
    <w:bookmarkEnd w:id="62"/>
    <w:bookmarkStart w:id="67" w:name="расчёт-времени-удвоения"/>
    <w:p>
      <w:pPr>
        <w:pStyle w:val="Heading3"/>
      </w:pPr>
      <w:r>
        <w:t xml:space="preserve">4.8.5 Расчёт времени удвоения</w:t>
      </w:r>
    </w:p>
    <w:p>
      <w:pPr>
        <w:pStyle w:val="FirstParagraph"/>
      </w:pPr>
      <w:r>
        <w:t xml:space="preserve">Время удвоения рассчитывается аналитически по формуле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программе используется выражение:</w:t>
      </w:r>
    </w:p>
    <w:p>
      <w:pPr>
        <w:pStyle w:val="SourceCode"/>
      </w:pP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</w:p>
    <w:p>
      <w:pPr>
        <w:pStyle w:val="FirstParagraph"/>
      </w:pPr>
      <w:r>
        <w:t xml:space="preserve">При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0.3</m:t>
              </m:r>
            </m:den>
          </m:f>
          <m:r>
            <m:rPr>
              <m:sty m:val="p"/>
            </m:rPr>
            <m:t>≈</m:t>
          </m:r>
          <m:r>
            <m:t>2.31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Таким образом, при выбранной скорости роста величина модели теоретически увеличивается в два раза примерно за 2.31 единицы времени.</w:t>
      </w:r>
    </w:p>
    <w:p>
      <w:pPr>
        <w:pStyle w:val="BodyText"/>
      </w:pPr>
      <w:r>
        <w:t xml:space="preserve">Результат расчёта представлен на</w:t>
      </w:r>
      <w:r>
        <w:t xml:space="preserve"> </w:t>
      </w:r>
      <w:hyperlink w:anchor="fig-009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9"/>
          <w:p>
            <w:pPr>
              <w:pStyle w:val="Compact"/>
              <w:jc w:val="center"/>
            </w:pPr>
            <w:r>
              <w:drawing>
                <wp:inline>
                  <wp:extent cx="3733800" cy="9697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9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Расчёт</w:t>
            </w:r>
          </w:p>
          <w:bookmarkEnd w:id="66"/>
        </w:tc>
      </w:tr>
    </w:tbl>
    <w:bookmarkEnd w:id="67"/>
    <w:bookmarkStart w:id="68" w:name="сохранение-результатов"/>
    <w:p>
      <w:pPr>
        <w:pStyle w:val="Heading3"/>
      </w:pPr>
      <w:r>
        <w:t xml:space="preserve">4.8.6 Сохранение результатов</w:t>
      </w:r>
    </w:p>
    <w:p>
      <w:pPr>
        <w:pStyle w:val="FirstParagraph"/>
      </w:pPr>
      <w:r>
        <w:t xml:space="preserve">Полученная таблица результатов сохраняется в формате JLD2: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p>
      <w:pPr>
        <w:pStyle w:val="FirstParagraph"/>
      </w:pPr>
      <w:r>
        <w:t xml:space="preserve">Использование отдельного файла результатов позволяет сохранить данные моделирования и использовать их в последующем анализе без повторного выполнения эксперимента.</w:t>
      </w:r>
    </w:p>
    <w:bookmarkEnd w:id="68"/>
    <w:bookmarkEnd w:id="69"/>
    <w:bookmarkStart w:id="80" w:name="литературное-программирование"/>
    <w:p>
      <w:pPr>
        <w:pStyle w:val="Heading2"/>
      </w:pPr>
      <w:r>
        <w:t xml:space="preserve">4.9 Литературное программирование</w:t>
      </w:r>
    </w:p>
    <w:bookmarkStart w:id="74" w:name="Xff6b550f4e5e42d756efa80376794c483b9b555"/>
    <w:p>
      <w:pPr>
        <w:pStyle w:val="Heading3"/>
      </w:pPr>
      <w:r>
        <w:t xml:space="preserve">4.9.1 Литературное описание первого эксперимента</w:t>
      </w:r>
    </w:p>
    <w:p>
      <w:pPr>
        <w:pStyle w:val="FirstParagraph"/>
      </w:pPr>
      <w:r>
        <w:t xml:space="preserve">После реализации первоначального скрипта программа была оформлена в литературном стиле.</w:t>
      </w:r>
    </w:p>
    <w:p>
      <w:pPr>
        <w:pStyle w:val="BodyText"/>
      </w:pPr>
      <w:r>
        <w:t xml:space="preserve">Литературное программирование позволяет объединять описание вычислительного эксперимента и исполняемый программный код в одном документе.</w:t>
      </w:r>
    </w:p>
    <w:p>
      <w:pPr>
        <w:pStyle w:val="BodyText"/>
      </w:pPr>
      <w:r>
        <w:t xml:space="preserve">Для первого эксперимента был создан файл:</w:t>
      </w:r>
    </w:p>
    <w:p>
      <w:pPr>
        <w:pStyle w:val="BodyText"/>
      </w:pPr>
      <w:r>
        <w:rPr>
          <w:rStyle w:val="VerbatimChar"/>
        </w:rPr>
        <w:t xml:space="preserve">markdown/01_exponential_growth/01_exponential_growth.qmd</w:t>
      </w:r>
      <w:r>
        <w:t xml:space="preserve">.</w:t>
      </w:r>
    </w:p>
    <w:p>
      <w:pPr>
        <w:pStyle w:val="BodyText"/>
      </w:pPr>
      <w:r>
        <w:t xml:space="preserve">В нём последовательно представлены:</w:t>
      </w:r>
    </w:p>
    <w:p>
      <w:pPr>
        <w:pStyle w:val="Compact"/>
        <w:numPr>
          <w:ilvl w:val="0"/>
          <w:numId w:val="1003"/>
        </w:numPr>
      </w:pPr>
      <w:r>
        <w:t xml:space="preserve">инициализация проекта;</w:t>
      </w:r>
    </w:p>
    <w:p>
      <w:pPr>
        <w:pStyle w:val="Compact"/>
        <w:numPr>
          <w:ilvl w:val="0"/>
          <w:numId w:val="1003"/>
        </w:numPr>
      </w:pPr>
      <w:r>
        <w:t xml:space="preserve">подключение пакетов;</w:t>
      </w:r>
    </w:p>
    <w:p>
      <w:pPr>
        <w:pStyle w:val="Compact"/>
        <w:numPr>
          <w:ilvl w:val="0"/>
          <w:numId w:val="1003"/>
        </w:numPr>
      </w:pPr>
      <w:r>
        <w:t xml:space="preserve">определение модели;</w:t>
      </w:r>
    </w:p>
    <w:p>
      <w:pPr>
        <w:pStyle w:val="Compact"/>
        <w:numPr>
          <w:ilvl w:val="0"/>
          <w:numId w:val="1003"/>
        </w:numPr>
      </w:pPr>
      <w:r>
        <w:t xml:space="preserve">задание параметров;</w:t>
      </w:r>
    </w:p>
    <w:p>
      <w:pPr>
        <w:pStyle w:val="Compact"/>
        <w:numPr>
          <w:ilvl w:val="0"/>
          <w:numId w:val="1003"/>
        </w:numPr>
      </w:pPr>
      <w:r>
        <w:t xml:space="preserve">численное решение;</w:t>
      </w:r>
    </w:p>
    <w:p>
      <w:pPr>
        <w:pStyle w:val="Compact"/>
        <w:numPr>
          <w:ilvl w:val="0"/>
          <w:numId w:val="1003"/>
        </w:numPr>
      </w:pPr>
      <w:r>
        <w:t xml:space="preserve">визуализация;</w:t>
      </w:r>
    </w:p>
    <w:p>
      <w:pPr>
        <w:pStyle w:val="Compact"/>
        <w:numPr>
          <w:ilvl w:val="0"/>
          <w:numId w:val="1003"/>
        </w:numPr>
      </w:pPr>
      <w:r>
        <w:t xml:space="preserve">анализ результатов;</w:t>
      </w:r>
    </w:p>
    <w:p>
      <w:pPr>
        <w:pStyle w:val="Compact"/>
        <w:numPr>
          <w:ilvl w:val="0"/>
          <w:numId w:val="1003"/>
        </w:numPr>
      </w:pPr>
      <w:r>
        <w:t xml:space="preserve">сохранение данных.</w:t>
      </w:r>
    </w:p>
    <w:p>
      <w:pPr>
        <w:pStyle w:val="FirstParagraph"/>
      </w:pPr>
      <w:r>
        <w:t xml:space="preserve">Методические указания требуют добавить описание в духе литературного программирования и затем преобразовать его в производные форматы.</w:t>
      </w:r>
    </w:p>
    <w:p>
      <w:pPr>
        <w:pStyle w:val="BodyText"/>
      </w:pPr>
      <w:r>
        <w:t xml:space="preserve">Результат создания литературного документа представлен на</w:t>
      </w:r>
      <w:r>
        <w:t xml:space="preserve"> </w:t>
      </w:r>
      <w:hyperlink w:anchor="fig-010">
        <w:r>
          <w:rPr>
            <w:rStyle w:val="Hyperlink"/>
          </w:rPr>
          <w:t xml:space="preserve">Рисунок 11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010"/>
          <w:p>
            <w:pPr>
              <w:pStyle w:val="Compact"/>
              <w:jc w:val="center"/>
            </w:pPr>
            <w:r>
              <w:drawing>
                <wp:inline>
                  <wp:extent cx="3733800" cy="2335246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52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Литературный документ</w:t>
            </w:r>
          </w:p>
          <w:bookmarkEnd w:id="73"/>
        </w:tc>
      </w:tr>
    </w:tbl>
    <w:bookmarkEnd w:id="74"/>
    <w:bookmarkStart w:id="79" w:name="генерация-производных-форматов"/>
    <w:p>
      <w:pPr>
        <w:pStyle w:val="Heading3"/>
      </w:pPr>
      <w:r>
        <w:t xml:space="preserve">4.9.2 Генерация производных форматов</w:t>
      </w:r>
    </w:p>
    <w:p>
      <w:pPr>
        <w:pStyle w:val="FirstParagraph"/>
      </w:pPr>
      <w:r>
        <w:t xml:space="preserve">Из литературного кода были получены производные представления вычислительного эксперимента.</w:t>
      </w:r>
    </w:p>
    <w:p>
      <w:pPr>
        <w:pStyle w:val="BodyText"/>
      </w:pPr>
      <w:r>
        <w:t xml:space="preserve">В проекте подготовлены:</w:t>
      </w:r>
    </w:p>
    <w:p>
      <w:pPr>
        <w:pStyle w:val="Compact"/>
        <w:numPr>
          <w:ilvl w:val="0"/>
          <w:numId w:val="1004"/>
        </w:numPr>
      </w:pPr>
      <w:r>
        <w:t xml:space="preserve">Julia-скрипт;</w:t>
      </w:r>
    </w:p>
    <w:p>
      <w:pPr>
        <w:pStyle w:val="Compact"/>
        <w:numPr>
          <w:ilvl w:val="0"/>
          <w:numId w:val="1004"/>
        </w:numPr>
      </w:pPr>
      <w:r>
        <w:t xml:space="preserve">документ Quarto;</w:t>
      </w:r>
    </w:p>
    <w:p>
      <w:pPr>
        <w:pStyle w:val="Compact"/>
        <w:numPr>
          <w:ilvl w:val="0"/>
          <w:numId w:val="1004"/>
        </w:numPr>
      </w:pPr>
      <w:r>
        <w:t xml:space="preserve">Jupyter Notebook.</w:t>
      </w:r>
    </w:p>
    <w:p>
      <w:pPr>
        <w:pStyle w:val="FirstParagraph"/>
      </w:pPr>
      <w:r>
        <w:t xml:space="preserve">Полученные файлы позволяют использовать один исходный материал для выполнения вычислений, документирования и подготовки отчёта.</w:t>
      </w:r>
    </w:p>
    <w:p>
      <w:pPr>
        <w:pStyle w:val="BodyText"/>
      </w:pPr>
      <w:r>
        <w:t xml:space="preserve">Результат генерации файлов представлен на</w:t>
      </w:r>
      <w:r>
        <w:t xml:space="preserve"> </w:t>
      </w:r>
      <w:hyperlink w:anchor="fig-011">
        <w:r>
          <w:rPr>
            <w:rStyle w:val="Hyperlink"/>
          </w:rPr>
          <w:t xml:space="preserve">Рисунок 12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1"/>
          <w:p>
            <w:pPr>
              <w:pStyle w:val="Compact"/>
              <w:jc w:val="center"/>
            </w:pPr>
            <w:r>
              <w:drawing>
                <wp:inline>
                  <wp:extent cx="3733800" cy="171013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Генерация производных форматов</w:t>
            </w:r>
          </w:p>
          <w:bookmarkEnd w:id="78"/>
        </w:tc>
      </w:tr>
    </w:tbl>
    <w:bookmarkEnd w:id="79"/>
    <w:bookmarkEnd w:id="80"/>
    <w:bookmarkStart w:id="97" w:name="параметрическое-исследование"/>
    <w:p>
      <w:pPr>
        <w:pStyle w:val="Heading2"/>
      </w:pPr>
      <w:r>
        <w:t xml:space="preserve">4.10 Параметрическое исследование</w:t>
      </w:r>
    </w:p>
    <w:bookmarkStart w:id="81" w:name="постановка-параметрического-эксперимента"/>
    <w:p>
      <w:pPr>
        <w:pStyle w:val="Heading3"/>
      </w:pPr>
      <w:r>
        <w:t xml:space="preserve">4.10.1 Постановка параметрического эксперимента</w:t>
      </w:r>
    </w:p>
    <w:p>
      <w:pPr>
        <w:pStyle w:val="FirstParagraph"/>
      </w:pPr>
      <w:r>
        <w:t xml:space="preserve">После выполнения базового эксперимента было проведено параметрическое исследование влияния коэффициента роста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Были выбраны следующие значения: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0.3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0.8</m:t>
          </m:r>
          <m:r>
            <m:rPr>
              <m:sty m:val="p"/>
            </m:rPr>
            <m:t>,</m:t>
          </m:r>
          <m:r>
            <m:t> </m:t>
          </m:r>
          <m:r>
            <m:t>1.0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Начальное значение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, временной интервал и используемый численный метод при этом оставались неизменными.</w:t>
      </w:r>
    </w:p>
    <w:p>
      <w:pPr>
        <w:pStyle w:val="BodyText"/>
      </w:pPr>
      <w:r>
        <w:t xml:space="preserve">Параметры экспериментов задаются следующим образом: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 помощью dict_list формируется набор отдельных конфигураций экспериментов.</w:t>
      </w:r>
    </w:p>
    <w:bookmarkEnd w:id="81"/>
    <w:bookmarkStart w:id="86" w:name="выполнение-серии-экспериментов"/>
    <w:p>
      <w:pPr>
        <w:pStyle w:val="Heading3"/>
      </w:pPr>
      <w:r>
        <w:t xml:space="preserve">4.10.2 Выполнение серии экспериментов</w:t>
      </w:r>
    </w:p>
    <w:p>
      <w:pPr>
        <w:pStyle w:val="FirstParagraph"/>
      </w:pPr>
      <w:r>
        <w:t xml:space="preserve">Для каждого набора параметров выполняется численное решение модели.</w:t>
      </w:r>
    </w:p>
    <w:p>
      <w:pPr>
        <w:pStyle w:val="BodyText"/>
      </w:pPr>
      <w:r>
        <w:t xml:space="preserve">Для каждого эксперимента сохраняются:</w:t>
      </w:r>
    </w:p>
    <w:p>
      <w:pPr>
        <w:pStyle w:val="Compact"/>
        <w:numPr>
          <w:ilvl w:val="0"/>
          <w:numId w:val="1005"/>
        </w:numPr>
      </w:pPr>
      <w:r>
        <w:t xml:space="preserve">финальное значение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время удвоения;</w:t>
      </w:r>
    </w:p>
    <w:p>
      <w:pPr>
        <w:pStyle w:val="Compact"/>
        <w:numPr>
          <w:ilvl w:val="0"/>
          <w:numId w:val="1005"/>
        </w:numPr>
      </w:pPr>
      <w:r>
        <w:t xml:space="preserve">параметры эксперимента;</w:t>
      </w:r>
    </w:p>
    <w:p>
      <w:pPr>
        <w:pStyle w:val="Compact"/>
        <w:numPr>
          <w:ilvl w:val="0"/>
          <w:numId w:val="1005"/>
        </w:numPr>
      </w:pPr>
      <w:r>
        <w:t xml:space="preserve">путь к сохранённому результату.</w:t>
      </w:r>
    </w:p>
    <w:p>
      <w:pPr>
        <w:pStyle w:val="FirstParagraph"/>
      </w:pPr>
      <w:r>
        <w:t xml:space="preserve">Результаты объединяются в сводную таблицу results_df.</w:t>
      </w:r>
    </w:p>
    <w:p>
      <w:pPr>
        <w:pStyle w:val="BodyText"/>
      </w:pPr>
      <w:r>
        <w:t xml:space="preserve">Результат выполнения параметрического сканирования представлен на</w:t>
      </w:r>
      <w:r>
        <w:t xml:space="preserve"> </w:t>
      </w:r>
      <w:hyperlink w:anchor="fig-012">
        <w:r>
          <w:rPr>
            <w:rStyle w:val="Hyperlink"/>
          </w:rPr>
          <w:t xml:space="preserve">Рисунок 13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2"/>
          <w:p>
            <w:pPr>
              <w:pStyle w:val="Compact"/>
              <w:jc w:val="center"/>
            </w:pPr>
            <w:r>
              <w:drawing>
                <wp:inline>
                  <wp:extent cx="3733800" cy="2101238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12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Параметрическое сканирование</w:t>
            </w:r>
          </w:p>
          <w:bookmarkEnd w:id="85"/>
        </w:tc>
      </w:tr>
    </w:tbl>
    <w:bookmarkEnd w:id="86"/>
    <w:bookmarkStart w:id="91" w:name="сравнение-траекторий"/>
    <w:p>
      <w:pPr>
        <w:pStyle w:val="Heading3"/>
      </w:pPr>
      <w:r>
        <w:t xml:space="preserve">4.10.3 Сравнение траекторий</w:t>
      </w:r>
    </w:p>
    <w:p>
      <w:pPr>
        <w:pStyle w:val="FirstParagraph"/>
      </w:pPr>
      <w:r>
        <w:t xml:space="preserve">Для визуального сравнения были построены траектории модели для всех выбранных значений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При увеличении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рост становится более быстрым. Поэтому кривые для больших значений коэффициента располагаются выше уже на относительно небольших значениях времени.</w:t>
      </w:r>
    </w:p>
    <w:p>
      <w:pPr>
        <w:pStyle w:val="BodyText"/>
      </w:pPr>
      <w:r>
        <w:t xml:space="preserve">Полученный график представлен на</w:t>
      </w:r>
      <w:r>
        <w:t xml:space="preserve"> </w:t>
      </w:r>
      <w:hyperlink w:anchor="fig-013">
        <w:r>
          <w:rPr>
            <w:rStyle w:val="Hyperlink"/>
          </w:rPr>
          <w:t xml:space="preserve">Рисунок 14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3"/>
          <w:p>
            <w:pPr>
              <w:pStyle w:val="Compact"/>
              <w:jc w:val="center"/>
            </w:pPr>
            <w:r>
              <w:drawing>
                <wp:inline>
                  <wp:extent cx="3733800" cy="234980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9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Сравнение траекторий</w:t>
            </w:r>
          </w:p>
          <w:bookmarkEnd w:id="90"/>
        </w:tc>
      </w:tr>
    </w:tbl>
    <w:bookmarkEnd w:id="91"/>
    <w:bookmarkStart w:id="96" w:name="зависимость-времени-удвоения-от-alpha"/>
    <w:p>
      <w:pPr>
        <w:pStyle w:val="Heading3"/>
      </w:pPr>
      <w:r>
        <w:t xml:space="preserve">4.10.4 Зависимость времени удвоения от</w:t>
      </w:r>
      <w:r>
        <w:t xml:space="preserve"> </w:t>
      </w:r>
      <m:oMath>
        <m:r>
          <m:t>α</m:t>
        </m:r>
      </m:oMath>
    </w:p>
    <w:p>
      <w:pPr>
        <w:pStyle w:val="FirstParagraph"/>
      </w:pPr>
      <w:r>
        <w:t xml:space="preserve">Для каждого значения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было вычислено время удвоения.</w:t>
      </w:r>
    </w:p>
    <w:p>
      <w:pPr>
        <w:pStyle w:val="BodyText"/>
      </w:pPr>
      <w:r>
        <w:t xml:space="preserve">Кроме численных результатов была построена теоретическая зависимость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2</m:t>
              </m:r>
            </m:num>
            <m:den>
              <m:r>
                <m:t>α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этого используется следующий фрагмент программы: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p3,</w:t>
      </w:r>
      <w:r>
        <w:br/>
      </w:r>
      <w:r>
        <w:rPr>
          <w:rStyle w:val="NormalTok"/>
        </w:rPr>
        <w:t xml:space="preserve">    α_range,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 сравнения представлен на</w:t>
      </w:r>
      <w:r>
        <w:t xml:space="preserve"> </w:t>
      </w:r>
      <w:hyperlink w:anchor="fig-014">
        <w:r>
          <w:rPr>
            <w:rStyle w:val="Hyperlink"/>
          </w:rPr>
          <w:t xml:space="preserve">Рисунок 15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4"/>
          <w:p>
            <w:pPr>
              <w:pStyle w:val="Compact"/>
              <w:jc w:val="center"/>
            </w:pPr>
            <w:r>
              <w:drawing>
                <wp:inline>
                  <wp:extent cx="3733800" cy="262978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297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Зависимость времени удвоения от</w:t>
            </w:r>
            <w:r>
              <w:t xml:space="preserve"> </w:t>
            </w:r>
            <m:oMath>
              <m:r>
                <m:t>α</m:t>
              </m:r>
            </m:oMath>
          </w:p>
          <w:bookmarkEnd w:id="95"/>
        </w:tc>
      </w:tr>
    </w:tbl>
    <w:p>
      <w:pPr>
        <w:pStyle w:val="BodyText"/>
      </w:pPr>
      <w:r>
        <w:t xml:space="preserve">Из графика следует, что при увеличении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время удвоения уменьшается. Полученная зависимость соответствует аналитической формуле.</w:t>
      </w:r>
    </w:p>
    <w:bookmarkEnd w:id="96"/>
    <w:bookmarkEnd w:id="97"/>
    <w:bookmarkStart w:id="105" w:name="бенчмаркинг"/>
    <w:p>
      <w:pPr>
        <w:pStyle w:val="Heading2"/>
      </w:pPr>
      <w:r>
        <w:t xml:space="preserve">4.11 Бенчмаркинг</w:t>
      </w:r>
    </w:p>
    <w:bookmarkStart w:id="98" w:name="измерение-времени-вычисления"/>
    <w:p>
      <w:pPr>
        <w:pStyle w:val="Heading3"/>
      </w:pPr>
      <w:r>
        <w:t xml:space="preserve">4.11.1 Измерение времени вычисления</w:t>
      </w:r>
    </w:p>
    <w:p>
      <w:pPr>
        <w:pStyle w:val="FirstParagraph"/>
      </w:pPr>
      <w:r>
        <w:t xml:space="preserve">Для дополнительного анализа было выполнено измерение времени выполнения численного решения для различных значений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Для измерения используется пакет BenchmarkTools.</w:t>
      </w:r>
    </w:p>
    <w:p>
      <w:pPr>
        <w:pStyle w:val="BodyText"/>
      </w:pPr>
      <w:r>
        <w:t xml:space="preserve">В каждом случае выполняется серия измерений:</w:t>
      </w:r>
    </w:p>
    <w:p>
      <w:pPr>
        <w:pStyle w:val="SourceCode"/>
      </w:pPr>
      <w:r>
        <w:rPr>
          <w:rStyle w:val="NormalTok"/>
        </w:rPr>
        <w:t xml:space="preserve">benchmark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br/>
      </w:r>
      <w:r>
        <w:rPr>
          <w:rStyle w:val="NormalTok"/>
        </w:rPr>
        <w:t xml:space="preserve">time_seconds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(benchmark).time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1e9</w:t>
      </w:r>
    </w:p>
    <w:p>
      <w:pPr>
        <w:pStyle w:val="FirstParagraph"/>
      </w:pPr>
      <w:r>
        <w:t xml:space="preserve">Для каждого значения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вычисляется медианное время выполнения.</w:t>
      </w:r>
    </w:p>
    <w:p>
      <w:pPr>
        <w:pStyle w:val="BodyText"/>
      </w:pPr>
      <w:r>
        <w:t xml:space="preserve">Полученные результаты сохраняются в таблицу bench_df.</w:t>
      </w:r>
    </w:p>
    <w:bookmarkEnd w:id="98"/>
    <w:bookmarkStart w:id="103" w:name="график-времени-вычисления"/>
    <w:p>
      <w:pPr>
        <w:pStyle w:val="Heading3"/>
      </w:pPr>
      <w:r>
        <w:t xml:space="preserve">4.11.2 График времени вычисления</w:t>
      </w:r>
    </w:p>
    <w:p>
      <w:pPr>
        <w:pStyle w:val="FirstParagraph"/>
      </w:pPr>
      <w:r>
        <w:t xml:space="preserve">На основе результатов бенчмаркинга был построен график зависимости времени вычисления от значения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Полученный график представлен на</w:t>
      </w:r>
      <w:r>
        <w:t xml:space="preserve"> </w:t>
      </w:r>
      <w:hyperlink w:anchor="fig-015">
        <w:r>
          <w:rPr>
            <w:rStyle w:val="Hyperlink"/>
          </w:rPr>
          <w:t xml:space="preserve">Рисунок 16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015"/>
          <w:p>
            <w:pPr>
              <w:pStyle w:val="Compact"/>
              <w:jc w:val="center"/>
            </w:pPr>
            <w:r>
              <w:drawing>
                <wp:inline>
                  <wp:extent cx="3733800" cy="2201709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017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График времени вычисления</w:t>
            </w:r>
          </w:p>
          <w:bookmarkEnd w:id="102"/>
        </w:tc>
      </w:tr>
    </w:tbl>
    <w:p>
      <w:pPr>
        <w:pStyle w:val="BodyText"/>
      </w:pPr>
      <w:r>
        <w:t xml:space="preserve">Данный эксперимент позволяет оценить вычислительные затраты численного решения при различных значениях параметра модели.</w:t>
      </w:r>
    </w:p>
    <w:bookmarkEnd w:id="103"/>
    <w:bookmarkStart w:id="104" w:name="X30a5cc99f487a895b6b2044512e48edc444d0fc"/>
    <w:p>
      <w:pPr>
        <w:pStyle w:val="Heading3"/>
      </w:pPr>
      <w:r>
        <w:t xml:space="preserve">4.11.3 Сохранение результатов параметрического исследования</w:t>
      </w:r>
    </w:p>
    <w:p>
      <w:pPr>
        <w:pStyle w:val="FirstParagraph"/>
      </w:pPr>
      <w:r>
        <w:t xml:space="preserve">Все результаты параметрического исследования сохраняются в формате JLD2.</w:t>
      </w:r>
    </w:p>
    <w:p>
      <w:pPr>
        <w:pStyle w:val="BodyText"/>
      </w:pPr>
      <w:r>
        <w:t xml:space="preserve">Основной файл результатов содержит:</w:t>
      </w:r>
    </w:p>
    <w:p>
      <w:pPr>
        <w:pStyle w:val="Compact"/>
        <w:numPr>
          <w:ilvl w:val="0"/>
          <w:numId w:val="1006"/>
        </w:numPr>
      </w:pPr>
      <w:r>
        <w:t xml:space="preserve">базовые параметры;</w:t>
      </w:r>
    </w:p>
    <w:p>
      <w:pPr>
        <w:pStyle w:val="Compact"/>
        <w:numPr>
          <w:ilvl w:val="0"/>
          <w:numId w:val="1006"/>
        </w:numPr>
      </w:pPr>
      <w:r>
        <w:t xml:space="preserve">сетку параметров;</w:t>
      </w:r>
    </w:p>
    <w:p>
      <w:pPr>
        <w:pStyle w:val="Compact"/>
        <w:numPr>
          <w:ilvl w:val="0"/>
          <w:numId w:val="1006"/>
        </w:numPr>
      </w:pPr>
      <w:r>
        <w:t xml:space="preserve">список всех конфигураций;</w:t>
      </w:r>
    </w:p>
    <w:p>
      <w:pPr>
        <w:pStyle w:val="Compact"/>
        <w:numPr>
          <w:ilvl w:val="0"/>
          <w:numId w:val="1006"/>
        </w:numPr>
      </w:pPr>
      <w:r>
        <w:t xml:space="preserve">сводную таблицу;</w:t>
      </w:r>
    </w:p>
    <w:p>
      <w:pPr>
        <w:pStyle w:val="Compact"/>
        <w:numPr>
          <w:ilvl w:val="0"/>
          <w:numId w:val="1006"/>
        </w:numPr>
      </w:pPr>
      <w:r>
        <w:t xml:space="preserve">результаты бенчмаркинга.</w:t>
      </w:r>
    </w:p>
    <w:p>
      <w:pPr>
        <w:pStyle w:val="FirstParagraph"/>
      </w:pPr>
      <w:r>
        <w:t xml:space="preserve">Используется следующий код: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</w:p>
    <w:p>
      <w:pPr>
        <w:pStyle w:val="FirstParagraph"/>
      </w:pPr>
      <w:r>
        <w:t xml:space="preserve">Полученные данные позволяют повторно использовать результаты экспериментов без необходимости повторного выполнения всех вычислений.</w:t>
      </w:r>
    </w:p>
    <w:bookmarkEnd w:id="104"/>
    <w:bookmarkEnd w:id="105"/>
    <w:bookmarkStart w:id="114" w:name="выполнение-jupyter-notebook"/>
    <w:p>
      <w:pPr>
        <w:pStyle w:val="Heading2"/>
      </w:pPr>
      <w:r>
        <w:t xml:space="preserve">4.12 Выполнение Jupyter Notebook</w:t>
      </w:r>
    </w:p>
    <w:p>
      <w:pPr>
        <w:pStyle w:val="FirstParagraph"/>
      </w:pPr>
      <w:r>
        <w:t xml:space="preserve">В соответствии с методическими указаниями был подготовлен Jupyter Notebook для выполнения вычислительного эксперимента.</w:t>
      </w:r>
    </w:p>
    <w:p>
      <w:pPr>
        <w:pStyle w:val="BodyText"/>
      </w:pPr>
      <w:r>
        <w:t xml:space="preserve">В проекте используются ноутбуки:</w:t>
      </w:r>
    </w:p>
    <w:p>
      <w:pPr>
        <w:pStyle w:val="BodyText"/>
      </w:pPr>
      <w:r>
        <w:rPr>
          <w:rStyle w:val="VerbatimChar"/>
        </w:rPr>
        <w:t xml:space="preserve">notebooks/01_exponential_growth/01_exponential_growth.ipynb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notebooks/02_exponential_growth/02_exponential_growth.ipynb</w:t>
      </w:r>
      <w:r>
        <w:t xml:space="preserve">.</w:t>
      </w:r>
    </w:p>
    <w:p>
      <w:pPr>
        <w:pStyle w:val="BodyText"/>
      </w:pPr>
      <w:r>
        <w:t xml:space="preserve">Ноутбук содержит вычислительные ячейки, описание эксперимента и результаты выполнения.</w:t>
      </w:r>
    </w:p>
    <w:p>
      <w:pPr>
        <w:pStyle w:val="BodyText"/>
      </w:pPr>
      <w:r>
        <w:t xml:space="preserve">Результат выполнения</w:t>
      </w:r>
      <w:r>
        <w:t xml:space="preserve"> </w:t>
      </w:r>
      <w:r>
        <w:rPr>
          <w:rStyle w:val="VerbatimChar"/>
        </w:rPr>
        <w:t xml:space="preserve">notebooks/01_exponential_growth/01_exponential_growth.ipynb</w:t>
      </w:r>
      <w:r>
        <w:t xml:space="preserve"> </w:t>
      </w:r>
      <w:r>
        <w:t xml:space="preserve">представлен на</w:t>
      </w:r>
      <w:r>
        <w:t xml:space="preserve"> </w:t>
      </w:r>
      <w:hyperlink w:anchor="fig-016">
        <w:r>
          <w:rPr>
            <w:rStyle w:val="Hyperlink"/>
          </w:rPr>
          <w:t xml:space="preserve">Рисунок 17</w:t>
        </w:r>
      </w:hyperlink>
      <w:r>
        <w:t xml:space="preserve"> </w:t>
      </w:r>
      <w:r>
        <w:t xml:space="preserve">.</w:t>
      </w:r>
    </w:p>
    <w:p>
      <w:pPr>
        <w:pStyle w:val="BodyText"/>
      </w:pPr>
      <w:r>
        <w:t xml:space="preserve">А результат выполнения</w:t>
      </w:r>
      <w:r>
        <w:t xml:space="preserve"> </w:t>
      </w:r>
      <w:r>
        <w:rPr>
          <w:rStyle w:val="VerbatimChar"/>
        </w:rPr>
        <w:t xml:space="preserve">notebooks/02_exponential_growth/02_exponential_growth.ipynb</w:t>
      </w:r>
      <w:r>
        <w:t xml:space="preserve"> </w:t>
      </w:r>
      <w:r>
        <w:t xml:space="preserve">на</w:t>
      </w:r>
      <w:r>
        <w:t xml:space="preserve"> </w:t>
      </w:r>
      <w:hyperlink w:anchor="fig-161">
        <w:r>
          <w:rPr>
            <w:rStyle w:val="Hyperlink"/>
          </w:rPr>
          <w:t xml:space="preserve">Рисунок 18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016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Результат выполнения Jupyter Notebook</w:t>
            </w:r>
          </w:p>
          <w:bookmarkEnd w:id="10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161"/>
          <w:p>
            <w:pPr>
              <w:pStyle w:val="Compact"/>
              <w:jc w:val="center"/>
            </w:pPr>
            <w:r>
              <w:drawing>
                <wp:inline>
                  <wp:extent cx="3733800" cy="2089057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image/16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890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Результат выполнения Jupyter Notebook</w:t>
            </w:r>
          </w:p>
          <w:bookmarkEnd w:id="113"/>
        </w:tc>
      </w:tr>
    </w:tbl>
    <w:bookmarkEnd w:id="114"/>
    <w:bookmarkStart w:id="119" w:name="подготовка-отчёта-quarto"/>
    <w:p>
      <w:pPr>
        <w:pStyle w:val="Heading2"/>
      </w:pPr>
      <w:r>
        <w:t xml:space="preserve">4.13 Подготовка отчёта Quarto</w:t>
      </w:r>
    </w:p>
    <w:p>
      <w:pPr>
        <w:pStyle w:val="FirstParagraph"/>
      </w:pPr>
      <w:r>
        <w:t xml:space="preserve">Для формирования отчёта используется Quarto.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_quarto.yml</w:t>
      </w:r>
      <w:r>
        <w:t xml:space="preserve"> </w:t>
      </w:r>
      <w:r>
        <w:t xml:space="preserve">настроена поддержка Julia:</w:t>
      </w:r>
    </w:p>
    <w:p>
      <w:pPr>
        <w:pStyle w:val="SourceCode"/>
      </w:pPr>
      <w:r>
        <w:rPr>
          <w:rStyle w:val="FunctionTok"/>
        </w:rPr>
        <w:t xml:space="preserve">engine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julia</w:t>
      </w:r>
      <w:r>
        <w:br/>
      </w:r>
      <w:r>
        <w:rPr>
          <w:rStyle w:val="FunctionTok"/>
        </w:rPr>
        <w:t xml:space="preserve">julia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exeflags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"--project=../project"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Это позволяет выполнять Julia-код непосредственно при построении документа.</w:t>
      </w:r>
    </w:p>
    <w:p>
      <w:pPr>
        <w:pStyle w:val="BodyText"/>
      </w:pPr>
      <w:r>
        <w:t xml:space="preserve">Также в конфигурации отчёта заданы русский язык документа, нумерация разделов, оглавление, списки иллюстраций и таблиц.</w:t>
      </w:r>
    </w:p>
    <w:p>
      <w:pPr>
        <w:pStyle w:val="BodyText"/>
      </w:pPr>
      <w:r>
        <w:t xml:space="preserve">Фрагмент конфигурации Quarto представлен на</w:t>
      </w:r>
      <w:r>
        <w:t xml:space="preserve"> </w:t>
      </w:r>
      <w:hyperlink w:anchor="fig-017">
        <w:r>
          <w:rPr>
            <w:rStyle w:val="Hyperlink"/>
          </w:rPr>
          <w:t xml:space="preserve">Рисунок 19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017"/>
          <w:p>
            <w:pPr>
              <w:pStyle w:val="Compact"/>
              <w:jc w:val="center"/>
            </w:pPr>
            <w:r>
              <w:drawing>
                <wp:inline>
                  <wp:extent cx="3733800" cy="2138348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383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Quarto</w:t>
            </w:r>
          </w:p>
          <w:bookmarkEnd w:id="118"/>
        </w:tc>
      </w:tr>
    </w:tbl>
    <w:bookmarkEnd w:id="119"/>
    <w:bookmarkStart w:id="124" w:name="итоговая-структура-лабораторной-работы"/>
    <w:p>
      <w:pPr>
        <w:pStyle w:val="Heading2"/>
      </w:pPr>
      <w:r>
        <w:t xml:space="preserve">4.14 Итоговая структура лабораторной работы</w:t>
      </w:r>
    </w:p>
    <w:p>
      <w:pPr>
        <w:pStyle w:val="FirstParagraph"/>
      </w:pPr>
      <w:r>
        <w:t xml:space="preserve">После выполнения всех этапов была сформирована структура лабораторной работы:</w:t>
      </w:r>
    </w:p>
    <w:p>
      <w:pPr>
        <w:pStyle w:val="SourceCode"/>
      </w:pPr>
      <w:r>
        <w:rPr>
          <w:rStyle w:val="VerbatimChar"/>
        </w:rPr>
        <w:t xml:space="preserve">lab01/</w:t>
      </w:r>
      <w:r>
        <w:br/>
      </w:r>
      <w:r>
        <w:rPr>
          <w:rStyle w:val="VerbatimChar"/>
        </w:rPr>
        <w:t xml:space="preserve">├── presentation/</w:t>
      </w:r>
      <w:r>
        <w:br/>
      </w:r>
      <w:r>
        <w:rPr>
          <w:rStyle w:val="VerbatimChar"/>
        </w:rPr>
        <w:t xml:space="preserve">├── project/</w:t>
      </w:r>
      <w:r>
        <w:br/>
      </w:r>
      <w:r>
        <w:rPr>
          <w:rStyle w:val="VerbatimChar"/>
        </w:rPr>
        <w:t xml:space="preserve">│   ├── data/</w:t>
      </w:r>
      <w:r>
        <w:br/>
      </w:r>
      <w:r>
        <w:rPr>
          <w:rStyle w:val="VerbatimChar"/>
        </w:rPr>
        <w:t xml:space="preserve">│   ├── markdown/</w:t>
      </w:r>
      <w:r>
        <w:br/>
      </w:r>
      <w:r>
        <w:rPr>
          <w:rStyle w:val="VerbatimChar"/>
        </w:rPr>
        <w:t xml:space="preserve">│   ├── notebooks/</w:t>
      </w:r>
      <w:r>
        <w:br/>
      </w:r>
      <w:r>
        <w:rPr>
          <w:rStyle w:val="VerbatimChar"/>
        </w:rPr>
        <w:t xml:space="preserve">│   ├── plots/</w:t>
      </w:r>
      <w:r>
        <w:br/>
      </w:r>
      <w:r>
        <w:rPr>
          <w:rStyle w:val="VerbatimChar"/>
        </w:rPr>
        <w:t xml:space="preserve">│   ├── scripts/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├── test/</w:t>
      </w:r>
      <w:r>
        <w:br/>
      </w:r>
      <w:r>
        <w:rPr>
          <w:rStyle w:val="VerbatimChar"/>
        </w:rPr>
        <w:t xml:space="preserve">│   ├── Project.toml</w:t>
      </w:r>
      <w:r>
        <w:br/>
      </w:r>
      <w:r>
        <w:rPr>
          <w:rStyle w:val="VerbatimChar"/>
        </w:rPr>
        <w:t xml:space="preserve">│   ├── Manifest.toml</w:t>
      </w:r>
      <w:r>
        <w:br/>
      </w:r>
      <w:r>
        <w:rPr>
          <w:rStyle w:val="VerbatimChar"/>
        </w:rPr>
        <w:t xml:space="preserve">│   └── README.md</w:t>
      </w:r>
      <w:r>
        <w:br/>
      </w:r>
      <w:r>
        <w:rPr>
          <w:rStyle w:val="VerbatimChar"/>
        </w:rPr>
        <w:t xml:space="preserve">└── report/</w:t>
      </w:r>
      <w:r>
        <w:br/>
      </w:r>
      <w:r>
        <w:rPr>
          <w:rStyle w:val="VerbatimChar"/>
        </w:rPr>
        <w:t xml:space="preserve">    ├── image/</w:t>
      </w:r>
      <w:r>
        <w:br/>
      </w:r>
      <w:r>
        <w:rPr>
          <w:rStyle w:val="VerbatimChar"/>
        </w:rPr>
        <w:t xml:space="preserve">    ├── _quarto.yml</w:t>
      </w:r>
      <w:r>
        <w:br/>
      </w:r>
      <w:r>
        <w:rPr>
          <w:rStyle w:val="VerbatimChar"/>
        </w:rPr>
        <w:t xml:space="preserve">    └── simulation-modeling-lab01-report.qmd</w:t>
      </w:r>
    </w:p>
    <w:p>
      <w:pPr>
        <w:pStyle w:val="FirstParagraph"/>
      </w:pPr>
      <w:r>
        <w:t xml:space="preserve">Каталог project содержит вычислительную часть лабораторной работы, а каталог report — материалы для подготовки итогового документа.</w:t>
      </w:r>
    </w:p>
    <w:p>
      <w:pPr>
        <w:pStyle w:val="BodyText"/>
      </w:pPr>
      <w:r>
        <w:t xml:space="preserve">Итоговая структура проекта представлена на</w:t>
      </w:r>
      <w:r>
        <w:t xml:space="preserve"> </w:t>
      </w:r>
      <w:hyperlink w:anchor="fig-018">
        <w:r>
          <w:rPr>
            <w:rStyle w:val="Hyperlink"/>
          </w:rPr>
          <w:t xml:space="preserve">Рисунок 20</w:t>
        </w:r>
      </w:hyperlink>
      <w:r>
        <w:t xml:space="preserve"> 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018"/>
          <w:p>
            <w:pPr>
              <w:pStyle w:val="Compact"/>
              <w:jc w:val="center"/>
            </w:pPr>
            <w:r>
              <w:drawing>
                <wp:inline>
                  <wp:extent cx="3733800" cy="2960588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605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Итоговая структура лабораторной работы</w:t>
            </w:r>
          </w:p>
          <w:bookmarkEnd w:id="123"/>
        </w:tc>
      </w:tr>
    </w:tbl>
    <w:bookmarkEnd w:id="124"/>
    <w:bookmarkEnd w:id="125"/>
    <w:bookmarkStart w:id="12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была выполнена настройка рабочего окружения для проведения вычислительных экспериментов с использованием Git, Julia и DrWatson.</w:t>
      </w:r>
    </w:p>
    <w:p>
      <w:pPr>
        <w:pStyle w:val="BodyText"/>
      </w:pPr>
      <w:r>
        <w:t xml:space="preserve">Был создан структурированный проект DrWatson с отдельными каталогами для исходных файлов, скриптов, данных, графиков, ноутбуков и документов.</w:t>
      </w:r>
    </w:p>
    <w:p>
      <w:pPr>
        <w:pStyle w:val="BodyText"/>
      </w:pPr>
      <w:r>
        <w:t xml:space="preserve">В рамках вычислительной части была реализована модель экспоненциального роста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базового эксперимента использовались начальное значение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коэффициент роста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 интервал времени от 0 до 10. Было получено численное решение дифференциального уравнения и построен график экспоненциального роста.</w:t>
      </w:r>
    </w:p>
    <w:p>
      <w:pPr>
        <w:pStyle w:val="BodyText"/>
      </w:pPr>
      <w:r>
        <w:t xml:space="preserve">Для базового значения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аналитическое время удвоения составило приблизительно 2.31.</w:t>
      </w:r>
    </w:p>
    <w:p>
      <w:pPr>
        <w:pStyle w:val="BodyText"/>
      </w:pPr>
      <w:r>
        <w:t xml:space="preserve">Также было выполнено параметрическое исследование для значений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,</m:t>
          </m:r>
          <m:r>
            <m:t> </m:t>
          </m:r>
          <m:r>
            <m:t>0.3</m:t>
          </m:r>
          <m:r>
            <m:rPr>
              <m:sty m:val="p"/>
            </m:rPr>
            <m:t>,</m:t>
          </m:r>
          <m:r>
            <m:t> </m:t>
          </m:r>
          <m:r>
            <m:t>0.5</m:t>
          </m:r>
          <m:r>
            <m:rPr>
              <m:sty m:val="p"/>
            </m:rPr>
            <m:t>,</m:t>
          </m:r>
          <m:r>
            <m:t> </m:t>
          </m:r>
          <m:r>
            <m:t>0.8</m:t>
          </m:r>
          <m:r>
            <m:rPr>
              <m:sty m:val="p"/>
            </m:rPr>
            <m:t>,</m:t>
          </m:r>
          <m:r>
            <m:t> </m:t>
          </m:r>
          <m:r>
            <m:t>1.0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Исследование показало, что увеличение коэффициента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приводит к ускорению роста модели и уменьшению времени удвоения. Полученные результаты сопоставлялись с аналитической зависимостью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Дополнительно был выполнен бенчмаркинг времени вычисления для различных значений параметра.</w:t>
      </w:r>
    </w:p>
    <w:p>
      <w:pPr>
        <w:pStyle w:val="BodyText"/>
      </w:pPr>
      <w:r>
        <w:t xml:space="preserve">Результаты вычислений были сохранены в формате JLD2, а исходные вычислительные материалы были подготовлены в виде Julia-скриптов, Quarto-документов и Jupyter Notebook. Таким образом, была сформирована воспроизводимая структура вычислительного проекта.</w:t>
      </w:r>
    </w:p>
    <w:bookmarkEnd w:id="126"/>
    <w:bookmarkStart w:id="128" w:name="список-литературы"/>
    <w:p>
      <w:pPr>
        <w:pStyle w:val="Heading1"/>
      </w:pPr>
      <w:r>
        <w:t xml:space="preserve">Список литературы</w:t>
      </w:r>
    </w:p>
    <w:bookmarkStart w:id="127" w:name="refs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70" Target="media/rId70.png" /><Relationship Type="http://schemas.openxmlformats.org/officeDocument/2006/relationships/image" Id="rId75" Target="media/rId75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9" Target="media/rId99.png" /><Relationship Type="http://schemas.openxmlformats.org/officeDocument/2006/relationships/image" Id="rId106" Target="media/rId106.png" /><Relationship Type="http://schemas.openxmlformats.org/officeDocument/2006/relationships/image" Id="rId110" Target="media/rId110.png" /><Relationship Type="http://schemas.openxmlformats.org/officeDocument/2006/relationships/image" Id="rId115" Target="media/rId115.png" /><Relationship Type="http://schemas.openxmlformats.org/officeDocument/2006/relationships/image" Id="rId120" Target="media/rId120.png" /><Relationship Type="http://schemas.openxmlformats.org/officeDocument/2006/relationships/image" Id="rId20" Target="media/rId20.png" /><Relationship Type="http://schemas.openxmlformats.org/officeDocument/2006/relationships/image" Id="rId31" Target="media/rId31.png" /><Relationship Type="http://schemas.openxmlformats.org/officeDocument/2006/relationships/image" Id="rId25" Target="media/rId25.png" /><Relationship Type="http://schemas.openxmlformats.org/officeDocument/2006/relationships/image" Id="rId36" Target="media/rId36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3" Target="media/rId6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>Кудякова София Андреевна</dc:creator>
  <dc:language>ru-RU</dc:language>
  <cp:keywords/>
  <dcterms:created xsi:type="dcterms:W3CDTF">2026-09-04T02:33:35Z</dcterms:created>
  <dcterms:modified xsi:type="dcterms:W3CDTF">2026-09-04T02:33:35Z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Работа с Git и моделирование экспоненциального роста</vt:lpwstr>
  </property>
  <property fmtid="{D5CDD505-2E9C-101B-9397-08002B2CF9AE}" pid="17" name="toc-title">
    <vt:lpwstr>Содержание</vt:lpwstr>
  </property>
</Properties>
</file>