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0" distT="0" distL="0" distR="0">
            <wp:extent cx="542290" cy="542290"/>
            <wp:effectExtent b="0" l="0" r="0" t="0"/>
            <wp:docPr descr="คำอธิบาย: ครุฑ" id="5" name="image1.png"/>
            <a:graphic>
              <a:graphicData uri="http://schemas.openxmlformats.org/drawingml/2006/picture">
                <pic:pic>
                  <pic:nvPicPr>
                    <pic:cNvPr descr="คำอธิบาย: ครุฑ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290" cy="54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72"/>
          <w:szCs w:val="72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2"/>
          <w:szCs w:val="5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58"/>
          <w:szCs w:val="58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ส่วนราชการ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สน.บางรัก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 </w:t>
        <w:tab/>
        <w:t xml:space="preserve">            โทร. 02 223 4434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๐๐๑๕.(บก.น.๖)01/</w:t>
        <w:tab/>
        <w:t xml:space="preserve">-</w:t>
        <w:tab/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          วันที่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เมษายน  2569</w:t>
      </w:r>
    </w:p>
    <w:p w:rsidR="00000000" w:rsidDel="00000000" w:rsidP="00000000" w:rsidRDefault="00000000" w:rsidRPr="00000000" w14:paraId="00000004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ขอเพิกถอนรายชื่อบุคคล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(รายบัญชี)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ตามมาตรการม้าเทา</w:t>
      </w:r>
    </w:p>
    <w:p w:rsidR="00000000" w:rsidDel="00000000" w:rsidP="00000000" w:rsidRDefault="00000000" w:rsidRPr="00000000" w14:paraId="00000005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8vhox57ecczn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  ผบก.ตอท.บช.สอท.( ผ่าน ศปอส.ตร.)</w:t>
      </w:r>
    </w:p>
    <w:p w:rsidR="00000000" w:rsidDel="00000000" w:rsidP="00000000" w:rsidRDefault="00000000" w:rsidRPr="00000000" w14:paraId="00000006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bookmarkStart w:colFirst="0" w:colLast="0" w:name="_heading=h.85abxli31okt" w:id="1"/>
      <w:bookmarkEnd w:id="1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ตามหนังสือ ศปอส.ตร. ที่ 0066/4397 ลง 25 ส.ค.68 เรื่อง แนวทางการปฏิบัติตามมาตรการจัดการภัยทุจริตทางการเงิน (ม้าเทา) ซึ่งได้กำหนดหลักเกณฑ์และแนวทางให้พนักงานสอบสวนผู้รับผิดชอบพิสูจน์ข้อเท็จจริง กรณีเจ้าของบัญชีถูกระงับการทำธุรกรรม ความละเอียดปรากฏแจ้งอยู่แล้ว นั้น</w:t>
      </w:r>
    </w:p>
    <w:p w:rsidR="00000000" w:rsidDel="00000000" w:rsidP="00000000" w:rsidRDefault="00000000" w:rsidRPr="00000000" w14:paraId="00000007">
      <w:pPr>
        <w:tabs>
          <w:tab w:val="left" w:leader="none" w:pos="1418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สน.บางรัก ขอเรียนว่า ได้รับแจ้งความออนไลน์ เลขรับแจ้งความออนไลน์ xxxxxxxxxxxxxx โดยมี นาย/นาง/น.ส. xxxxxxxxxxxxxxxxxxxxxxxxxxxx เป็นผู้เสียหาย และพนักงานสอบสวนได้ดำเนินการตรวจสอบข้อมูลที่เกี่ยวข้องกับบัญชีธนาคาร และพบรายละเอียด ดังนี้ 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tabs>
          <w:tab w:val="left" w:leader="none" w:pos="1418"/>
        </w:tabs>
        <w:spacing w:after="0" w:line="240" w:lineRule="auto"/>
        <w:ind w:left="1778" w:hanging="360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หมายเลขอ้างอิงจากธนาคาร : xxxxxxxxxxxxxx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tabs>
          <w:tab w:val="left" w:leader="none" w:pos="1418"/>
        </w:tabs>
        <w:spacing w:after="0" w:line="240" w:lineRule="auto"/>
        <w:ind w:left="1778" w:hanging="360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หมายอายัดบัญชี (R) เลขที่ ตช. xxxxx/xxxx ลงวันที่ xx เดือน xxxxxx พ.ศ. 2568</w:t>
      </w:r>
    </w:p>
    <w:p w:rsidR="00000000" w:rsidDel="00000000" w:rsidP="00000000" w:rsidRDefault="00000000" w:rsidRPr="00000000" w14:paraId="0000000A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ตามข้อมูลเบื้องต้น สถาบันการเงินได้ดำเนินการระงับการทำธุรกรรมบัญชีของ นาย/นาง/น.ส. xxxxxxxxxxxxxxxxxxxxxxxxxxxx เลขประจำตัวประชาชน xxxxxxxxxxxxxx</w:t>
      </w:r>
    </w:p>
    <w:p w:rsidR="00000000" w:rsidDel="00000000" w:rsidP="00000000" w:rsidRDefault="00000000" w:rsidRPr="00000000" w14:paraId="0000000B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ทั้งนี้เป็นไปตามมาตรา 6 และมาตรา 7 แห่งพระราชกำหนดมาตรการป้องกันและปราบปรามอาชญากรรมทางเทคโนโลยี พ.ศ. 2566 และที่แก้ไขเพิ่มเติม โดยมีการจัดกลุ่มผู้ถูกระงับว่าเป็น “ม้าเทาเข้ม / เทา / เทาอ่อน”</w:t>
      </w:r>
    </w:p>
    <w:p w:rsidR="00000000" w:rsidDel="00000000" w:rsidP="00000000" w:rsidRDefault="00000000" w:rsidRPr="00000000" w14:paraId="0000000C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b w:val="1"/>
          <w:bCs w:val="1"/>
          <w:i w:val="1"/>
          <w:iCs w:val="1"/>
          <w:color w:val="ee0000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color w:val="ee0000"/>
          <w:sz w:val="32"/>
          <w:szCs w:val="32"/>
          <w:u w:val="single"/>
          <w:rtl w:val="0"/>
        </w:rPr>
        <w:t xml:space="preserve">(xxxxx ข้อความใดดังต่อไปนี้ ไม่ตรงกับข้อเท็จจริงในเนื้อหาที่จะสรุปความเห็นในรายงานนี้ “ให้ตัดออก”xxxxx)</w:t>
      </w:r>
    </w:p>
    <w:p w:rsidR="00000000" w:rsidDel="00000000" w:rsidP="00000000" w:rsidRDefault="00000000" w:rsidRPr="00000000" w14:paraId="0000000D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อย่างไรก็ตาม เมื่อพนักงานสอบสวนได้ตรวจสอบข้อเท็จจริงแล้ว เห็นว่า นาย/นาง/น.ส. xxxxxxxxxxxxxxxxxxxxxxxxxxxx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**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7030a0"/>
          <w:sz w:val="32"/>
          <w:szCs w:val="32"/>
          <w:rtl w:val="0"/>
        </w:rPr>
        <w:t xml:space="preserve">สรุปผลการตรวจสอบ: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จากการตรวจสอบพบว่า ผู้ขอเปิดบัญชี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มี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ส่วนเกี่ยวข้องกับการกระทำความผิดในคดีนี้หรือไม่ </w:t>
      </w:r>
    </w:p>
    <w:p w:rsidR="00000000" w:rsidDel="00000000" w:rsidP="00000000" w:rsidRDefault="00000000" w:rsidRPr="00000000" w14:paraId="0000000E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color w:val="ee0000"/>
          <w:sz w:val="32"/>
          <w:szCs w:val="32"/>
          <w:rtl w:val="0"/>
        </w:rPr>
        <w:t xml:space="preserve">(xxxxx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โดยพิจารณาจากพฤติการณ์การเปิดใช้บัญชี ได้แก่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** มีการเปิดบัญชีเพื่อใช้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เพื่อตนเอง / ให้ผู้อื่นใช้ / ถูกหลอกลวงให้เปิดบัญชี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** บัญชีดังกล่าว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ถูกใช้ / ไม่ถูกใช้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ในการรับโอนเงินที่เกี่ยวข้องกับคดีนี้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1"/>
          <w:iCs w:val="1"/>
          <w:color w:val="ee0000"/>
          <w:sz w:val="32"/>
          <w:szCs w:val="32"/>
          <w:rtl w:val="0"/>
        </w:rPr>
        <w:t xml:space="preserve"> xxxxx)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ab/>
        <w:t xml:space="preserve">จึงเห็นได้ว่า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ผู้ขอเปิดบัญชี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มีส่วนร่วม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ในการกระทำความผิดในคดีนี้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เนื่องจาก............................................................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(เช่น: บัญชีได้ถูกนำไปใช้ในการกระทำผิด / เจ้าของบัญชีเป็นผู้ยินยอมให้ผู้อื่นนำไปใช้ในการกระทำผิด ฯลฯ)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3f0065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3f0065"/>
          <w:sz w:val="32"/>
          <w:szCs w:val="32"/>
          <w:rtl w:val="0"/>
        </w:rPr>
        <w:t xml:space="preserve">ตรวจสอบแล้วทราบว่า xxxxxxxxxxxxxx บัญชีดังกล่าวเป็นบัญชีที่ผู้ขอเปิดบัญชีใช้เพื่อตนเอง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32"/>
          <w:szCs w:val="32"/>
          <w:rtl w:val="0"/>
        </w:rPr>
        <w:t xml:space="preserve">(ทั้งนี้ ขอให้พนักงานสอบสวนโปรดตรวจสอบและยืนยันเพิ่มเติมว่า บัญชีที่ใช้รับโอนเงินในคดีนี้ และบัญชีที่จะขอเปิดใช้นั้น เป็นบัญชีที่ “อยู่” หรือ “ไม่อยู่” กับผู้ขอเปิดบัญชี xxxxxxxxxxxxxx</w:t>
      </w:r>
      <w:r w:rsidDel="00000000" w:rsidR="00000000" w:rsidRPr="00000000">
        <w:rPr>
          <w:rFonts w:ascii="Sarabun" w:cs="Sarabun" w:eastAsia="Sarabun" w:hAnsi="Sarabun"/>
          <w:color w:val="3f0065"/>
          <w:sz w:val="32"/>
          <w:szCs w:val="32"/>
          <w:rtl w:val="0"/>
        </w:rPr>
        <w:t xml:space="preserve">) ทั้งนี้ เพื่อประกอบการพิจารณาตามมาตรา 9 แห่งพระราชกำหนดมาตรการป้องกันและปราบปรามอาชญากรรมทางเทคโนโลยี พ.ศ. 2566</w:t>
      </w:r>
    </w:p>
    <w:p w:rsidR="00000000" w:rsidDel="00000000" w:rsidP="00000000" w:rsidRDefault="00000000" w:rsidRPr="00000000" w14:paraId="00000013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จึงเห็นควรให้คงการระงับการทำธุรกรรมทางการเงินของบัญชีที่ปรากฏว่าถูกใช้ในการกระทำความผิดดังกล่าวไว้ต่อไป และเสนอให้พิจารณาผ่อนผันให้เจ้าของบัญชีสามารถใช้บัญชีธนาคารอื่นที่ไม่ปรากฏพยานหลักฐานว่าเกี่ยวข้องกับการกระทำความผิดได้ จำนวน 1 บัญชี เพื่อการดำรงชีพในเบื้องต้น ทั้งนี้ ให้พิจารณาดำเนินการตามลำดับ ดังนี้</w:t>
      </w:r>
    </w:p>
    <w:p w:rsidR="00000000" w:rsidDel="00000000" w:rsidP="00000000" w:rsidRDefault="00000000" w:rsidRPr="00000000" w14:paraId="00000014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1.พิจารณาผ่อนผันให้เจ้าของบัญชีสามารถใช้บัญชีธนาคารที่ไม่เกี่ยวข้องกับการกระทำความผิดได้ จำนวน 1 บัญชี เพื่อใช้ในการดำรงชีวิตประจำวันระหว่างรอผลการพิจารณา</w:t>
      </w:r>
    </w:p>
    <w:p w:rsidR="00000000" w:rsidDel="00000000" w:rsidP="00000000" w:rsidRDefault="00000000" w:rsidRPr="00000000" w14:paraId="00000015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2.ในกรณีที่พิจารณาแล้วเห็นว่า บัญชีอื่นของเจ้าของบัญชีไม่ปรากฏพยานหลักฐานว่าเกี่ยวข้องกับการกระทำความผิด อาจพิจารณาอนุญาตให้ใช้บัญชีดังกล่าวเพิ่มเติมได้ตามความเหมาะสม โดยยังคงระงับบัญชีที่เกี่ยวข้องกับการกระทำความผิดไว้ต่อไป</w:t>
      </w:r>
    </w:p>
    <w:p w:rsidR="00000000" w:rsidDel="00000000" w:rsidP="00000000" w:rsidRDefault="00000000" w:rsidRPr="00000000" w14:paraId="00000016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ทั้งนี้ บัญชีที่ขอให้พิจารณาดำเนินการ มีดังนี้</w:t>
      </w:r>
    </w:p>
    <w:p w:rsidR="00000000" w:rsidDel="00000000" w:rsidP="00000000" w:rsidRDefault="00000000" w:rsidRPr="00000000" w14:paraId="00000017">
      <w:pPr>
        <w:tabs>
          <w:tab w:val="left" w:leader="none" w:pos="1418"/>
        </w:tabs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 xml:space="preserve">(1) ธนาคาร: xxxxxxxxxxxxxx เลขที่บัญชี: xxxxxxxxxxxxxx ชื่อบัญชี: xxxxxxxxxxxx</w:t>
        <w:br w:type="textWrapping"/>
        <w:t xml:space="preserve"> </w:t>
        <w:tab/>
        <w:t xml:space="preserve">(2) ธนาคาร: xxxxxxxxxxxxxx เลขที่บัญชี: xxxxxxxxxxxxxx ชื่อบัญชี: xxxxxxxxxxxx</w:t>
        <w:br w:type="textWrapping"/>
        <w:t xml:space="preserve"> </w:t>
        <w:tab/>
        <w:t xml:space="preserve">(3) ธนาคาร: xxxxxxxxxxxxxx เลขที่บัญชี: xxxxxxxxxxxxxx ชื่อบัญชี: xxxxxxxxxxxx</w:t>
      </w:r>
    </w:p>
    <w:p w:rsidR="00000000" w:rsidDel="00000000" w:rsidP="00000000" w:rsidRDefault="00000000" w:rsidRPr="00000000" w14:paraId="00000018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สิ่งที่ส่งมาด้วย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1.ความเห็นพนักงานสอบสวน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(อาจแยกเป็นหัวข้อเฉพาะ หรือสรุปรวมไว้ในรายงานฉบับนี้ได้ตามความเหมาะสมของแต่ละกรณี)</w:t>
      </w:r>
    </w:p>
    <w:p w:rsidR="00000000" w:rsidDel="00000000" w:rsidP="00000000" w:rsidRDefault="00000000" w:rsidRPr="00000000" w14:paraId="0000001A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2.คำให้การของผู้กล่าวหา, เจ้าของบัญชี, พยาน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3.เอกสารประกอบคำให้การของเจ้าของบัญชี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(ได้แก่ สำเนาสมุดบัญชี หรือรายการเดินบัญชีย้อนหลัง 3 เดือน พยานหลักฐานประกอบรายงานการตรวจสอบ กรณีบัญชีถูกระงับตามมาตรการ “ม้าเทาอ่อน” หรือบัญชีม้าไม่ปรากฏสี ให้บันทึกประเด็นคำถามไว้ในคำให้การ และแนบแบบฟอร์มข้อมูลกรณีธนาคารปฏิเสธการทำ EDD เพื่อประกอบการพิจารณา)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0" w:right="0" w:firstLine="0"/>
        <w:jc w:val="both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4.หมายอายัด, หมายปลดอายัด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หรือบันทึก ป.จ.ว.ถอนคำร้องทุกข์</w:t>
      </w:r>
    </w:p>
    <w:p w:rsidR="00000000" w:rsidDel="00000000" w:rsidP="00000000" w:rsidRDefault="00000000" w:rsidRPr="00000000" w14:paraId="0000001D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5.สำเนาบัตรประจำตัวประชาชนของเจ้าของบัญชี</w:t>
      </w:r>
    </w:p>
    <w:p w:rsidR="00000000" w:rsidDel="00000000" w:rsidP="00000000" w:rsidRDefault="00000000" w:rsidRPr="00000000" w14:paraId="0000001E">
      <w:pPr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จึงเรียนมาเพื่อโปรดพิจารณา</w:t>
      </w:r>
    </w:p>
    <w:p w:rsidR="00000000" w:rsidDel="00000000" w:rsidP="00000000" w:rsidRDefault="00000000" w:rsidRPr="00000000" w14:paraId="0000001F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              </w:t>
        <w:tab/>
        <w:tab/>
        <w:tab/>
        <w:tab/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ab/>
        <w:t xml:space="preserve">พ.ต.อ.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</w:t>
        <w:tab/>
        <w:tab/>
        <w:tab/>
        <w:tab/>
        <w:t xml:space="preserve">          (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)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                                                          ผกก.สน.บางรัก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สน.บางรัก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พ.ต.ต.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xxxxxxxxxxxxxx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  <w:tab/>
        <w:t xml:space="preserve"> สว.(สอบสวน)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1560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โทร. 09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xxxxxxxxxxxxxx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ผลการตรวจสอบข้อเท็จจริง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จากการสอบสวนและตรวจสอบพยานหลักฐาน ได้แก่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รายการเดินบัญชีธนาคาร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เส้นทางการเงินของผู้เสียหาย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ข้อมูลการโอนเงิน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tabs>
          <w:tab w:val="left" w:leader="none" w:pos="1418"/>
        </w:tabs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คำให้การพยาน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ปรากฏข้อเท็จจริงว่า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บัญชีธนาคารของผู้ถูกระงับ ถูกใช้ในการรับโอนเงินที่เกี่ยวข้องกับการกระทำความผิด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0" w:afterAutospacing="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เจ้าของบัญชีมีพฤติการณ์ ยินยอมให้บุคคลอื่นใช้บัญชี หรือมีส่วนร่วมในการทำธุรกรรมดังกล่าว</w:t>
        <w:br w:type="textWrapping"/>
        <w:t xml:space="preserve"> หรือ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tabs>
          <w:tab w:val="left" w:leader="none" w:pos="1418"/>
        </w:tabs>
        <w:spacing w:after="240" w:line="276" w:lineRule="auto"/>
        <w:ind w:left="72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ปรากฏพยานหลักฐานว่าบัญชีดังกล่าวเป็นส่วนหนึ่งของเครือข่ายรับโอนเงินจากผู้เสียหาย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จึงมีเหตุอันควรเชื่อได้ว่า บัญชีดังกล่าวถูกใช้เป็นบัญชีม้าในการกระทำความผิด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จากข้อเท็จจริงและพยานหลักฐานที่ปรากฏ เห็นว่า เจ้าของบัญชีมีส่วนเกี่ยวข้องกับการกระทำความผิดในคดีนี้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จึงเห็นควร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ให้คงการระงับการทำธุรกรรมทางการเงินของบัญชีดังกล่าวไว้ต่อไป ตามมาตรการบัญชีม้าเทา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ทั้งนี้ เพื่อป้องกันมิให้บัญชีดังกล่าวถูกใช้เป็นช่องทางในการกระทำความผิดทางการเงินหรือการฟอกเงินต่อไป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ในกรณีที่เห็นสมควร อาจพิจารณา ผ่อนผันให้เจ้าของบัญชีสามารถใช้บัญชีอื่นที่ไม่เกี่ยวข้องกับการกระทำความผิดได้ จำนวน 1 บัญชี เพื่อการดำรงชีพ โดยยังคงระงับบัญชีที่เกี่ยวข้องกับการกระทำความผิดไว้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สิ่งที่ส่งมาด้วย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1.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ความเห็นพนักงานสอบสวน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2.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คำให้การผู้เสียหาย / เจ้าของบัญชี / พยาน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รายการเดินบัญชี (Statement)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4.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หลักฐานเส้นทางการเงิน (Transaction Record)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1418"/>
        </w:tabs>
        <w:spacing w:after="0" w:line="276" w:lineRule="auto"/>
        <w:ind w:left="1080" w:hanging="360"/>
        <w:jc w:val="both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5.</w:t>
      </w:r>
      <w:r w:rsidDel="00000000" w:rsidR="00000000" w:rsidRPr="00000000">
        <w:rPr>
          <w:rFonts w:ascii="Sarabun" w:cs="Sarabun" w:eastAsia="Sarabun" w:hAnsi="Sarabun"/>
          <w:color w:val="7030a0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Sarabun" w:cs="Sarabun" w:eastAsia="Sarabun" w:hAnsi="Sarabun"/>
          <w:color w:val="7030a0"/>
          <w:sz w:val="32"/>
          <w:szCs w:val="32"/>
          <w:rtl w:val="0"/>
        </w:rPr>
        <w:t xml:space="preserve">สำเนาบัตรประชาชนเจ้าของบัญชี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1418"/>
        </w:tabs>
        <w:spacing w:after="0" w:line="276" w:lineRule="auto"/>
        <w:ind w:left="720" w:firstLine="0"/>
        <w:jc w:val="both"/>
        <w:rPr>
          <w:rFonts w:ascii="Arial" w:cs="Arial" w:eastAsia="Arial" w:hAnsi="Arial"/>
          <w:color w:val="7030a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7030a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เหตุผลมาตรฐาน 12 เหตุผล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สำหรับ “ไม่ปลดบัญชีม้า / ไม่เพิกถอนรายชื่อ HR03”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1. ปรากฏพยานหลักฐานเชื่อมโยงการกระทำความผิด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จากการตรวจสอบเส้นทางการเงินและพยานหลักฐานในคดี ปรากฏว่าบัญชีดังกล่าวมีการรับโอนเงินจากผู้เสียหายหรือบัญชีที่เกี่ยวข้องกับการกระทำความผิดเกี่ยวกับอาชญากรรมทางเทคโนโลยี จึงยังไม่อาจเพิกถอนมาตรการได้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2. มีลักษณะเป็นบัญชีม้า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จากการสอบสวนพบพฤติการณ์ว่าผู้ถือบัญชีได้เปิดบัญชีหรือยินยอมให้บุคคลอื่นใช้บัญชีในการรับ โอน หรือเคลื่อนย้ายเงินที่เกี่ยวข้องกับการกระทำความผิด จึงเข้าลักษณะเป็นบัญชีม้า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3. ตรวจพบรูปแบบธุรกรรมผิดปกติ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จากการตรวจสอบรายการเดินบัญชี พบว่ามีลักษณะการรับและโอนเงินต่ออย่างรวดเร็วในลักษณะเงินผ่านบัญชี (pass-through) ซึ่งเป็นรูปแบบที่พบในเครือข่ายบัญชีม้า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4. บัญชีเกี่ยวข้องกับเครือข่ายหลายบัญชี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พบว่าบัญชีดังกล่าวมีความเชื่อมโยงกับบัญชีอื่นในเครือข่ายที่เกี่ยวข้องกับการกระทำความผิด จึงยังมีความจำเป็นต้องคงมาตรการไว้เพื่อประโยชน์ในการสืบสวนสอบสวน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5. คดีอยู่ระหว่างการสอบสวน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คดีดังกล่าวยังอยู่ระหว่างการรวบรวมพยานหลักฐานและตรวจสอบเส้นทางการเงินเพิ่มเติม จึงยังไม่อาจพิจารณาเพิกถอนมาตรการได้ในขณะนี้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6. ยังมีผู้เสียหายรายอื่นอยู่ระหว่างตรวจสอบ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จากการตรวจสอบเบื้องต้นปรากฏว่ามีธุรกรรมที่อาจเกี่ยวข้องกับผู้เสียหายรายอื่นเพิ่มเติม ซึ่งอยู่ระหว่างการตรวจสอบข้อเท็จจริง จึงยังไม่สมควรเพิกถอนมาตรการ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7. ผู้ถือบัญชีไม่สามารถชี้แจงที่มาของเงินได้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ผู้ถือบัญชีไม่สามารถชี้แจงแหล่งที่มาของเงินหรือวัตถุประสงค์ของการทำธุรกรรมได้อย่างสมเหตุสมผล จึงยังไม่อาจยืนยันได้ว่าบัญชีดังกล่าวมิได้เกี่ยวข้องกับการกระทำความผิด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8. มีการโอนเงินต่อไปยังบัญชีอื่นในลักษณะปกปิดเส้นทางการเงิน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จากการตรวจสอบเส้นทางการเงินพบว่ามีการโอนเงินต่อไปยังบัญชีอื่นหลายทอด ซึ่งมีลักษณะเป็นการปกปิดหรืออำพรางเส้นทางการเงิน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9. พฤติการณ์เข้าข่ายการสนับสนุนการกระทำความผิด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ข้อเท็จจริงและพฤติการณ์ในคดีมีเหตุอันควรเชื่อได้ว่าการใช้บัญชีดังกล่าวอาจเป็นการสนับสนุนหรืออำนวยความสะดวกในการกระทำความผิด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10. การปลดบัญชีอาจกระทบต่อการสืบสวน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หากเพิกถอนมาตรการในขณะนี้ อาจทำให้การติดตามเส้นทางการเงินหรือการรวบรวมพยานหลักฐานของเจ้าหน้าที่ได้รับความเสียหาย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11. ผู้ถือบัญชีไม่ให้ความร่วมมือในการสอบสวน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ผู้ถือบัญชีไม่ให้ความร่วมมือในการให้ข้อมูลหรือส่งมอบเอกสารหลักฐานที่เกี่ยวข้องกับการทำธุรกรรม จึงยังไม่อาจพิจารณาเพิกถอนมาตรการได้</w:t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12. ยังมีเหตุอันควรสงสัยว่าบัญชีเกี่ยวข้องกับการกระทำความผิด</w:t>
      </w:r>
    </w:p>
    <w:p w:rsidR="00000000" w:rsidDel="00000000" w:rsidP="00000000" w:rsidRDefault="00000000" w:rsidRPr="00000000" w14:paraId="00000078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เหตุผล</w:t>
      </w:r>
    </w:p>
    <w:p w:rsidR="00000000" w:rsidDel="00000000" w:rsidP="00000000" w:rsidRDefault="00000000" w:rsidRPr="00000000" w14:paraId="00000079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จากข้อเท็จจริงและพยานหลักฐานที่ปรากฏ ยังมีเหตุอันควรสงสัยว่าบัญชีดังกล่าวเกี่ยวข้องกับการกระทำความผิดเกี่ยวกับอาชญากรรมทางเทคโนโลยี จึงยังมีความจำเป็นต้องคงมาตรการไว้</w:t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1418"/>
        </w:tabs>
        <w:spacing w:after="0" w:line="276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f0000"/>
          <w:sz w:val="32"/>
          <w:szCs w:val="32"/>
          <w:rtl w:val="0"/>
        </w:rPr>
        <w:t xml:space="preserve">ตัวอย่างการใช้ในสำนวน (รูปแบบที่พนักงานสอบสวนใช้จริง)</w:t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ตัวอย่างข้อความในความเห็น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จากการตรวจสอบเส้นทางการเงินพบว่าบัญชีดังกล่าวมีการรับโอนเงินจากผู้เสียหาย และมีการโอนต่อไปยังบัญชีอื่นในลักษณะเงินผ่านบัญชี (pass-through) ประกอบกับคดียังอยู่ระหว่างการสอบสวนและตรวจสอบพยานหลักฐานเพิ่มเติม จึงยังไม่อาจเพิกถอนมาตรการระงับบัญชีดังกล่าวได้ในขณะนี้</w:t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1418"/>
        </w:tabs>
        <w:spacing w:after="0" w:before="240" w:line="276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F">
      <w:pPr>
        <w:tabs>
          <w:tab w:val="left" w:leader="none" w:pos="1418"/>
        </w:tabs>
        <w:spacing w:after="0" w:before="240" w:lineRule="auto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0">
      <w:pPr>
        <w:tabs>
          <w:tab w:val="left" w:leader="none" w:pos="1418"/>
        </w:tabs>
        <w:spacing w:after="0" w:before="240" w:line="276" w:lineRule="auto"/>
        <w:jc w:val="both"/>
        <w:rPr>
          <w:rFonts w:ascii="Arial" w:cs="Arial" w:eastAsia="Arial" w:hAnsi="Arial"/>
          <w:color w:val="ff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76" w:lineRule="auto"/>
        <w:ind w:left="0" w:right="0" w:firstLine="0"/>
        <w:jc w:val="left"/>
        <w:rPr>
          <w:rFonts w:ascii="Sarabun" w:cs="Sarabun" w:eastAsia="Sarabun" w:hAnsi="Sarabun"/>
          <w:color w:val="7030a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1418"/>
        </w:tabs>
        <w:spacing w:after="0" w:line="240" w:lineRule="auto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76" w:top="1134" w:left="1701" w:right="1133" w:header="51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778" w:hanging="360"/>
      </w:pPr>
      <w:rPr/>
    </w:lvl>
    <w:lvl w:ilvl="1">
      <w:start w:val="1"/>
      <w:numFmt w:val="decimal"/>
      <w:lvlText w:val="%2."/>
      <w:lvlJc w:val="left"/>
      <w:pPr>
        <w:ind w:left="2498" w:hanging="360"/>
      </w:pPr>
      <w:rPr/>
    </w:lvl>
    <w:lvl w:ilvl="2">
      <w:start w:val="1"/>
      <w:numFmt w:val="decimal"/>
      <w:lvlText w:val="%3."/>
      <w:lvlJc w:val="left"/>
      <w:pPr>
        <w:ind w:left="3218" w:hanging="360"/>
      </w:pPr>
      <w:rPr/>
    </w:lvl>
    <w:lvl w:ilvl="3">
      <w:start w:val="1"/>
      <w:numFmt w:val="decimal"/>
      <w:lvlText w:val="%4."/>
      <w:lvlJc w:val="left"/>
      <w:pPr>
        <w:ind w:left="3938" w:hanging="360"/>
      </w:pPr>
      <w:rPr/>
    </w:lvl>
    <w:lvl w:ilvl="4">
      <w:start w:val="1"/>
      <w:numFmt w:val="decimal"/>
      <w:lvlText w:val="%5."/>
      <w:lvlJc w:val="left"/>
      <w:pPr>
        <w:ind w:left="4658" w:hanging="360"/>
      </w:pPr>
      <w:rPr/>
    </w:lvl>
    <w:lvl w:ilvl="5">
      <w:start w:val="1"/>
      <w:numFmt w:val="decimal"/>
      <w:lvlText w:val="%6."/>
      <w:lvlJc w:val="left"/>
      <w:pPr>
        <w:ind w:left="5378" w:hanging="360"/>
      </w:pPr>
      <w:rPr/>
    </w:lvl>
    <w:lvl w:ilvl="6">
      <w:start w:val="1"/>
      <w:numFmt w:val="decimal"/>
      <w:lvlText w:val="%7."/>
      <w:lvlJc w:val="left"/>
      <w:pPr>
        <w:ind w:left="6098" w:hanging="360"/>
      </w:pPr>
      <w:rPr/>
    </w:lvl>
    <w:lvl w:ilvl="7">
      <w:start w:val="1"/>
      <w:numFmt w:val="decimal"/>
      <w:lvlText w:val="%8."/>
      <w:lvlJc w:val="left"/>
      <w:pPr>
        <w:ind w:left="6818" w:hanging="360"/>
      </w:pPr>
      <w:rPr/>
    </w:lvl>
    <w:lvl w:ilvl="8">
      <w:start w:val="1"/>
      <w:numFmt w:val="decimal"/>
      <w:lvlText w:val="%9."/>
      <w:lvlJc w:val="left"/>
      <w:pPr>
        <w:ind w:left="7538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27940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27940"/>
    <w:rPr>
      <w:rFonts w:ascii="Tahoma" w:cs="Angsana New" w:eastAsia="Calibri" w:hAnsi="Tahoma"/>
      <w:sz w:val="16"/>
      <w:szCs w:val="20"/>
    </w:rPr>
  </w:style>
  <w:style w:type="character" w:styleId="Hyperlink">
    <w:name w:val="Hyperlink"/>
    <w:basedOn w:val="DefaultParagraphFont"/>
    <w:uiPriority w:val="99"/>
    <w:unhideWhenUsed w:val="1"/>
    <w:rsid w:val="0002794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277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026C6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Footer">
    <w:name w:val="footer"/>
    <w:basedOn w:val="Normal"/>
    <w:link w:val="FooterChar"/>
    <w:uiPriority w:val="99"/>
    <w:unhideWhenUsed w:val="1"/>
    <w:rsid w:val="007111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11D1"/>
    <w:rPr>
      <w:rFonts w:ascii="Calibri" w:cs="Cordia New" w:eastAsia="Calibri" w:hAnsi="Calibri"/>
      <w:sz w:val="22"/>
      <w:szCs w:val="28"/>
    </w:rPr>
  </w:style>
  <w:style w:type="paragraph" w:styleId="ListParagraph">
    <w:name w:val="List Paragraph"/>
    <w:basedOn w:val="Normal"/>
    <w:uiPriority w:val="34"/>
    <w:qFormat w:val="1"/>
    <w:rsid w:val="00F1514D"/>
    <w:pPr>
      <w:ind w:left="720"/>
      <w:contextualSpacing w:val="1"/>
    </w:pPr>
  </w:style>
  <w:style w:type="character" w:styleId="1" w:customStyle="1">
    <w:name w:val="การอ้างถึงที่ไม่ได้แก้ไข1"/>
    <w:basedOn w:val="DefaultParagraphFont"/>
    <w:uiPriority w:val="99"/>
    <w:semiHidden w:val="1"/>
    <w:unhideWhenUsed w:val="1"/>
    <w:rsid w:val="007B5C0A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2623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99"/>
    <w:unhideWhenUsed w:val="1"/>
    <w:rsid w:val="006D38E8"/>
    <w:pPr>
      <w:spacing w:after="120"/>
    </w:pPr>
    <w:rPr>
      <w:rFonts w:asciiTheme="minorHAnsi" w:cstheme="minorBidi" w:eastAsiaTheme="minorEastAsia" w:hAnsiTheme="minorHAnsi"/>
    </w:rPr>
  </w:style>
  <w:style w:type="character" w:styleId="BodyTextChar" w:customStyle="1">
    <w:name w:val="Body Text Char"/>
    <w:basedOn w:val="DefaultParagraphFont"/>
    <w:link w:val="BodyText"/>
    <w:uiPriority w:val="99"/>
    <w:rsid w:val="006D38E8"/>
    <w:rPr>
      <w:rFonts w:asciiTheme="minorHAnsi" w:cstheme="minorBidi" w:eastAsiaTheme="minorEastAsia" w:hAnsiTheme="minorHAnsi"/>
      <w:sz w:val="22"/>
      <w:szCs w:val="28"/>
    </w:rPr>
  </w:style>
  <w:style w:type="character" w:styleId="blue-text" w:customStyle="1">
    <w:name w:val="blue-text"/>
    <w:basedOn w:val="DefaultParagraphFont"/>
    <w:rsid w:val="00220B20"/>
  </w:style>
  <w:style w:type="character" w:styleId="Strong">
    <w:name w:val="Strong"/>
    <w:qFormat w:val="1"/>
    <w:rsid w:val="006710E2"/>
    <w:rPr>
      <w:b w:val="1"/>
      <w:bCs w:val="1"/>
    </w:rPr>
  </w:style>
  <w:style w:type="character" w:styleId="SubtitleChar" w:customStyle="1">
    <w:name w:val="Subtitle Char"/>
    <w:basedOn w:val="DefaultParagraphFont"/>
    <w:link w:val="Subtitle"/>
    <w:rsid w:val="006710E2"/>
    <w:rPr>
      <w:rFonts w:ascii="Calibri Light" w:cs="Angsana New" w:eastAsia="Times New Roman" w:hAnsi="Calibri Light"/>
      <w:sz w:val="24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0D3DD1"/>
    <w:rPr>
      <w:rFonts w:ascii="Times New Roman" w:cs="Angsana New" w:hAnsi="Times New Roman"/>
      <w:sz w:val="24"/>
      <w:szCs w:val="30"/>
    </w:r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libri" w:cs="Calibri" w:eastAsia="Calibri" w:hAnsi="Calibri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fGB/j8gZlKqTQG7S3THTyQGdIA==">CgMxLjAyDmguOHZob3g1N2VjY3puMg5oLjg1YWJ4bGkzMW9rdDgAciExX09aME9rdFE3aEg4dERHdGNydWowc0F5NHhseTdZU3c=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2026-03-14T15:33:00Z</dcterms:created>
  <dc:creator>Windows User</dc:creator>
</cp:coreProperties>
</file>