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32"/>
        </w:rPr>
        <w:t>paper_40295871_tcf_septic_shock</w:t>
      </w:r>
    </w:p>
    <w:p>
      <w:r>
        <w:rPr>
          <w:color w:val="555555"/>
          <w:sz w:val="20"/>
        </w:rPr>
        <w:t>先图后表，共 11 项。标题为原文编号加中文图题或表题。</w:t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1. Figure 1，研究队列筛选与数据集划分流程图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3452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45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2. Figure 2，特征数量与模型AUC关系曲线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5197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19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3. Figure 3，TCF与七个子模型在内验集上的ROC比较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5197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19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4. Figure 4，最优子模型GBDT的SHAP特征重要性热图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555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5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5. Figure 4，最优子模型GBDT的SHAP特征重要性热图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4020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02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6. Figure 5，多数据集上模型性能比较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285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5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7. Figure 6，外验与合并验证集上的区分度表现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2618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6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8. Figure 7，基于电子病历的预测模型研究设计示意图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3164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16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9. Table 1，纳入人群基线特征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251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10. Table 1，纳入人群基线特征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251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Times New Roman" w:hAnsi="Times New Roman" w:eastAsia="宋体"/>
          <w:b/>
          <w:sz w:val="24"/>
        </w:rPr>
        <w:t>11. Table 2，内验集上TCF与子模型分类性能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2358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3588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