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6807" w14:textId="77777777" w:rsidR="001374C5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Supplementary Appendix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  <w:lang w:eastAsia="zh-CN"/>
        </w:rPr>
        <w:id w:val="101308324"/>
        <w:docPartObj>
          <w:docPartGallery w:val="Table of Contents"/>
          <w:docPartUnique/>
        </w:docPartObj>
      </w:sdtPr>
      <w:sdtContent>
        <w:p w14:paraId="315BAB9C" w14:textId="77777777" w:rsidR="001374C5" w:rsidRDefault="00000000">
          <w:pPr>
            <w:pStyle w:val="TOC1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659F3DCF" w14:textId="2FABD76E" w:rsidR="00D6268D" w:rsidRDefault="00000000">
          <w:pPr>
            <w:pStyle w:val="TOC1"/>
            <w:tabs>
              <w:tab w:val="right" w:leader="dot" w:pos="9350"/>
            </w:tabs>
            <w:rPr>
              <w:rFonts w:cstheme="minorBidi" w:hint="eastAsia"/>
              <w:b w:val="0"/>
              <w:bCs w:val="0"/>
              <w:i w:val="0"/>
              <w:iCs w:val="0"/>
              <w:noProof/>
              <w:kern w:val="2"/>
              <w:sz w:val="22"/>
              <w14:ligatures w14:val="standardContextual"/>
            </w:rPr>
          </w:pP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i w:val="0"/>
              <w:iCs w:val="0"/>
              <w:sz w:val="20"/>
              <w:szCs w:val="20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0"/>
              <w:szCs w:val="20"/>
            </w:rPr>
            <w:fldChar w:fldCharType="separate"/>
          </w:r>
          <w:hyperlink w:anchor="_Toc212124977" w:history="1">
            <w:r w:rsidR="00D6268D" w:rsidRPr="00F70AEE">
              <w:rPr>
                <w:rStyle w:val="a9"/>
                <w:rFonts w:ascii="Times New Roman" w:hAnsi="Times New Roman" w:cs="Times New Roman" w:hint="eastAsia"/>
                <w:noProof/>
              </w:rPr>
              <w:t>Table S1. The Uno's concordance index at 5-year</w:t>
            </w:r>
            <w:r w:rsidR="00D6268D">
              <w:rPr>
                <w:rFonts w:hint="eastAsia"/>
                <w:noProof/>
                <w:webHidden/>
              </w:rPr>
              <w:tab/>
            </w:r>
            <w:r w:rsidR="00D6268D">
              <w:rPr>
                <w:rFonts w:hint="eastAsia"/>
                <w:noProof/>
                <w:webHidden/>
              </w:rPr>
              <w:fldChar w:fldCharType="begin"/>
            </w:r>
            <w:r w:rsidR="00D6268D">
              <w:rPr>
                <w:rFonts w:hint="eastAsia"/>
                <w:noProof/>
                <w:webHidden/>
              </w:rPr>
              <w:instrText xml:space="preserve"> </w:instrText>
            </w:r>
            <w:r w:rsidR="00D6268D">
              <w:rPr>
                <w:noProof/>
                <w:webHidden/>
              </w:rPr>
              <w:instrText>PAGEREF _Toc212124977 \h</w:instrText>
            </w:r>
            <w:r w:rsidR="00D6268D">
              <w:rPr>
                <w:rFonts w:hint="eastAsia"/>
                <w:noProof/>
                <w:webHidden/>
              </w:rPr>
              <w:instrText xml:space="preserve"> </w:instrText>
            </w:r>
            <w:r w:rsidR="00D6268D">
              <w:rPr>
                <w:rFonts w:hint="eastAsia"/>
                <w:noProof/>
                <w:webHidden/>
              </w:rPr>
            </w:r>
            <w:r w:rsidR="00D6268D">
              <w:rPr>
                <w:rFonts w:hint="eastAsia"/>
                <w:noProof/>
                <w:webHidden/>
              </w:rPr>
              <w:fldChar w:fldCharType="separate"/>
            </w:r>
            <w:r w:rsidR="00D6268D">
              <w:rPr>
                <w:noProof/>
                <w:webHidden/>
              </w:rPr>
              <w:t>2</w:t>
            </w:r>
            <w:r w:rsidR="00D6268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324BD" w14:textId="036EA1C7" w:rsidR="00D6268D" w:rsidRDefault="00D6268D">
          <w:pPr>
            <w:pStyle w:val="TOC1"/>
            <w:tabs>
              <w:tab w:val="right" w:leader="dot" w:pos="9350"/>
            </w:tabs>
            <w:rPr>
              <w:rFonts w:cstheme="minorBidi" w:hint="eastAsia"/>
              <w:b w:val="0"/>
              <w:bCs w:val="0"/>
              <w:i w:val="0"/>
              <w:iCs w:val="0"/>
              <w:noProof/>
              <w:kern w:val="2"/>
              <w:sz w:val="22"/>
              <w14:ligatures w14:val="standardContextual"/>
            </w:rPr>
          </w:pPr>
          <w:hyperlink w:anchor="_Toc212124978" w:history="1">
            <w:r w:rsidRPr="00F70AEE">
              <w:rPr>
                <w:rStyle w:val="a9"/>
                <w:rFonts w:ascii="Times New Roman" w:hAnsi="Times New Roman" w:cs="Times New Roman" w:hint="eastAsia"/>
                <w:noProof/>
              </w:rPr>
              <w:t>Figure S1. The distribution of propensity score and standardized mean difference before and after weighting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_Toc212124978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527C5" w14:textId="48F6FB83" w:rsidR="00D6268D" w:rsidRDefault="00D6268D">
          <w:pPr>
            <w:pStyle w:val="TOC1"/>
            <w:tabs>
              <w:tab w:val="right" w:leader="dot" w:pos="9350"/>
            </w:tabs>
            <w:rPr>
              <w:rFonts w:cstheme="minorBidi" w:hint="eastAsia"/>
              <w:b w:val="0"/>
              <w:bCs w:val="0"/>
              <w:i w:val="0"/>
              <w:iCs w:val="0"/>
              <w:noProof/>
              <w:kern w:val="2"/>
              <w:sz w:val="22"/>
              <w14:ligatures w14:val="standardContextual"/>
            </w:rPr>
          </w:pPr>
          <w:hyperlink w:anchor="_Toc212124979" w:history="1">
            <w:r w:rsidRPr="00F70AEE">
              <w:rPr>
                <w:rStyle w:val="a9"/>
                <w:rFonts w:ascii="Times New Roman" w:hAnsi="Times New Roman" w:cs="Times New Roman" w:hint="eastAsia"/>
                <w:noProof/>
              </w:rPr>
              <w:t>Figure S2. Kaplan-Meier curves of overall survival without IPW adjustment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_Toc212124979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3AAD9" w14:textId="2E0FD384" w:rsidR="00D6268D" w:rsidRDefault="00D6268D">
          <w:pPr>
            <w:pStyle w:val="TOC1"/>
            <w:tabs>
              <w:tab w:val="right" w:leader="dot" w:pos="9350"/>
            </w:tabs>
            <w:rPr>
              <w:rFonts w:cstheme="minorBidi" w:hint="eastAsia"/>
              <w:b w:val="0"/>
              <w:bCs w:val="0"/>
              <w:i w:val="0"/>
              <w:iCs w:val="0"/>
              <w:noProof/>
              <w:kern w:val="2"/>
              <w:sz w:val="22"/>
              <w14:ligatures w14:val="standardContextual"/>
            </w:rPr>
          </w:pPr>
          <w:hyperlink w:anchor="_Toc212124980" w:history="1">
            <w:r w:rsidRPr="00F70AEE">
              <w:rPr>
                <w:rStyle w:val="a9"/>
                <w:rFonts w:ascii="Times New Roman" w:hAnsi="Times New Roman" w:cs="Times New Roman" w:hint="eastAsia"/>
                <w:noProof/>
              </w:rPr>
              <w:t>Figure S3. Calibration and receiver operating characteristic curves of the prediction model at 5-year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_Toc212124980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7FA0E" w14:textId="093E3175" w:rsidR="001374C5" w:rsidRDefault="00000000">
          <w:pPr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szCs w:val="20"/>
            </w:rPr>
            <w:fldChar w:fldCharType="end"/>
          </w:r>
        </w:p>
      </w:sdtContent>
    </w:sdt>
    <w:p w14:paraId="5520B231" w14:textId="77777777" w:rsidR="001374C5" w:rsidRDefault="001374C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260EA19" w14:textId="77777777" w:rsidR="001374C5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3B01BB4A" w14:textId="77777777" w:rsidR="001374C5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0" w:name="_Toc212124977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Table S1. The Uno's concordance index at 5-year</w:t>
      </w:r>
      <w:bookmarkEnd w:id="0"/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3754"/>
        <w:gridCol w:w="3118"/>
      </w:tblGrid>
      <w:tr w:rsidR="001374C5" w14:paraId="14E42CC7" w14:textId="77777777">
        <w:tc>
          <w:tcPr>
            <w:tcW w:w="2337" w:type="dxa"/>
            <w:tcBorders>
              <w:bottom w:val="single" w:sz="4" w:space="0" w:color="auto"/>
            </w:tcBorders>
          </w:tcPr>
          <w:p w14:paraId="4C7AE989" w14:textId="77777777" w:rsidR="001374C5" w:rsidRDefault="001374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4" w:type="dxa"/>
            <w:tcBorders>
              <w:bottom w:val="single" w:sz="4" w:space="0" w:color="auto"/>
            </w:tcBorders>
          </w:tcPr>
          <w:p w14:paraId="225E1CF0" w14:textId="77777777" w:rsidR="001374C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Uno's concordance index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F88F9CF" w14:textId="77777777" w:rsidR="001374C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95% CI</w:t>
            </w:r>
          </w:p>
        </w:tc>
      </w:tr>
      <w:tr w:rsidR="001374C5" w14:paraId="71941B81" w14:textId="77777777">
        <w:tc>
          <w:tcPr>
            <w:tcW w:w="2337" w:type="dxa"/>
            <w:tcBorders>
              <w:top w:val="nil"/>
            </w:tcBorders>
          </w:tcPr>
          <w:p w14:paraId="10969913" w14:textId="77777777" w:rsidR="001374C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5-Year</w:t>
            </w:r>
          </w:p>
        </w:tc>
        <w:tc>
          <w:tcPr>
            <w:tcW w:w="3754" w:type="dxa"/>
            <w:tcBorders>
              <w:top w:val="nil"/>
            </w:tcBorders>
          </w:tcPr>
          <w:p w14:paraId="7C7B2C04" w14:textId="77777777" w:rsidR="001374C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3118" w:type="dxa"/>
            <w:tcBorders>
              <w:top w:val="nil"/>
            </w:tcBorders>
          </w:tcPr>
          <w:p w14:paraId="1C54858C" w14:textId="77777777" w:rsidR="001374C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(0.64, 0.72)</w:t>
            </w:r>
          </w:p>
        </w:tc>
      </w:tr>
    </w:tbl>
    <w:p w14:paraId="59F02749" w14:textId="77777777" w:rsidR="001374C5" w:rsidRDefault="00000000">
      <w:pPr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sz w:val="20"/>
          <w:szCs w:val="20"/>
        </w:rPr>
        <w:t>The 95% CI of Uno's concordance index was obtained by 100 perturbations.</w:t>
      </w:r>
    </w:p>
    <w:p w14:paraId="6D200C6F" w14:textId="77777777" w:rsidR="001374C5" w:rsidRDefault="00000000">
      <w:pPr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189F444" w14:textId="77777777" w:rsidR="001374C5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1" w:name="_Toc212124978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Figure S1. The distribution of propensity score and standardized mean difference before and after weighting</w:t>
      </w:r>
      <w:bookmarkEnd w:id="1"/>
    </w:p>
    <w:p w14:paraId="246C8496" w14:textId="77777777" w:rsidR="001374C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240C268" wp14:editId="396F01F9">
            <wp:extent cx="5943600" cy="2971800"/>
            <wp:effectExtent l="0" t="0" r="0" b="0"/>
            <wp:docPr id="1364044264" name="Picture 1" descr="A graph and diagram of a patient's sco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4264" name="Picture 1" descr="A graph and diagram of a patient's score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497" w14:textId="296C0D41" w:rsidR="001374C5" w:rsidRDefault="00000000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Panel A shows the distribution of propensity score (PS) estimated using multivariable logistic model with variables including age at diagnosis, race, hormone receptor status, HER2 status, Charlson-Deyo score, pathological T stage, tumor grade, tumor histology type, and diagnosis year, which with the minimum PS equaling to 0.179 and maximum PS equaling to 0.850. Panel B shows the change of standardized mean difference (SMD) before and after using inverse probability weighting method and all the SMDs were &lt;0.1 after weighting.</w:t>
      </w:r>
      <w:r>
        <w:rPr>
          <w:rFonts w:ascii="Arial" w:hAnsi="Arial" w:cs="Arial"/>
          <w:b/>
          <w:bCs/>
        </w:rPr>
        <w:br w:type="page"/>
      </w:r>
    </w:p>
    <w:p w14:paraId="20040707" w14:textId="66D5458E" w:rsidR="001374C5" w:rsidRPr="00D6268D" w:rsidRDefault="00000000" w:rsidP="00D6268D">
      <w:pPr>
        <w:pStyle w:val="1"/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</w:pPr>
      <w:bookmarkStart w:id="2" w:name="_Toc212124979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Figure S2. Kaplan-Meier curves of overall survival without IPW adjustment</w:t>
      </w:r>
      <w:bookmarkEnd w:id="2"/>
    </w:p>
    <w:p w14:paraId="558E6A90" w14:textId="77777777" w:rsidR="001374C5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2AB8066" wp14:editId="3869CC2E">
            <wp:extent cx="5285105" cy="3523615"/>
            <wp:effectExtent l="0" t="0" r="0" b="0"/>
            <wp:docPr id="55372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25455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10" cy="352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FA0B" w14:textId="77777777" w:rsidR="001374C5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Abbreviations: IPW, inverse probability weighting; OS, overall survival; RT, radiotherapy.</w:t>
      </w:r>
    </w:p>
    <w:p w14:paraId="7B7748C4" w14:textId="77777777" w:rsidR="001374C5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A2F8010" w14:textId="77777777" w:rsidR="001374C5" w:rsidRPr="00D6268D" w:rsidRDefault="00000000" w:rsidP="00D6268D">
      <w:pPr>
        <w:pStyle w:val="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3" w:name="_Toc212124980"/>
      <w:r w:rsidRPr="00D6268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Figure S</w:t>
      </w:r>
      <w:r w:rsidRPr="00D6268D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3</w:t>
      </w:r>
      <w:r w:rsidRPr="00D6268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. </w:t>
      </w:r>
      <w:r w:rsidRPr="00D6268D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Cal</w:t>
      </w:r>
      <w:r w:rsidRPr="00D6268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ibration and receiver operating characteristic curves of the prediction model at 5-year</w:t>
      </w:r>
      <w:bookmarkEnd w:id="3"/>
    </w:p>
    <w:p w14:paraId="7B50BF33" w14:textId="77777777" w:rsidR="001374C5" w:rsidRDefault="00000000">
      <w:r>
        <w:rPr>
          <w:noProof/>
        </w:rPr>
        <w:drawing>
          <wp:inline distT="0" distB="0" distL="0" distR="0" wp14:anchorId="4DCAD5C1" wp14:editId="79772D2B">
            <wp:extent cx="5943600" cy="2971800"/>
            <wp:effectExtent l="0" t="0" r="0" b="0"/>
            <wp:docPr id="1295895897" name="Picture 2" descr="A comparison of a curve and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5897" name="Picture 2" descr="A comparison of a curve and a curv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C1D" w14:textId="77777777" w:rsidR="001374C5" w:rsidRDefault="001374C5">
      <w:pPr>
        <w:jc w:val="center"/>
        <w:rPr>
          <w:rFonts w:ascii="Arial" w:hAnsi="Arial" w:cs="Arial"/>
          <w:sz w:val="20"/>
          <w:szCs w:val="20"/>
        </w:rPr>
      </w:pPr>
    </w:p>
    <w:p w14:paraId="70ABD6A6" w14:textId="77777777" w:rsidR="001374C5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Abbreviations: OS, overall survival; ROC, receiver operating characteristic.</w:t>
      </w:r>
    </w:p>
    <w:p w14:paraId="0B5690A6" w14:textId="77777777" w:rsidR="001374C5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Panel A shows the calibration plot of the prediction model at 5-year; Panel B shows the receiver operating characteristic (ROC) curve at 5-year.</w:t>
      </w:r>
    </w:p>
    <w:p w14:paraId="12F7EAFA" w14:textId="77777777" w:rsidR="001374C5" w:rsidRDefault="001374C5">
      <w:pPr>
        <w:rPr>
          <w:rFonts w:ascii="Times New Roman" w:hAnsi="Times New Roman" w:cs="Times New Roman"/>
          <w:sz w:val="20"/>
          <w:szCs w:val="20"/>
        </w:rPr>
      </w:pPr>
    </w:p>
    <w:p w14:paraId="4BFE34EA" w14:textId="77777777" w:rsidR="001374C5" w:rsidRDefault="001374C5">
      <w:pPr>
        <w:rPr>
          <w:rFonts w:ascii="Times New Roman" w:hAnsi="Times New Roman" w:cs="Times New Roman"/>
          <w:sz w:val="20"/>
          <w:szCs w:val="20"/>
        </w:rPr>
      </w:pPr>
    </w:p>
    <w:sectPr w:rsidR="001374C5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61A6" w14:textId="77777777" w:rsidR="00DA7F15" w:rsidRDefault="00DA7F15">
      <w:r>
        <w:separator/>
      </w:r>
    </w:p>
  </w:endnote>
  <w:endnote w:type="continuationSeparator" w:id="0">
    <w:p w14:paraId="13021C41" w14:textId="77777777" w:rsidR="00DA7F15" w:rsidRDefault="00DA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920260957"/>
      <w:docPartObj>
        <w:docPartGallery w:val="AutoText"/>
      </w:docPartObj>
    </w:sdtPr>
    <w:sdtContent>
      <w:p w14:paraId="1C2B706E" w14:textId="77777777" w:rsidR="001374C5" w:rsidRDefault="00000000">
        <w:pPr>
          <w:pStyle w:val="a3"/>
          <w:framePr w:wrap="auto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4984DD7D" w14:textId="77777777" w:rsidR="001374C5" w:rsidRDefault="001374C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2012950010"/>
      <w:docPartObj>
        <w:docPartGallery w:val="AutoText"/>
      </w:docPartObj>
    </w:sdtPr>
    <w:sdtContent>
      <w:p w14:paraId="5986EAA7" w14:textId="77777777" w:rsidR="001374C5" w:rsidRDefault="00000000">
        <w:pPr>
          <w:pStyle w:val="a3"/>
          <w:framePr w:wrap="auto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</w:rPr>
          <w:t>1</w:t>
        </w:r>
        <w:r>
          <w:rPr>
            <w:rStyle w:val="a8"/>
          </w:rPr>
          <w:fldChar w:fldCharType="end"/>
        </w:r>
      </w:p>
    </w:sdtContent>
  </w:sdt>
  <w:p w14:paraId="27E4F384" w14:textId="77777777" w:rsidR="001374C5" w:rsidRDefault="001374C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43CF" w14:textId="77777777" w:rsidR="00DA7F15" w:rsidRDefault="00DA7F15">
      <w:r>
        <w:separator/>
      </w:r>
    </w:p>
  </w:footnote>
  <w:footnote w:type="continuationSeparator" w:id="0">
    <w:p w14:paraId="79B392FF" w14:textId="77777777" w:rsidR="00DA7F15" w:rsidRDefault="00DA7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ZTc0MmFlYWU2MDhjOGM4ZGY4N2U4NjZmYWY5NzgifQ=="/>
  </w:docVars>
  <w:rsids>
    <w:rsidRoot w:val="00415E35"/>
    <w:rsid w:val="00014680"/>
    <w:rsid w:val="000248F0"/>
    <w:rsid w:val="00033F50"/>
    <w:rsid w:val="000355D1"/>
    <w:rsid w:val="00052977"/>
    <w:rsid w:val="000972CE"/>
    <w:rsid w:val="000B15EF"/>
    <w:rsid w:val="000F1944"/>
    <w:rsid w:val="000F468E"/>
    <w:rsid w:val="0011257C"/>
    <w:rsid w:val="001207C8"/>
    <w:rsid w:val="001374C5"/>
    <w:rsid w:val="00144C12"/>
    <w:rsid w:val="00145C2F"/>
    <w:rsid w:val="001B0738"/>
    <w:rsid w:val="001B584E"/>
    <w:rsid w:val="001D3ADC"/>
    <w:rsid w:val="001E0081"/>
    <w:rsid w:val="00217EA8"/>
    <w:rsid w:val="002270B4"/>
    <w:rsid w:val="002327BC"/>
    <w:rsid w:val="002479DF"/>
    <w:rsid w:val="00252F97"/>
    <w:rsid w:val="00256B49"/>
    <w:rsid w:val="0026298C"/>
    <w:rsid w:val="00286126"/>
    <w:rsid w:val="002D328F"/>
    <w:rsid w:val="00314FFE"/>
    <w:rsid w:val="00323439"/>
    <w:rsid w:val="003326EE"/>
    <w:rsid w:val="003478E1"/>
    <w:rsid w:val="00361023"/>
    <w:rsid w:val="003776F4"/>
    <w:rsid w:val="00393160"/>
    <w:rsid w:val="003A75A3"/>
    <w:rsid w:val="003B7AE4"/>
    <w:rsid w:val="003D2B28"/>
    <w:rsid w:val="003D56C5"/>
    <w:rsid w:val="003D6243"/>
    <w:rsid w:val="003F00B5"/>
    <w:rsid w:val="003F5FC9"/>
    <w:rsid w:val="00402DC1"/>
    <w:rsid w:val="00414828"/>
    <w:rsid w:val="00415E35"/>
    <w:rsid w:val="00465C6C"/>
    <w:rsid w:val="00486F28"/>
    <w:rsid w:val="0049123C"/>
    <w:rsid w:val="004A04F1"/>
    <w:rsid w:val="004C6946"/>
    <w:rsid w:val="004F076B"/>
    <w:rsid w:val="00512A16"/>
    <w:rsid w:val="0051465F"/>
    <w:rsid w:val="0052735E"/>
    <w:rsid w:val="00535AA8"/>
    <w:rsid w:val="00556FCE"/>
    <w:rsid w:val="00580E96"/>
    <w:rsid w:val="005A3A9A"/>
    <w:rsid w:val="005A4A55"/>
    <w:rsid w:val="005B4078"/>
    <w:rsid w:val="005D1FA7"/>
    <w:rsid w:val="005D45CF"/>
    <w:rsid w:val="005F5251"/>
    <w:rsid w:val="00633A68"/>
    <w:rsid w:val="00640140"/>
    <w:rsid w:val="00652B1C"/>
    <w:rsid w:val="0068248B"/>
    <w:rsid w:val="00683EC1"/>
    <w:rsid w:val="00691708"/>
    <w:rsid w:val="006A1154"/>
    <w:rsid w:val="006A333F"/>
    <w:rsid w:val="006A5A54"/>
    <w:rsid w:val="006C0EFF"/>
    <w:rsid w:val="006C2E4D"/>
    <w:rsid w:val="006C3845"/>
    <w:rsid w:val="006C672B"/>
    <w:rsid w:val="0072345D"/>
    <w:rsid w:val="00760404"/>
    <w:rsid w:val="007669CB"/>
    <w:rsid w:val="007833AB"/>
    <w:rsid w:val="00786FFC"/>
    <w:rsid w:val="007C228D"/>
    <w:rsid w:val="007E6B22"/>
    <w:rsid w:val="0080161F"/>
    <w:rsid w:val="008271E3"/>
    <w:rsid w:val="008329E1"/>
    <w:rsid w:val="00832E2C"/>
    <w:rsid w:val="008A7AE6"/>
    <w:rsid w:val="008A7EB5"/>
    <w:rsid w:val="008B1F73"/>
    <w:rsid w:val="008B57D4"/>
    <w:rsid w:val="008D0F1F"/>
    <w:rsid w:val="008F3783"/>
    <w:rsid w:val="008F5009"/>
    <w:rsid w:val="008F54A4"/>
    <w:rsid w:val="008F7347"/>
    <w:rsid w:val="00902B53"/>
    <w:rsid w:val="00911668"/>
    <w:rsid w:val="009423B5"/>
    <w:rsid w:val="00944CD8"/>
    <w:rsid w:val="009969DD"/>
    <w:rsid w:val="009A4084"/>
    <w:rsid w:val="009A4F71"/>
    <w:rsid w:val="009B79BF"/>
    <w:rsid w:val="009C5375"/>
    <w:rsid w:val="009D2ECC"/>
    <w:rsid w:val="009D3C6E"/>
    <w:rsid w:val="00A10667"/>
    <w:rsid w:val="00A15036"/>
    <w:rsid w:val="00A25F4B"/>
    <w:rsid w:val="00A33BA6"/>
    <w:rsid w:val="00A453C5"/>
    <w:rsid w:val="00A66A6D"/>
    <w:rsid w:val="00A81901"/>
    <w:rsid w:val="00A8622A"/>
    <w:rsid w:val="00A90715"/>
    <w:rsid w:val="00A93008"/>
    <w:rsid w:val="00AC2A6F"/>
    <w:rsid w:val="00AD42CE"/>
    <w:rsid w:val="00B01681"/>
    <w:rsid w:val="00B039A4"/>
    <w:rsid w:val="00B2659C"/>
    <w:rsid w:val="00B84F4F"/>
    <w:rsid w:val="00B9543B"/>
    <w:rsid w:val="00B955F6"/>
    <w:rsid w:val="00BB2418"/>
    <w:rsid w:val="00BE483D"/>
    <w:rsid w:val="00BF7DE2"/>
    <w:rsid w:val="00C00AFA"/>
    <w:rsid w:val="00C04CB7"/>
    <w:rsid w:val="00C17DE8"/>
    <w:rsid w:val="00C45B4F"/>
    <w:rsid w:val="00C617B0"/>
    <w:rsid w:val="00C74B5D"/>
    <w:rsid w:val="00C94B07"/>
    <w:rsid w:val="00C97B0D"/>
    <w:rsid w:val="00CA5FA2"/>
    <w:rsid w:val="00CE1833"/>
    <w:rsid w:val="00CE62B7"/>
    <w:rsid w:val="00D042EA"/>
    <w:rsid w:val="00D1497D"/>
    <w:rsid w:val="00D25D37"/>
    <w:rsid w:val="00D6268D"/>
    <w:rsid w:val="00D64ECD"/>
    <w:rsid w:val="00D66852"/>
    <w:rsid w:val="00D740DB"/>
    <w:rsid w:val="00D94848"/>
    <w:rsid w:val="00DA7F15"/>
    <w:rsid w:val="00DB0F40"/>
    <w:rsid w:val="00DD4B93"/>
    <w:rsid w:val="00DF59A6"/>
    <w:rsid w:val="00E67898"/>
    <w:rsid w:val="00EA276A"/>
    <w:rsid w:val="00EC0079"/>
    <w:rsid w:val="00ED0B40"/>
    <w:rsid w:val="00EF6642"/>
    <w:rsid w:val="00F37D7F"/>
    <w:rsid w:val="00F52330"/>
    <w:rsid w:val="00F567D5"/>
    <w:rsid w:val="00F91A0C"/>
    <w:rsid w:val="00F952B2"/>
    <w:rsid w:val="00FA1E72"/>
    <w:rsid w:val="00FA3E17"/>
    <w:rsid w:val="00FA52D5"/>
    <w:rsid w:val="00FA67FB"/>
    <w:rsid w:val="2EEE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D940B"/>
  <w15:docId w15:val="{F9D9A647-0838-46CE-990A-DBE35188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TOC5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TOC3">
    <w:name w:val="toc 3"/>
    <w:basedOn w:val="a"/>
    <w:next w:val="a"/>
    <w:uiPriority w:val="39"/>
    <w:semiHidden/>
    <w:unhideWhenUsed/>
    <w:pPr>
      <w:ind w:left="480"/>
    </w:pPr>
    <w:rPr>
      <w:rFonts w:cstheme="minorHAnsi"/>
      <w:sz w:val="20"/>
      <w:szCs w:val="20"/>
    </w:rPr>
  </w:style>
  <w:style w:type="paragraph" w:styleId="TOC8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before="120"/>
    </w:pPr>
    <w:rPr>
      <w:rFonts w:cstheme="minorHAnsi"/>
      <w:b/>
      <w:bCs/>
      <w:i/>
      <w:iCs/>
    </w:rPr>
  </w:style>
  <w:style w:type="paragraph" w:styleId="TOC4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TOC6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TOC2">
    <w:name w:val="toc 2"/>
    <w:basedOn w:val="a"/>
    <w:next w:val="a"/>
    <w:uiPriority w:val="39"/>
    <w:semiHidden/>
    <w:unhideWhenUsed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9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uiPriority w:val="99"/>
    <w:semiHidden/>
    <w:unhideWhenUsed/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pPr>
      <w:spacing w:after="160" w:line="259" w:lineRule="auto"/>
      <w:ind w:firstLineChars="200" w:firstLine="420"/>
    </w:pPr>
    <w:rPr>
      <w:sz w:val="22"/>
      <w:szCs w:val="2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8B1413-1A01-A94F-B64A-34DEC42DC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287</Words>
  <Characters>1704</Characters>
  <Application>Microsoft Office Word</Application>
  <DocSecurity>0</DocSecurity>
  <Lines>47</Lines>
  <Paragraphs>27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Huiyue Li</dc:creator>
  <cp:lastModifiedBy>Yizi Jin</cp:lastModifiedBy>
  <cp:revision>4</cp:revision>
  <dcterms:created xsi:type="dcterms:W3CDTF">2023-09-19T03:02:00Z</dcterms:created>
  <dcterms:modified xsi:type="dcterms:W3CDTF">2025-10-23T07:16:00Z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C066CF84166A44B8A364142215553730</vt:lpwstr>
  </property>
</Properties>
</file>