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600"/>
        <w:jc w:val="center"/>
      </w:pPr>
      <w:r>
        <w:rPr>
          <w:rFonts w:ascii="Arial" w:hAnsi="Arial" w:eastAsia="Microsoft YaHei"/>
          <w:b w:val="0"/>
        </w:rPr>
        <w:t>无人机低空智慧调度平台</w:t>
      </w:r>
    </w:p>
    <w:p>
      <w:pPr>
        <w:pStyle w:val="Subtitle"/>
        <w:jc w:val="center"/>
      </w:pPr>
      <w:r>
        <w:rPr>
          <w:rFonts w:ascii="Arial" w:hAnsi="Arial" w:eastAsia="Microsoft YaHei"/>
          <w:b w:val="0"/>
        </w:rPr>
        <w:t>AI 场景技术可行性与 POC Go/No-Go 决策建议书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文档信息</w:t>
            </w:r>
          </w:p>
        </w:tc>
        <w:tc>
          <w:tcPr>
            <w:tcW w:type="dxa" w:w="487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87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项目</w:t>
            </w:r>
          </w:p>
        </w:tc>
        <w:tc>
          <w:tcPr>
            <w:tcW w:type="dxa" w:w="487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某城市低空经济试点区无人机低空智慧调度平台</w:t>
            </w:r>
          </w:p>
        </w:tc>
      </w:tr>
      <w:tr>
        <w:tc>
          <w:tcPr>
            <w:tcW w:type="dxa" w:w="487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分析阶段</w:t>
            </w:r>
          </w:p>
        </w:tc>
        <w:tc>
          <w:tcPr>
            <w:tcW w:type="dxa" w:w="487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Delta · 技术可行性验证评估</w:t>
            </w:r>
          </w:p>
        </w:tc>
      </w:tr>
      <w:tr>
        <w:tc>
          <w:tcPr>
            <w:tcW w:type="dxa" w:w="487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评估对象</w:t>
            </w:r>
          </w:p>
        </w:tc>
        <w:tc>
          <w:tcPr>
            <w:tcW w:type="dxa" w:w="487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Echo 阶段输出材料包 00–05 号文档</w:t>
            </w:r>
          </w:p>
        </w:tc>
      </w:tr>
      <w:tr>
        <w:tc>
          <w:tcPr>
            <w:tcW w:type="dxa" w:w="487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文档版本</w:t>
            </w:r>
          </w:p>
        </w:tc>
        <w:tc>
          <w:tcPr>
            <w:tcW w:type="dxa" w:w="487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V1.0</w:t>
            </w:r>
          </w:p>
        </w:tc>
      </w:tr>
      <w:tr>
        <w:tc>
          <w:tcPr>
            <w:tcW w:type="dxa" w:w="487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报告日期</w:t>
            </w:r>
          </w:p>
        </w:tc>
        <w:tc>
          <w:tcPr>
            <w:tcW w:type="dxa" w:w="487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2026-08-11</w:t>
            </w:r>
          </w:p>
        </w:tc>
      </w:tr>
      <w:tr>
        <w:tc>
          <w:tcPr>
            <w:tcW w:type="dxa" w:w="487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文档用途</w:t>
            </w:r>
          </w:p>
        </w:tc>
        <w:tc>
          <w:tcPr>
            <w:tcW w:type="dxa" w:w="487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项目立项评审、POC 范围决策与管理层汇报</w:t>
            </w:r>
          </w:p>
        </w:tc>
      </w:tr>
    </w:tbl>
    <w:p>
      <w:pPr>
        <w:spacing w:after="0"/>
      </w:pPr>
    </w:p>
    <w:p>
      <w:pPr>
        <w:pStyle w:val="ReportQuote"/>
        <w:shd w:fill="D9EAF7"/>
      </w:pPr>
      <w:r>
        <w:rPr>
          <w:rFonts w:ascii="Arial" w:hAnsi="Arial" w:eastAsia="Microsoft YaHei"/>
          <w:b/>
        </w:rPr>
        <w:t>核心结论</w:t>
      </w:r>
      <w:r>
        <w:rPr>
          <w:rFonts w:ascii="Arial" w:hAnsi="Arial" w:eastAsia="Microsoft YaHei"/>
          <w:b w:val="0"/>
        </w:rPr>
        <w:t xml:space="preserve"> 十个候选场景中，S1“低空运行态势总览大屏”得分最高，为 </w:t>
      </w:r>
      <w:r>
        <w:rPr>
          <w:rFonts w:ascii="Arial" w:hAnsi="Arial" w:eastAsia="Microsoft YaHei"/>
          <w:b/>
        </w:rPr>
        <w:t>82 分，建议 Go</w:t>
      </w:r>
      <w:r>
        <w:rPr>
          <w:rFonts w:ascii="Arial" w:hAnsi="Arial" w:eastAsia="Microsoft YaHei"/>
          <w:b w:val="0"/>
        </w:rPr>
        <w:t xml:space="preserve">；S4、S3分别为 </w:t>
      </w:r>
      <w:r>
        <w:rPr>
          <w:rFonts w:ascii="Arial" w:hAnsi="Arial" w:eastAsia="Microsoft YaHei"/>
          <w:b/>
        </w:rPr>
        <w:t>76 分、70 分，建议有条件 Go</w:t>
      </w:r>
      <w:r>
        <w:rPr>
          <w:rFonts w:ascii="Arial" w:hAnsi="Arial" w:eastAsia="Microsoft YaHei"/>
          <w:b w:val="0"/>
        </w:rPr>
        <w:t>。本期应聚焦 S1 限定范围 POC，不建议同时验证图像识别、智能问答等高不确定性场景。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b w:val="0"/>
        </w:rPr>
        <w:t>执行摘要</w:t>
      </w:r>
    </w:p>
    <w:p>
      <w:pPr>
        <w:pStyle w:val="Heading2"/>
      </w:pPr>
      <w:r>
        <w:rPr>
          <w:rFonts w:ascii="Arial" w:hAnsi="Arial" w:eastAsia="Microsoft YaHei"/>
          <w:b w:val="0"/>
        </w:rPr>
        <w:t>决策总览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决策类别</w:t>
            </w:r>
          </w:p>
        </w:tc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管理建议</w:t>
            </w:r>
          </w:p>
        </w:tc>
      </w:tr>
      <w:tr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Go</w:t>
            </w:r>
          </w:p>
        </w:tc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S1 低空运行态势总览大屏</w:t>
            </w:r>
          </w:p>
        </w:tc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立即启动限定范围 POC，验证数据接入、指标统一、态势展示和权限控制</w:t>
            </w:r>
          </w:p>
        </w:tc>
      </w:tr>
      <w:tr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有条件 Go</w:t>
            </w:r>
          </w:p>
        </w:tc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S4 电量续航预测与返航提醒；S3 飞行轨迹监控与空域冲突预警</w:t>
            </w:r>
          </w:p>
        </w:tc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作为第二优先级，补齐数据和规则后开展小范围验证</w:t>
            </w:r>
          </w:p>
        </w:tc>
      </w:tr>
      <w:tr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有条件 Go</w:t>
            </w:r>
          </w:p>
        </w:tc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S2 智能调度；S5 电子围栏；S7 巡检工单闭环</w:t>
            </w:r>
          </w:p>
        </w:tc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完成约束规则、权威接口或业务闭环设计后重新评审</w:t>
            </w:r>
          </w:p>
        </w:tc>
      </w:tr>
      <w:tr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No-Go／暂缓</w:t>
            </w:r>
          </w:p>
        </w:tc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S6 图像识别；S8 应急联动；S9 智能问答；S10 预测维护</w:t>
            </w:r>
          </w:p>
        </w:tc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当前缺少关键数据、权限体系、外部接口或可验证的评价口径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b w:val="0"/>
        </w:rPr>
        <w:t>推荐决策组合</w:t>
      </w:r>
    </w:p>
    <w:p>
      <w:pPr>
        <w:pStyle w:val="ListNumber"/>
      </w:pPr>
      <w:r>
        <w:rPr>
          <w:rFonts w:ascii="Arial" w:hAnsi="Arial" w:eastAsia="Microsoft YaHei"/>
          <w:b/>
        </w:rPr>
        <w:t>本期主 POC：S1 低空运行态势总览大屏。</w:t>
      </w:r>
    </w:p>
    <w:p>
      <w:pPr>
        <w:pStyle w:val="ListNumber"/>
      </w:pPr>
      <w:r>
        <w:rPr>
          <w:rFonts w:ascii="Arial" w:hAnsi="Arial" w:eastAsia="Microsoft YaHei"/>
          <w:b/>
        </w:rPr>
        <w:t>预研候选：S4 续航预测、S3 冲突预警。</w:t>
      </w:r>
      <w:r>
        <w:rPr>
          <w:rFonts w:ascii="Arial" w:hAnsi="Arial" w:eastAsia="Microsoft YaHei"/>
          <w:b w:val="0"/>
        </w:rPr>
        <w:t>仅开展数据摸底和规则确认，不与 S1 同期扩大建设范围。</w:t>
      </w:r>
    </w:p>
    <w:p>
      <w:pPr>
        <w:pStyle w:val="ListNumber"/>
      </w:pPr>
      <w:r>
        <w:rPr>
          <w:rFonts w:ascii="Arial" w:hAnsi="Arial" w:eastAsia="Microsoft YaHei"/>
          <w:b/>
        </w:rPr>
        <w:t>暂不纳入：S6、S8、S9、S10。</w:t>
      </w:r>
      <w:r>
        <w:rPr>
          <w:rFonts w:ascii="Arial" w:hAnsi="Arial" w:eastAsia="Microsoft YaHei"/>
          <w:b w:val="0"/>
        </w:rPr>
        <w:t>先解决样本、权限、外部协同和标签数据问题。</w:t>
      </w:r>
    </w:p>
    <w:p>
      <w:pPr>
        <w:pStyle w:val="ListNumber"/>
      </w:pPr>
      <w:r>
        <w:rPr>
          <w:rFonts w:ascii="Arial" w:hAnsi="Arial" w:eastAsia="Microsoft YaHei"/>
          <w:b/>
        </w:rPr>
        <w:t>推广原则：先 POC、再试点、后推广。</w:t>
      </w:r>
      <w:r>
        <w:rPr>
          <w:rFonts w:ascii="Arial" w:hAnsi="Arial" w:eastAsia="Microsoft YaHei"/>
          <w:b w:val="0"/>
        </w:rPr>
        <w:t>一次 POC 验收不得直接等同于全市 10 个委办局生产上线。</w:t>
      </w:r>
    </w:p>
    <w:p>
      <w:pPr>
        <w:pStyle w:val="Heading2"/>
      </w:pPr>
      <w:r>
        <w:rPr>
          <w:rFonts w:ascii="Arial" w:hAnsi="Arial" w:eastAsia="Microsoft YaHei"/>
          <w:b w:val="0"/>
        </w:rPr>
        <w:t>关键判断</w:t>
      </w:r>
    </w:p>
    <w:p>
      <w:pPr>
        <w:pStyle w:val="ListBullet"/>
      </w:pPr>
      <w:r>
        <w:rPr>
          <w:rFonts w:ascii="Arial" w:hAnsi="Arial" w:eastAsia="Microsoft YaHei"/>
          <w:b w:val="0"/>
        </w:rPr>
        <w:t>当前最成熟的不是复杂 AI 模型，而是已有任务、轨迹、告警数据的统一治理和态势展示。</w:t>
      </w:r>
    </w:p>
    <w:p>
      <w:pPr>
        <w:pStyle w:val="ListBullet"/>
      </w:pPr>
      <w:r>
        <w:rPr>
          <w:rFonts w:ascii="Arial" w:hAnsi="Arial" w:eastAsia="Microsoft YaHei"/>
          <w:b w:val="0"/>
        </w:rPr>
        <w:t>客户原计划在一个月内同时验证大屏、调度、图像识别和智能问答，范围与数据成熟度不匹配。</w:t>
      </w:r>
    </w:p>
    <w:p>
      <w:pPr>
        <w:pStyle w:val="ListBullet"/>
      </w:pPr>
      <w:r>
        <w:rPr>
          <w:rFonts w:ascii="Arial" w:hAnsi="Arial" w:eastAsia="Microsoft YaHei"/>
          <w:b w:val="0"/>
        </w:rPr>
        <w:t>S1 可以形成统一数据底座，为后续 S4、S3 等安全类场景提供数据基础，因此优先级最高。</w:t>
      </w:r>
    </w:p>
    <w:p>
      <w:pPr>
        <w:pStyle w:val="ListBullet"/>
      </w:pPr>
      <w:r>
        <w:rPr>
          <w:rFonts w:ascii="Arial" w:hAnsi="Arial" w:eastAsia="Microsoft YaHei"/>
          <w:b w:val="0"/>
        </w:rPr>
        <w:t>图像识别“95%准确率”和智能问答“秒级响应”目前缺少完整验收口径，不能作为可交付承诺。</w:t>
      </w:r>
    </w:p>
    <w:p>
      <w:pPr>
        <w:pStyle w:val="Heading1"/>
      </w:pPr>
      <w:r>
        <w:rPr>
          <w:rFonts w:ascii="Arial" w:hAnsi="Arial" w:eastAsia="Microsoft YaHei"/>
          <w:b w:val="0"/>
        </w:rPr>
        <w:t>1. 评估范围与方法</w:t>
      </w:r>
    </w:p>
    <w:p>
      <w:pPr>
        <w:pStyle w:val="Heading2"/>
      </w:pPr>
      <w:r>
        <w:rPr>
          <w:rFonts w:ascii="Arial" w:hAnsi="Arial" w:eastAsia="Microsoft YaHei"/>
          <w:b w:val="0"/>
        </w:rPr>
        <w:t>1.1 评估目标</w:t>
      </w:r>
    </w:p>
    <w:p>
      <w:r>
        <w:rPr>
          <w:rFonts w:ascii="Arial" w:hAnsi="Arial" w:eastAsia="Microsoft YaHei"/>
          <w:b w:val="0"/>
        </w:rPr>
        <w:t>本次评估不判断场景“技术上能否演示”，而是判断其是否具备进入 POC 的业务价值、数据基础、验证条件和风险控制能力，并形成可解释、可复核的 Go/No-Go 建议。</w:t>
      </w:r>
    </w:p>
    <w:p>
      <w:pPr>
        <w:pStyle w:val="Heading2"/>
      </w:pPr>
      <w:r>
        <w:rPr>
          <w:rFonts w:ascii="Arial" w:hAnsi="Arial" w:eastAsia="Microsoft YaHei"/>
          <w:b w:val="0"/>
        </w:rPr>
        <w:t>1.2 评分维度</w:t>
      </w:r>
    </w:p>
    <w:p>
      <w:r>
        <w:rPr>
          <w:rFonts w:ascii="Arial" w:hAnsi="Arial" w:eastAsia="Microsoft YaHei"/>
          <w:b w:val="0"/>
        </w:rPr>
        <w:t>各维度采用 0–100 分制，并按以下权重计算加权总分。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评分维度</w:t>
            </w:r>
          </w:p>
        </w:tc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权重</w:t>
            </w:r>
          </w:p>
        </w:tc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核心判断内容</w:t>
            </w:r>
          </w:p>
        </w:tc>
      </w:tr>
      <w:tr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业务价值</w:t>
            </w:r>
          </w:p>
        </w:tc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25%</w:t>
            </w:r>
          </w:p>
        </w:tc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痛点强度、收益明确度、决策关注度和推广潜力</w:t>
            </w:r>
          </w:p>
        </w:tc>
      </w:tr>
      <w:tr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技术可行性</w:t>
            </w:r>
          </w:p>
        </w:tc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20%</w:t>
            </w:r>
          </w:p>
        </w:tc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模型或规则成熟度、系统集成难度、部署和监控条件</w:t>
            </w:r>
          </w:p>
        </w:tc>
      </w:tr>
      <w:tr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数据准备度</w:t>
            </w:r>
          </w:p>
        </w:tc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20%</w:t>
            </w:r>
          </w:p>
        </w:tc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数据可得性、质量、统一口径、标注和评价条件</w:t>
            </w:r>
          </w:p>
        </w:tc>
      </w:tr>
      <w:tr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生态依赖度</w:t>
            </w:r>
          </w:p>
        </w:tc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15%</w:t>
            </w:r>
          </w:p>
        </w:tc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外部接口、跨部门协作、第三方平台及权威数据依赖</w:t>
            </w:r>
          </w:p>
        </w:tc>
      </w:tr>
      <w:tr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风险可控性</w:t>
            </w:r>
          </w:p>
        </w:tc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10%</w:t>
            </w:r>
          </w:p>
        </w:tc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技术、业务、安全、合规和责任风险是否可约束</w:t>
            </w:r>
          </w:p>
        </w:tc>
      </w:tr>
      <w:tr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投入产出比</w:t>
            </w:r>
          </w:p>
        </w:tc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5%</w:t>
            </w:r>
          </w:p>
        </w:tc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周期、人员、算力、接口成本与预期收益的匹配程度</w:t>
            </w:r>
          </w:p>
        </w:tc>
      </w:tr>
      <w:tr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可复制性</w:t>
            </w:r>
          </w:p>
        </w:tc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5%</w:t>
            </w:r>
          </w:p>
        </w:tc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向其他委办局、方舱、机型和区域推广的难易程度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b w:val="0"/>
        </w:rPr>
        <w:t>1.3 决策阈值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分数区间</w:t>
            </w:r>
          </w:p>
        </w:tc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决策</w:t>
            </w:r>
          </w:p>
        </w:tc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80–100</w:t>
            </w:r>
          </w:p>
        </w:tc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Go</w:t>
            </w:r>
          </w:p>
        </w:tc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核心条件基本具备，可进入限定范围 POC</w:t>
            </w:r>
          </w:p>
        </w:tc>
      </w:tr>
      <w:tr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60–79</w:t>
            </w:r>
          </w:p>
        </w:tc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有条件 Go</w:t>
            </w:r>
          </w:p>
        </w:tc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价值明确，但存在必须先补齐的数据、接口或流程条件</w:t>
            </w:r>
          </w:p>
        </w:tc>
      </w:tr>
      <w:tr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0–59</w:t>
            </w:r>
          </w:p>
        </w:tc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No-Go／暂缓</w:t>
            </w:r>
          </w:p>
        </w:tc>
        <w:tc>
          <w:tcPr>
            <w:tcW w:type="dxa" w:w="3249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存在关键阻断项，当前不应投入正式 POC</w:t>
            </w:r>
          </w:p>
        </w:tc>
      </w:tr>
    </w:tbl>
    <w:p>
      <w:pPr>
        <w:spacing w:after="0"/>
      </w:pPr>
    </w:p>
    <w:p>
      <w:pPr>
        <w:pStyle w:val="ReportQuote"/>
        <w:shd w:fill="D9EAF7"/>
      </w:pPr>
      <w:r>
        <w:rPr>
          <w:rFonts w:ascii="Arial" w:hAnsi="Arial" w:eastAsia="Microsoft YaHei"/>
          <w:b w:val="0"/>
        </w:rPr>
        <w:t>分数用于结构化专业判断，不替代数据合规、安全审批和业务责任人的正式确认。</w:t>
      </w:r>
    </w:p>
    <w:p>
      <w:pPr>
        <w:pStyle w:val="Heading1"/>
      </w:pPr>
      <w:r>
        <w:rPr>
          <w:rFonts w:ascii="Arial" w:hAnsi="Arial" w:eastAsia="Microsoft YaHei"/>
          <w:b w:val="0"/>
        </w:rPr>
        <w:t>2. 十个场景决策总表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场景名称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综合分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决策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核心理由</w:t>
            </w:r>
          </w:p>
        </w:tc>
      </w:tr>
      <w:tr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1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S1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低空运行态势总览大屏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82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Go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数据已有、需求具体、技术成熟，可先解决统一数据和态势展示问题</w:t>
            </w:r>
          </w:p>
        </w:tc>
      </w:tr>
      <w:tr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2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S4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电量续航预测与返航提醒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76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有条件 Go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可从规则模型起步，但需补齐载荷、天气、温度和电池衰减数据</w:t>
            </w:r>
          </w:p>
        </w:tc>
      </w:tr>
      <w:tr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3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S3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飞行轨迹监控与空域冲突预警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70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有条件 Go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安全价值高，但依赖实时轨迹、空域模型和临时管制数据</w:t>
            </w:r>
          </w:p>
        </w:tc>
      </w:tr>
      <w:tr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4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S2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无人机任务智能调度推荐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69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有条件 Go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痛点和基线较清晰，但调度目标函数及业务约束不完整</w:t>
            </w:r>
          </w:p>
        </w:tc>
      </w:tr>
      <w:tr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5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S5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禁飞区／电子围栏合规校验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67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有条件 Go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静态校验可行，临时空域信息和合规责任仍是阻断点</w:t>
            </w:r>
          </w:p>
        </w:tc>
      </w:tr>
      <w:tr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6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S7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巡检任务自动生成与工单闭环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65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有条件 Go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有业务收益，但缺少巡检规则、审批流程和工单系统接口</w:t>
            </w:r>
          </w:p>
        </w:tc>
      </w:tr>
      <w:tr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7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S8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应急事件智能派单与联动指挥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59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No-Go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跨部门依赖强，指挥权限、接口和应急责任均未确认</w:t>
            </w:r>
          </w:p>
        </w:tc>
      </w:tr>
      <w:tr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8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S10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设备健康与维护预测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57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No-Go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缺少维修记录、故障标签、部件寿命和运行工况数据</w:t>
            </w:r>
          </w:p>
        </w:tc>
      </w:tr>
      <w:tr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9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S9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数据智能查询问答与大屏展示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56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No-Go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缺少指标字典、权限体系、查询沙箱和模型纠错机制</w:t>
            </w:r>
          </w:p>
        </w:tc>
      </w:tr>
      <w:tr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10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S6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无人机图像识别异常事件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47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No-Go</w:t>
            </w:r>
          </w:p>
        </w:tc>
        <w:tc>
          <w:tcPr>
            <w:tcW w:type="dxa" w:w="162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无样本、无标注、类别不清，95%准确率无法验证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Microsoft YaHei"/>
          <w:b w:val="0"/>
        </w:rPr>
        <w:t>3. 所有场景详细评分</w:t>
      </w:r>
    </w:p>
    <w:p>
      <w:r>
        <w:rPr>
          <w:rFonts w:ascii="Arial" w:hAnsi="Arial" w:eastAsia="Microsoft YaHei"/>
          <w:b w:val="0"/>
        </w:rPr>
        <w:t>加权总分计算方式：</w:t>
      </w:r>
    </w:p>
    <w:p>
      <w:pPr>
        <w:pStyle w:val="ReportQuote"/>
        <w:shd w:fill="D9EAF7"/>
      </w:pPr>
      <w:r>
        <w:rPr>
          <w:rFonts w:ascii="Arial" w:hAnsi="Arial" w:eastAsia="Microsoft YaHei"/>
          <w:b/>
        </w:rPr>
        <w:t>综合分 = 业务价值×25% + 技术可行性×20% + 数据准备度×20% + 生态依赖度×15% + 风险可控性×10% + 投入产出比×5% + 可复制性×5%</w:t>
      </w:r>
    </w:p>
    <w:p>
      <w:pPr>
        <w:sectPr>
          <w:headerReference w:type="default" r:id="rId9"/>
          <w:footerReference w:type="default" r:id="rId10"/>
          <w:pgSz w:w="12240" w:h="15840"/>
          <w:pgMar w:top="1247" w:right="1247" w:bottom="1134" w:left="1247" w:header="454" w:footer="454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25"/>
        <w:gridCol w:w="1525"/>
        <w:gridCol w:w="1525"/>
        <w:gridCol w:w="1525"/>
        <w:gridCol w:w="1525"/>
        <w:gridCol w:w="1525"/>
        <w:gridCol w:w="1525"/>
        <w:gridCol w:w="1525"/>
        <w:gridCol w:w="1525"/>
        <w:gridCol w:w="1525"/>
      </w:tblGrid>
      <w:tr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业务价值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技术可行性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数据准备度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生态依赖度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风险可控性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投入产出比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可复制性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综合分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5"/>
              </w:rPr>
              <w:t>结论</w:t>
            </w:r>
          </w:p>
        </w:tc>
      </w:tr>
      <w:tr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5"/>
              </w:rPr>
              <w:t>S1 态势大屏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88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82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78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72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86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84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90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82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Go</w:t>
            </w:r>
          </w:p>
        </w:tc>
      </w:tr>
      <w:tr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5"/>
              </w:rPr>
              <w:t>S2 智能调度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88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68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58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55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65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76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72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69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有条件 Go</w:t>
            </w:r>
          </w:p>
        </w:tc>
      </w:tr>
      <w:tr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5"/>
              </w:rPr>
              <w:t>S3 冲突预警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90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70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62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45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66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74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72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70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有条件 Go</w:t>
            </w:r>
          </w:p>
        </w:tc>
      </w:tr>
      <w:tr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5"/>
              </w:rPr>
              <w:t>S4 续航预测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86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78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62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68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80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82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78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76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有条件 Go</w:t>
            </w:r>
          </w:p>
        </w:tc>
      </w:tr>
      <w:tr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5"/>
              </w:rPr>
              <w:t>S5 电子围栏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92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76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48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38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60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70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72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67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有条件 Go</w:t>
            </w:r>
          </w:p>
        </w:tc>
      </w:tr>
      <w:tr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5"/>
              </w:rPr>
              <w:t>S6 图像识别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88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40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15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42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30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35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50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47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No-Go</w:t>
            </w:r>
          </w:p>
        </w:tc>
      </w:tr>
      <w:tr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5"/>
              </w:rPr>
              <w:t>S7 巡检工单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80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65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55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45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68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70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70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65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有条件 Go</w:t>
            </w:r>
          </w:p>
        </w:tc>
      </w:tr>
      <w:tr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5"/>
              </w:rPr>
              <w:t>S8 应急联动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90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55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45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35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55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55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60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59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No-Go</w:t>
            </w:r>
          </w:p>
        </w:tc>
      </w:tr>
      <w:tr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5"/>
              </w:rPr>
              <w:t>S9 智能问答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78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60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35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45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42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68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68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56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No-Go</w:t>
            </w:r>
          </w:p>
        </w:tc>
      </w:tr>
      <w:tr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5"/>
              </w:rPr>
              <w:t>S10 预测维护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72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55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40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50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65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58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65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57</w:t>
            </w:r>
          </w:p>
        </w:tc>
        <w:tc>
          <w:tcPr>
            <w:tcW w:type="dxa" w:w="1525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5"/>
              </w:rPr>
              <w:t>No-Go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b w:val="0"/>
        </w:rPr>
        <w:t>场景评分依据与启动门槛</w:t>
      </w:r>
    </w:p>
    <w:p>
      <w:pPr>
        <w:sectPr>
          <w:pgSz w:w="16838" w:h="11906" w:orient="landscape"/>
          <w:pgMar w:top="1020" w:right="794" w:bottom="1020" w:left="794" w:header="454" w:footer="454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主要加分项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主要扣分项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进入 POC 前必须满足</w:t>
            </w:r>
          </w:p>
        </w:tc>
      </w:tr>
      <w:tr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S1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需求颗粒度高；已有任务、轨迹、告警数据；技术成熟、复制性强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字段和统计口径未统一；跨部门数据尚未贯通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完成数据字典、字段映射和指标确认</w:t>
            </w:r>
          </w:p>
        </w:tc>
      </w:tr>
      <w:tr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S2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人工调度约12分钟／任务；月均约300次，收益基线较明确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缺少排班、机型能力、优先级、距离和天气约束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明确目标函数和约束规则，采用“推荐＋人工确认”</w:t>
            </w:r>
          </w:p>
        </w:tc>
      </w:tr>
      <w:tr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S3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飞行安全价值高；已有轨迹数据；发现时延有约5分钟基线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实时遥测质量未验证；空域接口和冲突规则不清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限定测试空域和机型，确认轨迹频率与告警阈值</w:t>
            </w:r>
          </w:p>
        </w:tc>
      </w:tr>
      <w:tr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S4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电量不足痛点明确；可使用额定续航和电量数据起步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缺少载荷、风速、温度和电池衰减数据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选定机型与载荷，补采遥测，定义误差和提醒提前量</w:t>
            </w:r>
          </w:p>
        </w:tc>
      </w:tr>
      <w:tr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S5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合规价值高；静态电子围栏技术成熟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地图季度更新；临时禁飞信息依赖人工；责任边界不清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接入权威空域源，明确更新时效和人工兜底</w:t>
            </w:r>
          </w:p>
        </w:tc>
      </w:tr>
      <w:tr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S6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人工监看和事后回看痛点明显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无样本、无标注、类别无定义；误报漏报责任不清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限定类别，取得代表性样本并建立独立测试集</w:t>
            </w:r>
          </w:p>
        </w:tc>
      </w:tr>
      <w:tr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S7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有任务记录基础；可改善巡检和工单效率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历史规律、巡检规则、工单接口和责任人不清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明确规则、审批流程、工单字段和系统接口</w:t>
            </w:r>
          </w:p>
        </w:tc>
      </w:tr>
      <w:tr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S8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应急响应价值高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跨部门和跨系统依赖最强；自动联动风险高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明确指挥权限、审批、人工接管和回滚机制</w:t>
            </w:r>
          </w:p>
        </w:tc>
      </w:tr>
      <w:tr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S9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当前查询约需2小时，提效空间大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无指标字典、权限、查询沙箱和结果溯源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建立指标语义层、只读权限、沙箱和纠错机制</w:t>
            </w:r>
          </w:p>
        </w:tc>
      </w:tr>
      <w:tr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S10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可减少故障和停机，有一定复制价值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无维修记录、故障标签、部件寿命和工况数据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持续积累设备状态、维修和故障标签数据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Microsoft YaHei"/>
          <w:b w:val="0"/>
        </w:rPr>
        <w:t>4. 优先场景组合建议</w:t>
      </w:r>
    </w:p>
    <w:p>
      <w:pPr>
        <w:pStyle w:val="Heading2"/>
      </w:pPr>
      <w:r>
        <w:rPr>
          <w:rFonts w:ascii="Arial" w:hAnsi="Arial" w:eastAsia="Microsoft YaHei"/>
          <w:b w:val="0"/>
        </w:rPr>
        <w:t>前三场景对比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S1 态势大屏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S4 续航预测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S3 冲突预警</w:t>
            </w:r>
          </w:p>
        </w:tc>
      </w:tr>
      <w:tr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业务价值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88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86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90</w:t>
            </w:r>
          </w:p>
        </w:tc>
      </w:tr>
      <w:tr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技术可行性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82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78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70</w:t>
            </w:r>
          </w:p>
        </w:tc>
      </w:tr>
      <w:tr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数据准备度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78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62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62</w:t>
            </w:r>
          </w:p>
        </w:tc>
      </w:tr>
      <w:tr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生态依赖度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72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68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45</w:t>
            </w:r>
          </w:p>
        </w:tc>
      </w:tr>
      <w:tr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风险可控性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86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80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66</w:t>
            </w:r>
          </w:p>
        </w:tc>
      </w:tr>
      <w:tr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投入产出比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84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82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74</w:t>
            </w:r>
          </w:p>
        </w:tc>
      </w:tr>
      <w:tr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可复制性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90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78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72</w:t>
            </w:r>
          </w:p>
        </w:tc>
      </w:tr>
      <w:tr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综合分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82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76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70</w:t>
            </w:r>
          </w:p>
        </w:tc>
      </w:tr>
      <w:tr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决策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Go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有条件 Go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有条件 Go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Microsoft YaHei"/>
          <w:b w:val="0"/>
        </w:rPr>
        <w:t>推荐顺序</w:t>
      </w:r>
    </w:p>
    <w:p>
      <w:pPr>
        <w:pStyle w:val="ListNumber"/>
      </w:pPr>
      <w:r>
        <w:rPr>
          <w:rFonts w:ascii="Arial" w:hAnsi="Arial" w:eastAsia="Microsoft YaHei"/>
          <w:b/>
        </w:rPr>
        <w:t>S1 态势大屏：主 POC。</w:t>
      </w:r>
      <w:r>
        <w:rPr>
          <w:rFonts w:ascii="Arial" w:hAnsi="Arial" w:eastAsia="Microsoft YaHei"/>
          <w:b w:val="0"/>
        </w:rPr>
        <w:t>数据基础和实现路径最清楚，可先形成统一数据底座。</w:t>
      </w:r>
    </w:p>
    <w:p>
      <w:pPr>
        <w:pStyle w:val="ListNumber"/>
      </w:pPr>
      <w:r>
        <w:rPr>
          <w:rFonts w:ascii="Arial" w:hAnsi="Arial" w:eastAsia="Microsoft YaHei"/>
          <w:b/>
        </w:rPr>
        <w:t>S4 续航预测：第二阶段。</w:t>
      </w:r>
      <w:r>
        <w:rPr>
          <w:rFonts w:ascii="Arial" w:hAnsi="Arial" w:eastAsia="Microsoft YaHei"/>
          <w:b w:val="0"/>
        </w:rPr>
        <w:t>先限定 1–2 种机型、固定载荷和常规天气，以规则模型验证提醒价值。</w:t>
      </w:r>
    </w:p>
    <w:p>
      <w:pPr>
        <w:pStyle w:val="ListNumber"/>
      </w:pPr>
      <w:r>
        <w:rPr>
          <w:rFonts w:ascii="Arial" w:hAnsi="Arial" w:eastAsia="Microsoft YaHei"/>
          <w:b/>
        </w:rPr>
        <w:t>S3 冲突预警：第二阶段。</w:t>
      </w:r>
      <w:r>
        <w:rPr>
          <w:rFonts w:ascii="Arial" w:hAnsi="Arial" w:eastAsia="Microsoft YaHei"/>
          <w:b w:val="0"/>
        </w:rPr>
        <w:t>先限定一个测试空域和 3–5 架无人机，验证实时轨迹和固定阈值告警。</w:t>
      </w:r>
    </w:p>
    <w:p>
      <w:pPr>
        <w:pStyle w:val="Heading2"/>
      </w:pPr>
      <w:r>
        <w:rPr>
          <w:rFonts w:ascii="Arial" w:hAnsi="Arial" w:eastAsia="Microsoft YaHei"/>
          <w:b w:val="0"/>
        </w:rPr>
        <w:t>组合控制原则</w:t>
      </w:r>
    </w:p>
    <w:p>
      <w:pPr>
        <w:pStyle w:val="ListBullet"/>
      </w:pPr>
      <w:r>
        <w:rPr>
          <w:rFonts w:ascii="Arial" w:hAnsi="Arial" w:eastAsia="Microsoft YaHei"/>
          <w:b w:val="0"/>
        </w:rPr>
        <w:t>S1、S4、S3不是三个同时铺开的独立 POC，应按“数据底座 → 单机安全 → 多机安全”的顺序推进。</w:t>
      </w:r>
    </w:p>
    <w:p>
      <w:pPr>
        <w:pStyle w:val="ListBullet"/>
      </w:pPr>
      <w:r>
        <w:rPr>
          <w:rFonts w:ascii="Arial" w:hAnsi="Arial" w:eastAsia="Microsoft YaHei"/>
          <w:b w:val="0"/>
        </w:rPr>
        <w:t>S4、S3在前置数据未满足前，仅开展字段确认、样本评估和规则设计。</w:t>
      </w:r>
    </w:p>
    <w:p>
      <w:pPr>
        <w:pStyle w:val="ListBullet"/>
      </w:pPr>
      <w:r>
        <w:rPr>
          <w:rFonts w:ascii="Arial" w:hAnsi="Arial" w:eastAsia="Microsoft YaHei"/>
          <w:b w:val="0"/>
        </w:rPr>
        <w:t>不将 S6 图像识别或 S9 智能问答绑定为 S1 的验收内容，避免高不确定性场景拖累主 POC。</w:t>
      </w:r>
    </w:p>
    <w:p>
      <w:pPr>
        <w:pStyle w:val="Heading1"/>
      </w:pPr>
      <w:r>
        <w:rPr>
          <w:rFonts w:ascii="Arial" w:hAnsi="Arial" w:eastAsia="Microsoft YaHei"/>
          <w:b w:val="0"/>
        </w:rPr>
        <w:t>5. S1 态势大屏 POC 决策建议</w:t>
      </w:r>
    </w:p>
    <w:p>
      <w:pPr>
        <w:pStyle w:val="Heading2"/>
      </w:pPr>
      <w:r>
        <w:rPr>
          <w:rFonts w:ascii="Arial" w:hAnsi="Arial" w:eastAsia="Microsoft YaHei"/>
          <w:b w:val="0"/>
        </w:rPr>
        <w:t>5.1 POC 决策卡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决策项</w:t>
            </w:r>
          </w:p>
        </w:tc>
        <w:tc>
          <w:tcPr>
            <w:tcW w:type="dxa" w:w="47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决策建议</w:t>
            </w:r>
          </w:p>
        </w:tc>
      </w:tr>
      <w:tr>
        <w:tc>
          <w:tcPr>
            <w:tcW w:type="dxa" w:w="47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场景</w:t>
            </w:r>
          </w:p>
        </w:tc>
        <w:tc>
          <w:tcPr>
            <w:tcW w:type="dxa" w:w="47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S1 低空运行态势总览大屏</w:t>
            </w:r>
          </w:p>
        </w:tc>
      </w:tr>
      <w:tr>
        <w:tc>
          <w:tcPr>
            <w:tcW w:type="dxa" w:w="47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决策</w:t>
            </w:r>
          </w:p>
        </w:tc>
        <w:tc>
          <w:tcPr>
            <w:tcW w:type="dxa" w:w="47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Go，启动限定范围 POC</w:t>
            </w:r>
          </w:p>
        </w:tc>
      </w:tr>
      <w:tr>
        <w:tc>
          <w:tcPr>
            <w:tcW w:type="dxa" w:w="47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综合评分</w:t>
            </w:r>
          </w:p>
        </w:tc>
        <w:tc>
          <w:tcPr>
            <w:tcW w:type="dxa" w:w="47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82／100</w:t>
            </w:r>
          </w:p>
        </w:tc>
      </w:tr>
      <w:tr>
        <w:tc>
          <w:tcPr>
            <w:tcW w:type="dxa" w:w="47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核心假设</w:t>
            </w:r>
          </w:p>
        </w:tc>
        <w:tc>
          <w:tcPr>
            <w:tcW w:type="dxa" w:w="47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现有任务、轨迹和告警数据可稳定接入、统一口径，并支撑接近实时的态势展示</w:t>
            </w:r>
          </w:p>
        </w:tc>
      </w:tr>
      <w:tr>
        <w:tc>
          <w:tcPr>
            <w:tcW w:type="dxa" w:w="47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验证目标</w:t>
            </w:r>
          </w:p>
        </w:tc>
        <w:tc>
          <w:tcPr>
            <w:tcW w:type="dxa" w:w="47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验证数据可接入、指标可统一、态势可展示、权限可控制，不验证复杂 AI 模型</w:t>
            </w:r>
          </w:p>
        </w:tc>
      </w:tr>
      <w:tr>
        <w:tc>
          <w:tcPr>
            <w:tcW w:type="dxa" w:w="47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建议周期</w:t>
            </w:r>
          </w:p>
        </w:tc>
        <w:tc>
          <w:tcPr>
            <w:tcW w:type="dxa" w:w="47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4 周：第1周数据确认，第2–3周集成开发，第4周联调验收</w:t>
            </w:r>
          </w:p>
        </w:tc>
      </w:tr>
      <w:tr>
        <w:tc>
          <w:tcPr>
            <w:tcW w:type="dxa" w:w="47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使用范围</w:t>
            </w:r>
          </w:p>
        </w:tc>
        <w:tc>
          <w:tcPr>
            <w:tcW w:type="dxa" w:w="47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指挥中心指定用户，选择 1–2 个委办局参与业务核验</w:t>
            </w:r>
          </w:p>
        </w:tc>
      </w:tr>
      <w:tr>
        <w:tc>
          <w:tcPr>
            <w:tcW w:type="dxa" w:w="47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数据范围</w:t>
            </w:r>
          </w:p>
        </w:tc>
        <w:tc>
          <w:tcPr>
            <w:tcW w:type="dxa" w:w="47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任务、轨迹、告警三类核心数据；优先验证 2–3 个方舱实时链路，其余方舱验证历史数据汇聚</w:t>
            </w:r>
          </w:p>
        </w:tc>
      </w:tr>
      <w:tr>
        <w:tc>
          <w:tcPr>
            <w:tcW w:type="dxa" w:w="47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预算原则</w:t>
            </w:r>
          </w:p>
        </w:tc>
        <w:tc>
          <w:tcPr>
            <w:tcW w:type="dxa" w:w="47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在原 40–60 万元 POC 预算内优先保障数据治理、接口、安全和验收，不并行建设高不确定性场景</w:t>
            </w:r>
          </w:p>
        </w:tc>
      </w:tr>
      <w:tr>
        <w:tc>
          <w:tcPr>
            <w:tcW w:type="dxa" w:w="47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主要交付物</w:t>
            </w:r>
          </w:p>
        </w:tc>
        <w:tc>
          <w:tcPr>
            <w:tcW w:type="dxa" w:w="47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数据字典、字段映射、接口清单、态势大屏原型、测试报告、验收报告、生产化差距清单</w:t>
            </w:r>
          </w:p>
        </w:tc>
      </w:tr>
      <w:tr>
        <w:tc>
          <w:tcPr>
            <w:tcW w:type="dxa" w:w="47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通过条件</w:t>
            </w:r>
          </w:p>
        </w:tc>
        <w:tc>
          <w:tcPr>
            <w:tcW w:type="dxa" w:w="470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核心验收指标达标，且不存在数据合规、权限或接口稳定性的阻断问题</w:t>
            </w:r>
          </w:p>
        </w:tc>
      </w:tr>
    </w:tbl>
    <w:p>
      <w:pPr>
        <w:spacing w:after="0"/>
      </w:pPr>
    </w:p>
    <w:p>
      <w:pPr>
        <w:pStyle w:val="ReportQuote"/>
        <w:shd w:fill="D9EAF7"/>
      </w:pPr>
      <w:r>
        <w:rPr>
          <w:rFonts w:ascii="Arial" w:hAnsi="Arial" w:eastAsia="Microsoft YaHei"/>
          <w:b/>
        </w:rPr>
        <w:t>决策边界</w:t>
      </w:r>
      <w:r>
        <w:rPr>
          <w:rFonts w:ascii="Arial" w:hAnsi="Arial" w:eastAsia="Microsoft YaHei"/>
          <w:b w:val="0"/>
        </w:rPr>
        <w:t xml:space="preserve"> 本次 Go 仅批准限定范围 POC，不代表批准全市生产推广，也不包含智能调度、图像识别、智能问答、自动派单或无人机控制。</w:t>
      </w:r>
    </w:p>
    <w:p>
      <w:pPr>
        <w:pStyle w:val="Heading2"/>
      </w:pPr>
      <w:r>
        <w:rPr>
          <w:rFonts w:ascii="Arial" w:hAnsi="Arial" w:eastAsia="Microsoft YaHei"/>
          <w:b w:val="0"/>
        </w:rPr>
        <w:t>5.2 POC 范围</w:t>
      </w:r>
    </w:p>
    <w:p>
      <w:r>
        <w:rPr>
          <w:rFonts w:ascii="Arial" w:hAnsi="Arial" w:eastAsia="Microsoft YaHei"/>
          <w:b/>
        </w:rPr>
        <w:t>本期包含</w:t>
      </w:r>
    </w:p>
    <w:p>
      <w:pPr>
        <w:pStyle w:val="ListBullet"/>
      </w:pPr>
      <w:r>
        <w:rPr>
          <w:rFonts w:ascii="Arial" w:hAnsi="Arial" w:eastAsia="Microsoft YaHei"/>
          <w:b w:val="0"/>
        </w:rPr>
        <w:t>接入任务、飞行轨迹和告警记录，优先使用已明确可访问的数据源。</w:t>
      </w:r>
    </w:p>
    <w:p>
      <w:pPr>
        <w:pStyle w:val="ListBullet"/>
      </w:pPr>
      <w:r>
        <w:rPr>
          <w:rFonts w:ascii="Arial" w:hAnsi="Arial" w:eastAsia="Microsoft YaHei"/>
          <w:b w:val="0"/>
        </w:rPr>
        <w:t>展示无人机位置、任务状态、告警列表、方舱与飞手概况。</w:t>
      </w:r>
    </w:p>
    <w:p>
      <w:pPr>
        <w:pStyle w:val="ListBullet"/>
      </w:pPr>
      <w:r>
        <w:rPr>
          <w:rFonts w:ascii="Arial" w:hAnsi="Arial" w:eastAsia="Microsoft YaHei"/>
          <w:b w:val="0"/>
        </w:rPr>
        <w:t>展示架次、里程、飞行时长等经业务确认的基础统计指标。</w:t>
      </w:r>
    </w:p>
    <w:p>
      <w:pPr>
        <w:pStyle w:val="ListBullet"/>
      </w:pPr>
      <w:r>
        <w:rPr>
          <w:rFonts w:ascii="Arial" w:hAnsi="Arial" w:eastAsia="Microsoft YaHei"/>
          <w:b w:val="0"/>
        </w:rPr>
        <w:t>建立数据字典、字段映射、状态编码和统一时间口径。</w:t>
      </w:r>
    </w:p>
    <w:p>
      <w:pPr>
        <w:pStyle w:val="ListBullet"/>
      </w:pPr>
      <w:r>
        <w:rPr>
          <w:rFonts w:ascii="Arial" w:hAnsi="Arial" w:eastAsia="Microsoft YaHei"/>
          <w:b w:val="0"/>
        </w:rPr>
        <w:t>建立基础用户权限、敏感字段控制和操作审计。</w:t>
      </w:r>
    </w:p>
    <w:p>
      <w:pPr>
        <w:pStyle w:val="ListBullet"/>
      </w:pPr>
      <w:r>
        <w:rPr>
          <w:rFonts w:ascii="Arial" w:hAnsi="Arial" w:eastAsia="Microsoft YaHei"/>
          <w:b w:val="0"/>
        </w:rPr>
        <w:t>告警仅作展示和人工确认，不自动触发处置动作。</w:t>
      </w:r>
    </w:p>
    <w:p>
      <w:r>
        <w:rPr>
          <w:rFonts w:ascii="Arial" w:hAnsi="Arial" w:eastAsia="Microsoft YaHei"/>
          <w:b/>
        </w:rPr>
        <w:t>本期不包含</w:t>
      </w:r>
    </w:p>
    <w:p>
      <w:pPr>
        <w:pStyle w:val="ListBullet"/>
      </w:pPr>
      <w:r>
        <w:rPr>
          <w:rFonts w:ascii="Arial" w:hAnsi="Arial" w:eastAsia="Microsoft YaHei"/>
          <w:b w:val="0"/>
        </w:rPr>
        <w:t>无人机自动调度、自动控制或强制返航。</w:t>
      </w:r>
    </w:p>
    <w:p>
      <w:pPr>
        <w:pStyle w:val="ListBullet"/>
      </w:pPr>
      <w:r>
        <w:rPr>
          <w:rFonts w:ascii="Arial" w:hAnsi="Arial" w:eastAsia="Microsoft YaHei"/>
          <w:b w:val="0"/>
        </w:rPr>
        <w:t>图像异常识别及“95%准确率”验证。</w:t>
      </w:r>
    </w:p>
    <w:p>
      <w:pPr>
        <w:pStyle w:val="ListBullet"/>
      </w:pPr>
      <w:r>
        <w:rPr>
          <w:rFonts w:ascii="Arial" w:hAnsi="Arial" w:eastAsia="Microsoft YaHei"/>
          <w:b w:val="0"/>
        </w:rPr>
        <w:t>面向生产数据库的自然语言问答或自动 SQL。</w:t>
      </w:r>
    </w:p>
    <w:p>
      <w:pPr>
        <w:pStyle w:val="ListBullet"/>
      </w:pPr>
      <w:r>
        <w:rPr>
          <w:rFonts w:ascii="Arial" w:hAnsi="Arial" w:eastAsia="Microsoft YaHei"/>
          <w:b w:val="0"/>
        </w:rPr>
        <w:t>公安、城管等业务系统的正式工单闭环。</w:t>
      </w:r>
    </w:p>
    <w:p>
      <w:pPr>
        <w:pStyle w:val="ListBullet"/>
      </w:pPr>
      <w:r>
        <w:rPr>
          <w:rFonts w:ascii="Arial" w:hAnsi="Arial" w:eastAsia="Microsoft YaHei"/>
          <w:b w:val="0"/>
        </w:rPr>
        <w:t>全市 10 个委办局并发使用及生产级推广。</w:t>
      </w:r>
    </w:p>
    <w:p>
      <w:pPr>
        <w:pStyle w:val="Heading2"/>
      </w:pPr>
      <w:r>
        <w:rPr>
          <w:rFonts w:ascii="Arial" w:hAnsi="Arial" w:eastAsia="Microsoft YaHei"/>
          <w:b w:val="0"/>
        </w:rPr>
        <w:t>5.3 启动门槛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启动条件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责任方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最低交付要求</w:t>
            </w:r>
          </w:p>
        </w:tc>
      </w:tr>
      <w:tr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G1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明确项目责任人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客户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指定业务、数据、安全和验收负责人</w:t>
            </w:r>
          </w:p>
        </w:tc>
      </w:tr>
      <w:tr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G2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核心数据可用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客户／现有厂商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提供表结构、脱敏样例、数据量和增量更新方式</w:t>
            </w:r>
          </w:p>
        </w:tc>
      </w:tr>
      <w:tr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G3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指标口径确认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业务方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形成指标名称、定义、来源、周期和责任部门清单</w:t>
            </w:r>
          </w:p>
        </w:tc>
      </w:tr>
      <w:tr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G4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接口条件确认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技术方／现有厂商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明确接口协议、频率、鉴权、限流和异常处理方式</w:t>
            </w:r>
          </w:p>
        </w:tc>
      </w:tr>
      <w:tr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G5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安全边界确认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客户安全部门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明确数据分级、脱敏、访问权限和审计要求</w:t>
            </w:r>
          </w:p>
        </w:tc>
      </w:tr>
      <w:tr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G6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验收方法确认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项目双方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冻结验收指标、测试数据、测试方法和签字责任人</w:t>
            </w:r>
          </w:p>
        </w:tc>
      </w:tr>
    </w:tbl>
    <w:p>
      <w:pPr>
        <w:spacing w:after="0"/>
      </w:pPr>
    </w:p>
    <w:p>
      <w:pPr>
        <w:pStyle w:val="ReportQuote"/>
        <w:shd w:fill="D9EAF7"/>
      </w:pPr>
      <w:r>
        <w:rPr>
          <w:rFonts w:ascii="Arial" w:hAnsi="Arial" w:eastAsia="Microsoft YaHei"/>
          <w:b w:val="0"/>
        </w:rPr>
        <w:t>G1–G6 未全部满足，不进入正式开发计时；可先开展不依赖真实数据的界面原型确认，但不得据此宣称 POC 已验证通过。</w:t>
      </w:r>
    </w:p>
    <w:p>
      <w:pPr>
        <w:pStyle w:val="Heading2"/>
      </w:pPr>
      <w:r>
        <w:rPr>
          <w:rFonts w:ascii="Arial" w:hAnsi="Arial" w:eastAsia="Microsoft YaHei"/>
          <w:b w:val="0"/>
        </w:rPr>
        <w:t>5.4 验收指标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验收维度</w:t>
            </w:r>
          </w:p>
        </w:tc>
        <w:tc>
          <w:tcPr>
            <w:tcW w:type="dxa" w:w="31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建议验收标准</w:t>
            </w:r>
          </w:p>
        </w:tc>
        <w:tc>
          <w:tcPr>
            <w:tcW w:type="dxa" w:w="31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验证方式</w:t>
            </w:r>
          </w:p>
        </w:tc>
      </w:tr>
      <w:tr>
        <w:tc>
          <w:tcPr>
            <w:tcW w:type="dxa" w:w="31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数据接入</w:t>
            </w:r>
          </w:p>
        </w:tc>
        <w:tc>
          <w:tcPr>
            <w:tcW w:type="dxa" w:w="31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任务、轨迹、告警三类核心数据成功接入；必填字段完整率 ≥95%</w:t>
            </w:r>
          </w:p>
        </w:tc>
        <w:tc>
          <w:tcPr>
            <w:tcW w:type="dxa" w:w="31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数据质量报告与抽样核验</w:t>
            </w:r>
          </w:p>
        </w:tc>
      </w:tr>
      <w:tr>
        <w:tc>
          <w:tcPr>
            <w:tcW w:type="dxa" w:w="31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位置时效</w:t>
            </w:r>
          </w:p>
        </w:tc>
        <w:tc>
          <w:tcPr>
            <w:tcW w:type="dxa" w:w="31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获得实时接口的无人机，端到端位置更新延迟 ≤5秒</w:t>
            </w:r>
          </w:p>
        </w:tc>
        <w:tc>
          <w:tcPr>
            <w:tcW w:type="dxa" w:w="31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记录源时间与展示时间并对比</w:t>
            </w:r>
          </w:p>
        </w:tc>
      </w:tr>
      <w:tr>
        <w:tc>
          <w:tcPr>
            <w:tcW w:type="dxa" w:w="31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数据一致性</w:t>
            </w:r>
          </w:p>
        </w:tc>
        <w:tc>
          <w:tcPr>
            <w:tcW w:type="dxa" w:w="31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任务、架次、里程和告警统计与源系统抽样一致率 ≥98%</w:t>
            </w:r>
          </w:p>
        </w:tc>
        <w:tc>
          <w:tcPr>
            <w:tcW w:type="dxa" w:w="31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双方选取样本交叉核对</w:t>
            </w:r>
          </w:p>
        </w:tc>
      </w:tr>
      <w:tr>
        <w:tc>
          <w:tcPr>
            <w:tcW w:type="dxa" w:w="31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页面性能</w:t>
            </w:r>
          </w:p>
        </w:tc>
        <w:tc>
          <w:tcPr>
            <w:tcW w:type="dxa" w:w="31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首次加载 ≤5秒，常用筛选或切换 ≤2秒</w:t>
            </w:r>
          </w:p>
        </w:tc>
        <w:tc>
          <w:tcPr>
            <w:tcW w:type="dxa" w:w="31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在约定网络和终端环境测试</w:t>
            </w:r>
          </w:p>
        </w:tc>
      </w:tr>
      <w:tr>
        <w:tc>
          <w:tcPr>
            <w:tcW w:type="dxa" w:w="31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系统稳定性</w:t>
            </w:r>
          </w:p>
        </w:tc>
        <w:tc>
          <w:tcPr>
            <w:tcW w:type="dxa" w:w="31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连续7天试运行期间核心页面可用率 ≥99%</w:t>
            </w:r>
          </w:p>
        </w:tc>
        <w:tc>
          <w:tcPr>
            <w:tcW w:type="dxa" w:w="31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监控日志和故障记录</w:t>
            </w:r>
          </w:p>
        </w:tc>
      </w:tr>
      <w:tr>
        <w:tc>
          <w:tcPr>
            <w:tcW w:type="dxa" w:w="31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权限审计</w:t>
            </w:r>
          </w:p>
        </w:tc>
        <w:tc>
          <w:tcPr>
            <w:tcW w:type="dxa" w:w="31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未授权访问被阻断，登录、查询、导出和配置变更可追溯</w:t>
            </w:r>
          </w:p>
        </w:tc>
        <w:tc>
          <w:tcPr>
            <w:tcW w:type="dxa" w:w="31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权限测试与审计日志检查</w:t>
            </w:r>
          </w:p>
        </w:tc>
      </w:tr>
      <w:tr>
        <w:tc>
          <w:tcPr>
            <w:tcW w:type="dxa" w:w="31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用户验收</w:t>
            </w:r>
          </w:p>
        </w:tc>
        <w:tc>
          <w:tcPr>
            <w:tcW w:type="dxa" w:w="31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完成不少于5个典型任务的端到端演示并获得书面确认</w:t>
            </w:r>
          </w:p>
        </w:tc>
        <w:tc>
          <w:tcPr>
            <w:tcW w:type="dxa" w:w="31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业务验收记录</w:t>
            </w:r>
          </w:p>
        </w:tc>
      </w:tr>
    </w:tbl>
    <w:p>
      <w:pPr>
        <w:spacing w:after="0"/>
      </w:pPr>
    </w:p>
    <w:p>
      <w:r>
        <w:rPr>
          <w:rFonts w:ascii="Arial" w:hAnsi="Arial" w:eastAsia="Microsoft YaHei"/>
          <w:b w:val="0"/>
        </w:rPr>
        <w:t>上述指标为建议值，应在 POC 启动前由客户、业务方和技术方共同冻结。若未取得实时接口，不得承诺位置时效指标。</w:t>
      </w:r>
    </w:p>
    <w:p>
      <w:pPr>
        <w:pStyle w:val="Heading2"/>
      </w:pPr>
      <w:r>
        <w:rPr>
          <w:rFonts w:ascii="Arial" w:hAnsi="Arial" w:eastAsia="Microsoft YaHei"/>
          <w:b w:val="0"/>
        </w:rPr>
        <w:t>5.5 POC 结束后的二次决策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结论</w:t>
            </w:r>
          </w:p>
        </w:tc>
        <w:tc>
          <w:tcPr>
            <w:tcW w:type="dxa" w:w="31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判定条件</w:t>
            </w:r>
          </w:p>
        </w:tc>
        <w:tc>
          <w:tcPr>
            <w:tcW w:type="dxa" w:w="31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后续动作</w:t>
            </w:r>
          </w:p>
        </w:tc>
      </w:tr>
      <w:tr>
        <w:tc>
          <w:tcPr>
            <w:tcW w:type="dxa" w:w="31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Go</w:t>
            </w:r>
          </w:p>
        </w:tc>
        <w:tc>
          <w:tcPr>
            <w:tcW w:type="dxa" w:w="31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核心指标全部达标，数据、接口、权限无阻断项</w:t>
            </w:r>
          </w:p>
        </w:tc>
        <w:tc>
          <w:tcPr>
            <w:tcW w:type="dxa" w:w="31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进入 1–2 个委办局生产试点，补充容量、安全、灾备和运维建设</w:t>
            </w:r>
          </w:p>
        </w:tc>
      </w:tr>
      <w:tr>
        <w:tc>
          <w:tcPr>
            <w:tcW w:type="dxa" w:w="31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有条件 Go</w:t>
            </w:r>
          </w:p>
        </w:tc>
        <w:tc>
          <w:tcPr>
            <w:tcW w:type="dxa" w:w="31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展示功能达标，但数据完整性、实时性或接口仍有缺口</w:t>
            </w:r>
          </w:p>
        </w:tc>
        <w:tc>
          <w:tcPr>
            <w:tcW w:type="dxa" w:w="31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仅完成缺口整改与复测，不扩大用户和场景范围</w:t>
            </w:r>
          </w:p>
        </w:tc>
      </w:tr>
      <w:tr>
        <w:tc>
          <w:tcPr>
            <w:tcW w:type="dxa" w:w="31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No-Go</w:t>
            </w:r>
          </w:p>
        </w:tc>
        <w:tc>
          <w:tcPr>
            <w:tcW w:type="dxa" w:w="31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核心数据无法合规接入、统计长期不一致或权限风险不可控制</w:t>
            </w:r>
          </w:p>
        </w:tc>
        <w:tc>
          <w:tcPr>
            <w:tcW w:type="dxa" w:w="3137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停止平台扩展，保留数据治理成果并重新评估方案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Microsoft YaHei"/>
          <w:b w:val="0"/>
        </w:rPr>
        <w:t>6. 主要风险与控制措施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风险类别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主要风险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控制措施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决策门禁</w:t>
            </w:r>
          </w:p>
        </w:tc>
      </w:tr>
      <w:tr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数据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多厂商字段不一致，任务与轨迹可能无法稳定关联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建立数据字典、主键规则、质量报告和异常数据清单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关联关系不稳定则暂停统计开发</w:t>
            </w:r>
          </w:p>
        </w:tc>
      </w:tr>
      <w:tr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接口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实时接口、更新频率和现有厂商配合度不明确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POC 前完成接口摸底和样例联调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无真实接口则不得承诺实时能力</w:t>
            </w:r>
          </w:p>
        </w:tc>
      </w:tr>
      <w:tr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安全合规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空域、警务等数据的分级、脱敏和权限未明确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隔离环境、最小权限、脱敏数据和全量审计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未经安全确认不得跨部门开放</w:t>
            </w:r>
          </w:p>
        </w:tc>
      </w:tr>
      <w:tr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业务流程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告警确认、转派、处置和结案责任不清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明确责任矩阵，POC 阶段保留人工确认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不允许告警直接触发自动处置</w:t>
            </w:r>
          </w:p>
        </w:tc>
      </w:tr>
      <w:tr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范围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一个月内叠加调度、图像识别和问答需求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冻结范围，新增需求进入变更评审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超出边界则重估周期和预算</w:t>
            </w:r>
          </w:p>
        </w:tc>
      </w:tr>
      <w:tr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推广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POC 通过后直接面向 10 个委办局推广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先选 1–2 个委办局生产试点，再分批推广</w:t>
            </w:r>
          </w:p>
        </w:tc>
        <w:tc>
          <w:tcPr>
            <w:tcW w:type="dxa" w:w="2353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未完成生产级测评不得扩面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Microsoft YaHei"/>
          <w:b w:val="0"/>
        </w:rPr>
        <w:t>7. 下一步行动计划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行动项</w:t>
            </w:r>
          </w:p>
        </w:tc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建议责任方</w:t>
            </w:r>
          </w:p>
        </w:tc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建议完成时间</w:t>
            </w:r>
          </w:p>
        </w:tc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1F4E79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输出物</w:t>
            </w:r>
          </w:p>
        </w:tc>
      </w:tr>
      <w:tr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P0</w:t>
            </w:r>
          </w:p>
        </w:tc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确认 S1 POC 决策和范围边界</w:t>
            </w:r>
          </w:p>
        </w:tc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项目决策组</w:t>
            </w:r>
          </w:p>
        </w:tc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启动前</w:t>
            </w:r>
          </w:p>
        </w:tc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签字版 POC 决策卡</w:t>
            </w:r>
          </w:p>
        </w:tc>
      </w:tr>
      <w:tr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P0</w:t>
            </w:r>
          </w:p>
        </w:tc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指定业务、数据、安全、验收负责人</w:t>
            </w:r>
          </w:p>
        </w:tc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客户</w:t>
            </w:r>
          </w:p>
        </w:tc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启动前</w:t>
            </w:r>
          </w:p>
        </w:tc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责任人清单与责任矩阵</w:t>
            </w:r>
          </w:p>
        </w:tc>
      </w:tr>
      <w:tr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P0</w:t>
            </w:r>
          </w:p>
        </w:tc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提供三类核心数据结构和脱敏样例</w:t>
            </w:r>
          </w:p>
        </w:tc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客户／现有厂商</w:t>
            </w:r>
          </w:p>
        </w:tc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第1周</w:t>
            </w:r>
          </w:p>
        </w:tc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数据清单与样例包</w:t>
            </w:r>
          </w:p>
        </w:tc>
      </w:tr>
      <w:tr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P0</w:t>
            </w:r>
          </w:p>
        </w:tc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冻结指标字典和验收标准</w:t>
            </w:r>
          </w:p>
        </w:tc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项目双方</w:t>
            </w:r>
          </w:p>
        </w:tc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第1周</w:t>
            </w:r>
          </w:p>
        </w:tc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指标字典与验收方案</w:t>
            </w:r>
          </w:p>
        </w:tc>
      </w:tr>
      <w:tr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P1</w:t>
            </w:r>
          </w:p>
        </w:tc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完成 2–3 个方舱的实时接口联调</w:t>
            </w:r>
          </w:p>
        </w:tc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技术方／现有厂商</w:t>
            </w:r>
          </w:p>
        </w:tc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第2周</w:t>
            </w:r>
          </w:p>
        </w:tc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接口联调记录</w:t>
            </w:r>
          </w:p>
        </w:tc>
      </w:tr>
      <w:tr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P1</w:t>
            </w:r>
          </w:p>
        </w:tc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完成大屏开发、权限和审计验证</w:t>
            </w:r>
          </w:p>
        </w:tc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技术方</w:t>
            </w:r>
          </w:p>
        </w:tc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第3周</w:t>
            </w:r>
          </w:p>
        </w:tc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POC 可测试版本</w:t>
            </w:r>
          </w:p>
        </w:tc>
      </w:tr>
      <w:tr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P1</w:t>
            </w:r>
          </w:p>
        </w:tc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完成典型任务演示和验收</w:t>
            </w:r>
          </w:p>
        </w:tc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项目双方</w:t>
            </w:r>
          </w:p>
        </w:tc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第4周</w:t>
            </w:r>
          </w:p>
        </w:tc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测试报告与验收报告</w:t>
            </w:r>
          </w:p>
        </w:tc>
      </w:tr>
      <w:tr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P2</w:t>
            </w:r>
          </w:p>
        </w:tc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sz w:val="17"/>
              </w:rPr>
              <w:t>对 S4、S3开展数据摸底</w:t>
            </w:r>
          </w:p>
        </w:tc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业务／数据／技术方</w:t>
            </w:r>
          </w:p>
        </w:tc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S1 POC 期间</w:t>
            </w:r>
          </w:p>
        </w:tc>
        <w:tc>
          <w:tcPr>
            <w:tcW w:type="dxa" w:w="188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EAF1F8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Microsoft YaHei"/>
                <w:sz w:val="17"/>
              </w:rPr>
              <w:t>前置条件清单与复评分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Microsoft YaHei"/>
          <w:b w:val="0"/>
        </w:rPr>
        <w:t>附录 A：Echo 材料审查问题清单</w:t>
      </w:r>
    </w:p>
    <w:p>
      <w:pPr>
        <w:pStyle w:val="Heading2"/>
      </w:pPr>
      <w:r>
        <w:rPr>
          <w:rFonts w:ascii="Arial" w:hAnsi="Arial" w:eastAsia="Microsoft YaHei"/>
          <w:b w:val="0"/>
        </w:rPr>
        <w:t>A.1 数据与接口</w:t>
      </w:r>
    </w:p>
    <w:p>
      <w:pPr>
        <w:pStyle w:val="ListNumber"/>
      </w:pPr>
      <w:r>
        <w:rPr>
          <w:rFonts w:ascii="Arial" w:hAnsi="Arial" w:eastAsia="Microsoft YaHei"/>
          <w:b w:val="0"/>
        </w:rPr>
        <w:t>不同厂商遥测字段不统一，缺少数据字典和统一口径。</w:t>
      </w:r>
    </w:p>
    <w:p>
      <w:pPr>
        <w:pStyle w:val="ListNumber"/>
      </w:pPr>
      <w:r>
        <w:rPr>
          <w:rFonts w:ascii="Arial" w:hAnsi="Arial" w:eastAsia="Microsoft YaHei"/>
          <w:b w:val="0"/>
        </w:rPr>
        <w:t>视频和图像主要存放在方舱本地，归集方式、保存周期、分辨率和昼夜条件未说明。</w:t>
      </w:r>
    </w:p>
    <w:p>
      <w:pPr>
        <w:pStyle w:val="ListNumber"/>
      </w:pPr>
      <w:r>
        <w:rPr>
          <w:rFonts w:ascii="Arial" w:hAnsi="Arial" w:eastAsia="Microsoft YaHei"/>
          <w:b w:val="0"/>
        </w:rPr>
        <w:t>未提供图像样本、标注数据或异常类别定义。</w:t>
      </w:r>
    </w:p>
    <w:p>
      <w:pPr>
        <w:pStyle w:val="ListNumber"/>
      </w:pPr>
      <w:r>
        <w:rPr>
          <w:rFonts w:ascii="Arial" w:hAnsi="Arial" w:eastAsia="Microsoft YaHei"/>
          <w:b w:val="0"/>
        </w:rPr>
        <w:t>空域、气象、审批等外部数据源缺少接口文档、接口人和接入计划。</w:t>
      </w:r>
    </w:p>
    <w:p>
      <w:pPr>
        <w:pStyle w:val="ListNumber"/>
      </w:pPr>
      <w:r>
        <w:rPr>
          <w:rFonts w:ascii="Arial" w:hAnsi="Arial" w:eastAsia="Microsoft YaHei"/>
          <w:b w:val="0"/>
        </w:rPr>
        <w:t>临时禁飞区依靠电话或传真通知，缺少实时同步与系统留痕。</w:t>
      </w:r>
    </w:p>
    <w:p>
      <w:pPr>
        <w:pStyle w:val="Heading2"/>
      </w:pPr>
      <w:r>
        <w:rPr>
          <w:rFonts w:ascii="Arial" w:hAnsi="Arial" w:eastAsia="Microsoft YaHei"/>
          <w:b w:val="0"/>
        </w:rPr>
        <w:t>A.2 业务流程与责任</w:t>
      </w:r>
    </w:p>
    <w:p>
      <w:pPr>
        <w:pStyle w:val="ListNumber"/>
      </w:pPr>
      <w:r>
        <w:rPr>
          <w:rFonts w:ascii="Arial" w:hAnsi="Arial" w:eastAsia="Microsoft YaHei"/>
          <w:b w:val="0"/>
        </w:rPr>
        <w:t>业务流程止于大屏展示，告警确认、转派、处置和结案责任不清。</w:t>
      </w:r>
    </w:p>
    <w:p>
      <w:pPr>
        <w:pStyle w:val="ListNumber"/>
      </w:pPr>
      <w:r>
        <w:rPr>
          <w:rFonts w:ascii="Arial" w:hAnsi="Arial" w:eastAsia="Microsoft YaHei"/>
          <w:b w:val="0"/>
        </w:rPr>
        <w:t>委办局系统相互独立，公安、城管等工单系统是否互通未确认。</w:t>
      </w:r>
    </w:p>
    <w:p>
      <w:pPr>
        <w:pStyle w:val="ListNumber"/>
      </w:pPr>
      <w:r>
        <w:rPr>
          <w:rFonts w:ascii="Arial" w:hAnsi="Arial" w:eastAsia="Microsoft YaHei"/>
          <w:b w:val="0"/>
        </w:rPr>
        <w:t>误报、漏报后的责任认定、人工复核和处置流程未定义。</w:t>
      </w:r>
    </w:p>
    <w:p>
      <w:pPr>
        <w:pStyle w:val="ListNumber"/>
      </w:pPr>
      <w:r>
        <w:rPr>
          <w:rFonts w:ascii="Arial" w:hAnsi="Arial" w:eastAsia="Microsoft YaHei"/>
          <w:b w:val="0"/>
        </w:rPr>
        <w:t>巡检自动生成缺少历史规律、审批流程、工单接口和人工审核环节。</w:t>
      </w:r>
    </w:p>
    <w:p>
      <w:pPr>
        <w:pStyle w:val="Heading2"/>
      </w:pPr>
      <w:r>
        <w:rPr>
          <w:rFonts w:ascii="Arial" w:hAnsi="Arial" w:eastAsia="Microsoft YaHei"/>
          <w:b w:val="0"/>
        </w:rPr>
        <w:t>A.3 指标与验收</w:t>
      </w:r>
    </w:p>
    <w:p>
      <w:pPr>
        <w:pStyle w:val="ListNumber"/>
      </w:pPr>
      <w:r>
        <w:rPr>
          <w:rFonts w:ascii="Arial" w:hAnsi="Arial" w:eastAsia="Microsoft YaHei"/>
          <w:b w:val="0"/>
        </w:rPr>
        <w:t>图像识别“95%准确率”缺少测试集、场景条件、统计口径和人工基线。</w:t>
      </w:r>
    </w:p>
    <w:p>
      <w:pPr>
        <w:pStyle w:val="ListNumber"/>
      </w:pPr>
      <w:r>
        <w:rPr>
          <w:rFonts w:ascii="Arial" w:hAnsi="Arial" w:eastAsia="Microsoft YaHei"/>
          <w:b w:val="0"/>
        </w:rPr>
        <w:t>智能问答缺少业务指标字典，统计口径和时间窗口不明确。</w:t>
      </w:r>
    </w:p>
    <w:p>
      <w:pPr>
        <w:pStyle w:val="ListNumber"/>
      </w:pPr>
      <w:r>
        <w:rPr>
          <w:rFonts w:ascii="Arial" w:hAnsi="Arial" w:eastAsia="Microsoft YaHei"/>
          <w:b w:val="0"/>
        </w:rPr>
        <w:t>“调度效率提升80%”“秒级响应”等目标缺少完整测量方法和验收条件。</w:t>
      </w:r>
    </w:p>
    <w:p>
      <w:pPr>
        <w:pStyle w:val="ListNumber"/>
      </w:pPr>
      <w:r>
        <w:rPr>
          <w:rFonts w:ascii="Arial" w:hAnsi="Arial" w:eastAsia="Microsoft YaHei"/>
          <w:b w:val="0"/>
        </w:rPr>
        <w:t>设备维护预测缺少维修记录、故障标签、部件寿命和工况数据。</w:t>
      </w:r>
    </w:p>
    <w:p>
      <w:pPr>
        <w:pStyle w:val="Heading2"/>
      </w:pPr>
      <w:r>
        <w:rPr>
          <w:rFonts w:ascii="Arial" w:hAnsi="Arial" w:eastAsia="Microsoft YaHei"/>
          <w:b w:val="0"/>
        </w:rPr>
        <w:t>A.4 安全、范围与投入</w:t>
      </w:r>
    </w:p>
    <w:p>
      <w:pPr>
        <w:pStyle w:val="ListNumber"/>
      </w:pPr>
      <w:r>
        <w:rPr>
          <w:rFonts w:ascii="Arial" w:hAnsi="Arial" w:eastAsia="Microsoft YaHei"/>
          <w:b w:val="0"/>
        </w:rPr>
        <w:t>“所有部门都能使用”缺少权限、分级分类和脱敏设计。</w:t>
      </w:r>
    </w:p>
    <w:p>
      <w:pPr>
        <w:pStyle w:val="ListNumber"/>
      </w:pPr>
      <w:r>
        <w:rPr>
          <w:rFonts w:ascii="Arial" w:hAnsi="Arial" w:eastAsia="Microsoft YaHei"/>
          <w:b w:val="0"/>
        </w:rPr>
        <w:t>未明确 AI 是否可以直接查询生产数据库，也没有查询沙箱和纠错机制。</w:t>
      </w:r>
    </w:p>
    <w:p>
      <w:pPr>
        <w:pStyle w:val="ListNumber"/>
      </w:pPr>
      <w:r>
        <w:rPr>
          <w:rFonts w:ascii="Arial" w:hAnsi="Arial" w:eastAsia="Microsoft YaHei"/>
          <w:b w:val="0"/>
        </w:rPr>
        <w:t>POC 同时覆盖大屏、调度、图像识别和智能问答，范围超过一个月周期的合理容量。</w:t>
      </w:r>
    </w:p>
    <w:p>
      <w:pPr>
        <w:pStyle w:val="ListNumber"/>
      </w:pPr>
      <w:r>
        <w:rPr>
          <w:rFonts w:ascii="Arial" w:hAnsi="Arial" w:eastAsia="Microsoft YaHei"/>
          <w:b w:val="0"/>
        </w:rPr>
        <w:t>POC 通过后直接推广至 10 个委办局，缺少试点、分批上线和回滚安排。</w:t>
      </w:r>
    </w:p>
    <w:p>
      <w:pPr>
        <w:pStyle w:val="ListNumber"/>
      </w:pPr>
      <w:r>
        <w:rPr>
          <w:rFonts w:ascii="Arial" w:hAnsi="Arial" w:eastAsia="Microsoft YaHei"/>
          <w:b w:val="0"/>
        </w:rPr>
        <w:t>40–60 万元预算缺少接口、数据治理、模型、测试和安全工作的测算依据。</w:t>
      </w:r>
    </w:p>
    <w:p>
      <w:pPr>
        <w:pStyle w:val="Heading1"/>
      </w:pPr>
      <w:r>
        <w:rPr>
          <w:rFonts w:ascii="Arial" w:hAnsi="Arial" w:eastAsia="Microsoft YaHei"/>
          <w:b w:val="0"/>
        </w:rPr>
        <w:t>附录 B：最终决策声明</w:t>
      </w:r>
    </w:p>
    <w:p>
      <w:r>
        <w:rPr>
          <w:rFonts w:ascii="Arial" w:hAnsi="Arial" w:eastAsia="Microsoft YaHei"/>
          <w:b w:val="0"/>
        </w:rPr>
        <w:t xml:space="preserve">建议批准 </w:t>
      </w:r>
      <w:r>
        <w:rPr>
          <w:rFonts w:ascii="Arial" w:hAnsi="Arial" w:eastAsia="Microsoft YaHei"/>
          <w:b/>
        </w:rPr>
        <w:t>S1 低空运行态势总览大屏限定范围 POC</w:t>
      </w:r>
      <w:r>
        <w:rPr>
          <w:rFonts w:ascii="Arial" w:hAnsi="Arial" w:eastAsia="Microsoft YaHei"/>
          <w:b w:val="0"/>
        </w:rPr>
        <w:t>，暂不批准将 S6 图像识别、S9 智能问答等高不确定性能力纳入同一期验收。S4、S3保留为后续优先场景，在前置数据与规则条件满足后重新评分和立项。</w:t>
      </w:r>
    </w:p>
    <w:p>
      <w:r>
        <w:rPr>
          <w:rFonts w:ascii="Arial" w:hAnsi="Arial" w:eastAsia="Microsoft YaHei"/>
          <w:b w:val="0"/>
        </w:rPr>
        <w:t>所有决策应明确责任人、完成时限、交付物和复评节点；“有条件 Go”和“No-Go”均不是永久结论，前置条件发生实质变化后应重新评估。</w:t>
      </w:r>
    </w:p>
    <w:sectPr w:rsidR="00FC693F" w:rsidRPr="0006063C" w:rsidSect="00034616">
      <w:pgSz w:w="11906" w:h="16838"/>
      <w:pgMar w:top="1247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fldChar w:fldCharType="begin"/>
      <w:instrText xml:space="preserve"> PAGE </w:instrText>
      <w:fldChar w:fldCharType="end"/>
    </w:r>
    <w:r>
      <w:rPr>
        <w:rFonts w:ascii="Arial" w:hAnsi="Arial"/>
        <w:color w:val="6E6E6E"/>
        <w:sz w:val="16"/>
      </w:rPr>
      <w:fldChar w:fldCharType="begin"/>
      <w:instrText xml:space="preserve"> PAGE </w:instrText>
      <w:fldChar w:fldCharType="end"/>
    </w:r>
    <w:r>
      <w:rPr>
        <w:rFonts w:ascii="Arial" w:hAnsi="Arial"/>
        <w:color w:val="6E6E6E"/>
        <w:sz w:val="16"/>
      </w:rPr>
      <w:fldChar w:fldCharType="begin"/>
      <w:instrText xml:space="preserve"> PAGE </w:instrText>
      <w:fldChar w:fldCharType="end"/>
    </w:r>
    <w:r>
      <w:rPr>
        <w:rFonts w:ascii="Arial" w:hAnsi="Arial"/>
        <w:color w:val="6E6E6E"/>
        <w:sz w:val="16"/>
      </w:rPr>
      <w:fldChar w:fldCharType="begin"/>
      <w:instrText xml:space="preserve"> PAGE </w:instrText>
      <w:fldChar w:fldCharType="end"/>
    </w:r>
    <w:r>
      <w:rPr>
        <w:rFonts w:ascii="Arial" w:hAnsi="Arial"/>
        <w:color w:val="6E6E6E"/>
        <w:sz w:val="16"/>
      </w:rPr>
      <w:fldChar w:fldCharType="begin"/>
      <w:instrText xml:space="preserve"> PAGE </w:instrText>
      <w:fldChar w:fldCharType="end"/>
    </w:r>
    <w:r>
      <w:rPr>
        <w:rFonts w:ascii="Arial" w:hAnsi="Arial"/>
        <w:color w:val="6E6E6E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6E6E6E"/>
        <w:sz w:val="16"/>
      </w:rPr>
      <w:t>无人机低空智慧调度平台｜AI 场景技术可行性与 POC 决策建议书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rial" w:hAnsi="Arial" w:eastAsia="Microsoft YaHei"/>
      <w:b/>
      <w:i/>
      <w:iCs/>
      <w:color w:val="365F91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Quote">
    <w:name w:val="Report Quote"/>
    <w:pPr>
      <w:spacing w:before="160" w:after="160"/>
      <w:ind w:left="283" w:right="283"/>
    </w:pPr>
    <w:rPr>
      <w:rFonts w:ascii="Arial" w:hAnsi="Arial" w:eastAsia="Microsoft YaHei"/>
      <w:b/>
      <w:color w:val="17365D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无人机低空智慧调度平台 AI 场景技术可行性与 POC Go/No-Go 决策建议书</dc:title>
  <dc:subject>AI场景技术可行性评估与POC决策</dc:subject>
  <dc:creator>python-docx</dc:creator>
  <cp:keywords>无人机, 低空经济, POC, Go/No-Go, 技术可行性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