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40"/>
          <w:szCs w:val="40"/>
        </w:rPr>
        <w:t xml:space="preserve">客户业务/数据/系统现状调研报告</w:t>
      </w:r>
    </w:p>
    <w:p>
      <w:pPr>
        <w:spacing w:after="300"/>
      </w:pPr>
      <w:r>
        <w:rPr>
          <w:i/>
          <w:iCs/>
          <w:color w:val="666666"/>
          <w:sz w:val="22"/>
          <w:szCs w:val="22"/>
        </w:rPr>
        <w:t xml:space="preserve">无人机低空智慧调度平台项目</w:t>
      </w:r>
    </w:p>
    <w:p>
      <w:pPr>
        <w:spacing w:after="60"/>
      </w:pPr>
      <w:r>
        <w:rPr>
          <w:b/>
          <w:bCs/>
        </w:rPr>
        <w:t xml:space="preserve">文档编号：</w:t>
      </w:r>
      <w:r>
        <w:t xml:space="preserve">ECHO-01</w:t>
      </w:r>
    </w:p>
    <w:p>
      <w:pPr>
        <w:spacing w:after="60"/>
      </w:pPr>
      <w:r>
        <w:rPr>
          <w:b/>
          <w:bCs/>
        </w:rPr>
        <w:t xml:space="preserve">整理阶段：</w:t>
      </w:r>
      <w:r>
        <w:t xml:space="preserve">Echo · 业务挖掘与方案规划</w:t>
      </w:r>
    </w:p>
    <w:p>
      <w:pPr>
        <w:spacing w:after="60"/>
      </w:pPr>
      <w:r>
        <w:rPr>
          <w:b/>
          <w:bCs/>
        </w:rPr>
        <w:t xml:space="preserve">资料来源：</w:t>
      </w:r>
      <w:r>
        <w:t xml:space="preserve">客户座谈纪要、现场走访、既有系统资料</w:t>
      </w:r>
    </w:p>
    <w:p>
      <w:pPr>
        <w:spacing w:after="120"/>
      </w:pPr>
    </w:p>
    <w:p>
      <w:pPr>
        <w:pStyle w:val="Heading1"/>
        <w:spacing w:after="150" w:before="300"/>
      </w:pPr>
      <w:r>
        <w:t xml:space="preserve">一、客户背景</w:t>
      </w:r>
    </w:p>
    <w:p>
      <w:pPr>
        <w:spacing w:after="120"/>
      </w:pPr>
      <w:r>
        <w:t xml:space="preserve">「某城市低空经济试点区」（以下简称客户）为响应低空经济发展规划，计划依托城市治理、公共安全、应急管理等场景，建设覆盖全域的无人机低空智慧调度平台。客户已联合公安、交管、水务、消防、城管、生态环境、住建、交警、应急管理等10余家委办局启动前期论证，希望通过AI技术实现“一张图”式的全域低空态势感知与智能调度，并在各委办局之间共享能力。</w:t>
      </w:r>
    </w:p>
    <w:p>
      <w:pPr>
        <w:pStyle w:val="Heading1"/>
        <w:spacing w:after="150" w:before="300"/>
      </w:pPr>
      <w:r>
        <w:t xml:space="preserve">二、现有系统现状</w:t>
      </w:r>
    </w:p>
    <w:p>
      <w:pPr>
        <w:spacing w:after="120"/>
      </w:pPr>
      <w:r>
        <w:t xml:space="preserve">客户目前已建成小规模无人机调度系统，覆盖11个方舱站点、12名飞手、48条常用航线，日常巡检、应急巡查等任务由各委办局自行申请调度，系统已可查询任务派发记录、飞行轨迹、告警日志等数据。</w:t>
      </w:r>
    </w:p>
    <w:p>
      <w:pPr>
        <w:spacing w:after="120"/>
      </w:pPr>
      <w:r>
        <w:t xml:space="preserve">客户表示现有系统“基本能用，但比较分散”，希望新平台能把现有能力“整合并智能化升级”。</w:t>
      </w:r>
    </w:p>
    <w:p>
      <w:pPr>
        <w:pStyle w:val="Heading1"/>
        <w:spacing w:after="150" w:before="300"/>
      </w:pPr>
      <w:r>
        <w:t xml:space="preserve">三、数据现状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现有系统积累了任务、轨迹、告警等历史数据，但不同厂商无人机的遥测数据字段命名不完全一致（例如电量字段，部分机型记为battery，部分机型记为soc），历史数据尚未做统一清洗和口径对齐。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视频与图像数据目前主要保存在各方舱本地存储服务器上，是否已实现统一云端归集、具体保存时长、分辨率及昼夜拍摄条件，客户材料中未作说明。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电子地图与低空网格数据来自第三方地理信息服务商，图层更新频率为季度更新一次；重大活动等场景下的临时空域管制信息，目前依赖人工电话或传真通知飞手，尚未接入系统。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客户提到过去出现过几次无人机画面异常识别不准的情况，但未提供具体的历史图像/视频样本、标注情况及当时的识别准确率数据。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关于是否可对接空域审批、气象预警等外部数据源，客户表示“应该问题不大，回头协调”，暂未提供具体接口人或接口文档。</w:t>
      </w:r>
    </w:p>
    <w:p>
      <w:pPr>
        <w:pStyle w:val="Heading1"/>
        <w:spacing w:after="150" w:before="300"/>
      </w:pPr>
      <w:r>
        <w:t xml:space="preserve">四、系统与技术环境</w:t>
      </w:r>
    </w:p>
    <w:p>
      <w:pPr>
        <w:spacing w:after="120"/>
      </w:pPr>
      <w:r>
        <w:t xml:space="preserve">客户既有系统中留存了任务单、无人机状态、告警事件、区域网格等相关数据表，具体字段结构、数据量、增量频率等细节，客户仅提供了口头介绍，未附数据字典或建表文档。</w:t>
      </w:r>
    </w:p>
    <w:p>
      <w:pPr>
        <w:spacing w:after="120"/>
      </w:pPr>
      <w:r>
        <w:t xml:space="preserve">客户对新平台的技术路线暂无强制要求，仅表示希望尽量用成熟、好维护的技术，并提出希望系统支持“像聊天一样直接问数据”的自然语言交互能力，具体交互范围、数据权限边界，客户表示这块由服务商设计，客户负责提需求。</w:t>
      </w:r>
    </w:p>
    <w:p>
      <w:pPr>
        <w:pStyle w:val="Heading1"/>
        <w:spacing w:after="150" w:before="300"/>
      </w:pPr>
      <w:r>
        <w:t xml:space="preserve">五、安全与合规要求</w:t>
      </w:r>
    </w:p>
    <w:p>
      <w:pPr>
        <w:spacing w:after="120"/>
      </w:pPr>
      <w:r>
        <w:t xml:space="preserve">客户表示“肯定要符合国家保密和数据安全相关规定”，涉及空域、警务等敏感数据的具体分级分类标准、等保定级要求、审批流程，暂未提供正式文件，仅在口头交流中提及以后会补充。</w:t>
      </w:r>
    </w:p>
    <w:p>
      <w:pPr>
        <w:spacing w:after="120"/>
      </w:pPr>
    </w:p>
    <w:p>
      <w:pPr>
        <w:pBdr>
          <w:left w:val="single" w:color="BFBFBF" w:sz="12" w:space="8"/>
        </w:pBdr>
        <w:spacing w:after="200" w:before="100"/>
      </w:pPr>
      <w:r>
        <w:rPr>
          <w:i/>
          <w:iCs/>
          <w:color w:val="808080"/>
          <w:sz w:val="20"/>
          <w:szCs w:val="20"/>
        </w:rPr>
        <w:t xml:space="preserve">【说明】注：本材料所涉客户名称、单位名称、具体数字均为培训虚构案例，不对应任何真实项目、真实企业或真实个人。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2026-07-24T04:18:56.766Z</dcterms:created>
  <dcterms:modified xsi:type="dcterms:W3CDTF">2026-07-24T04:18:56.766Z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