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端到端业务流程与AI赋能高价值场景清单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无人机低空智慧调度平台项目</w:t>
      </w:r>
    </w:p>
    <w:p>
      <w:pPr>
        <w:spacing w:after="60"/>
      </w:pPr>
      <w:r>
        <w:rPr>
          <w:b/>
          <w:bCs/>
        </w:rPr>
        <w:t xml:space="preserve">文档编号：</w:t>
      </w:r>
      <w:r>
        <w:t xml:space="preserve">ECHO-03 / ECHO-04</w:t>
      </w:r>
    </w:p>
    <w:p>
      <w:pPr>
        <w:spacing w:after="60"/>
      </w:pPr>
      <w:r>
        <w:rPr>
          <w:b/>
          <w:bCs/>
        </w:rPr>
        <w:t xml:space="preserve">整理阶段：</w:t>
      </w:r>
      <w:r>
        <w:t xml:space="preserve">Echo · 业务挖掘与方案规划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一、端到端业务流程（文字描述）</w:t>
      </w:r>
    </w:p>
    <w:p>
      <w:pPr>
        <w:spacing w:after="120"/>
      </w:pPr>
      <w:r>
        <w:t xml:space="preserve">客户提供的现有业务流程如下（按执行顺序）：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任务发起：委办局在需要巡检/处置的场景下提出用机需求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任务审批：由指挥中心或部门负责人审批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任务派发：指挥中心电话/系统联系就近方舱与飞手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④ 无人机执行：飞手起飞、按航线或指点飞行执行任务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⑤ 数据回传：飞行轨迹、图像/视频数据回传至方舱本地或指挥中心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⑥ 大屏展示：任务和统计数据展示在指挥中心大屏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⑦ 结案：任务完成后由飞手手动登记结案</w:t>
      </w:r>
    </w:p>
    <w:p>
      <w:pPr>
        <w:spacing w:after="120"/>
      </w:pPr>
      <w:r>
        <w:t xml:space="preserve">客户对该流程的描述止步于大屏展示环节，未说明大屏上呈现的异常/告警信息由谁负责确认、如何转交相关部门处置，也未说明该流程与各委办局现有业务系统（如公安接处警系统、城管工单系统）之间的数据是否互通、由谁负责对接。</w:t>
      </w:r>
    </w:p>
    <w:p>
      <w:pPr>
        <w:pStyle w:val="Heading1"/>
        <w:spacing w:after="150" w:before="300"/>
      </w:pPr>
      <w:r>
        <w:t xml:space="preserve">二、AI赋能高价值场景清单（客户提供，共10项）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场景名称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客户设想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客户标注优先级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低空运行态势总览大屏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做一个能看到所有无人机实时位置、任务、告警的大屏，供指挥中心和各部门使用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无人机任务智能调度推荐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系统自动推荐派哪架无人机去执行任务，比人工调度更快更优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飞行轨迹监控与空域冲突预警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多架无人机同时飞行时，系统自动预警可能的空中冲突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电量续航预测与返航提醒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提前预测无人机飞完全程还剩多少电，不够就提醒返航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禁飞区/电子围栏合规校验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无人机飞近禁飞区自动预警，必要时强制返航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无人机图像识别异常事件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摄像头拍到的画面由AI自动识别交通事故、烟雾火情、人员聚集等各类异常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巡检任务自动生成与工单闭环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AI根据历史规律自动生成下一轮巡检计划并生成工单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应急事件智能派单与联动指挥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突发事件发生后，AI自动联动最近的无人机和处置力量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数据智能查询问答与大屏可视化展示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像聊天一样直接问系统问题，自动查数据、出图表，各部门人员都能用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设备健康与维护预测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AI提前预测无人机哪天该保养、哪个部件可能出故障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客户说明：以上10个场景是本轮低空经济试点建设希望覆盖的全部方向，客户表示都比较重要，具体先做哪个由服务商建议。场景之间的先后依赖关系、是否需要先完成数据治理再开展查询问答类场景等问题，客户材料中未作说明。</w:t>
      </w:r>
    </w:p>
    <w:p>
      <w:pPr>
        <w:spacing w:after="120"/>
      </w:pPr>
    </w:p>
    <w:p>
      <w:pPr>
        <w:pBdr>
          <w:left w:val="single" w:color="BFBFBF" w:sz="12" w:space="8"/>
        </w:pBdr>
        <w:spacing w:after="200" w:before="100"/>
      </w:pPr>
      <w:r>
        <w:rPr>
          <w:i/>
          <w:iCs/>
          <w:color w:val="808080"/>
          <w:sz w:val="20"/>
          <w:szCs w:val="20"/>
        </w:rPr>
        <w:t xml:space="preserve">【说明】注：本材料所涉客户名称、单位名称、具体数字均为培训虚构案例，不对应任何真实项目、真实企业或真实个人。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2026-07-24T04:18:56.786Z</dcterms:created>
  <dcterms:modified xsi:type="dcterms:W3CDTF">2026-07-24T04:18:56.786Z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