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项目季度报告（样例）</w:t>
      </w:r>
    </w:p>
    <w:p>
      <w:r>
        <w:t>本文件为脱敏演示数据，用于契约测试：中文段落、表格与关键令牌必须被完整保留。</w:t>
      </w:r>
    </w:p>
    <w:tbl>
      <w:tr>
        <w:tc>
          <w:p>
            <w:r>
              <w:t>项目</w:t>
            </w:r>
          </w:p>
        </w:tc>
        <w:tc>
          <w:p>
            <w:r>
              <w:t>状态</w:t>
            </w:r>
          </w:p>
        </w:tc>
      </w:tr>
      <w:tr>
        <w:tc>
          <w:p>
            <w:r>
              <w:t>文档转换</w:t>
            </w:r>
          </w:p>
        </w:tc>
        <w:tc>
          <w:p>
            <w:r>
              <w:t>进行中</w:t>
            </w:r>
          </w:p>
        </w:tc>
      </w:tr>
    </w:tbl>
    <w:p>
      <w:r>
        <w:t>关键令牌：DOC2MD-DOCX-OK-2026</w:t>
      </w:r>
    </w:p>
  </w:body>
</w:document>
</file>