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593831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06C8A9B3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1BFD2CC7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04E61686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237E0FAB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0F08EAF6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799F1690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5E31D0DD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en-US"/>
        </w:rPr>
      </w:pPr>
    </w:p>
    <w:p w14:paraId="093254EA">
      <w:pPr>
        <w:spacing w:line="360" w:lineRule="auto"/>
        <w:jc w:val="both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1A42DC93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5B4117A4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  <w:r>
        <w:rPr>
          <w:rFonts w:hint="default" w:ascii="Times New Roman" w:hAnsi="Times New Roman" w:cs="Times New Roman"/>
          <w:sz w:val="36"/>
          <w:szCs w:val="36"/>
          <w:lang w:val="ru-RU"/>
        </w:rPr>
        <w:t>РУКОВОДСВО ОПЕРАТОРА</w:t>
      </w:r>
    </w:p>
    <w:p w14:paraId="6063FAAA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  <w:r>
        <w:rPr>
          <w:rFonts w:hint="default" w:ascii="Times New Roman" w:hAnsi="Times New Roman" w:cs="Times New Roman"/>
          <w:sz w:val="36"/>
          <w:szCs w:val="36"/>
          <w:lang w:val="ru-RU"/>
        </w:rPr>
        <w:t xml:space="preserve">для технического контроля </w:t>
      </w:r>
      <w:r>
        <w:rPr>
          <w:rFonts w:hint="default" w:cs="Times New Roman"/>
          <w:sz w:val="36"/>
          <w:szCs w:val="36"/>
          <w:lang w:val="ru-RU"/>
        </w:rPr>
        <w:t>игл</w:t>
      </w:r>
    </w:p>
    <w:p w14:paraId="5C3A4C69">
      <w:pPr>
        <w:pStyle w:val="2"/>
        <w:bidi w:val="0"/>
        <w:rPr>
          <w:rFonts w:hint="default"/>
          <w:lang w:val="ru-RU"/>
        </w:rPr>
        <w:sectPr>
          <w:footerReference r:id="rId6" w:type="first"/>
          <w:footerReference r:id="rId5" w:type="default"/>
          <w:pgSz w:w="11906" w:h="16838"/>
          <w:pgMar w:top="1134" w:right="567" w:bottom="1134" w:left="567" w:header="720" w:footer="720" w:gutter="0"/>
          <w:cols w:space="720" w:num="1"/>
          <w:titlePg/>
          <w:docGrid w:linePitch="360" w:charSpace="0"/>
        </w:sectPr>
      </w:pPr>
    </w:p>
    <w:p w14:paraId="31AD7467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Установка программного обеспечения</w:t>
      </w:r>
    </w:p>
    <w:p w14:paraId="1F574CB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4742180</wp:posOffset>
            </wp:positionH>
            <wp:positionV relativeFrom="paragraph">
              <wp:posOffset>10160</wp:posOffset>
            </wp:positionV>
            <wp:extent cx="2083435" cy="2083435"/>
            <wp:effectExtent l="0" t="0" r="4445" b="4445"/>
            <wp:wrapSquare wrapText="bothSides"/>
            <wp:docPr id="3" name="Изображение 3" descr="C:/Users/ledibonibell/Documents/AperolSpritz/docs/qr-code.pngqr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C:/Users/ledibonibell/Documents/AperolSpritz/docs/qr-code.pngqr-code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lang w:val="ru-RU"/>
        </w:rPr>
        <w:t xml:space="preserve">Сначала необходимо установить приложение для технического контроля. Переходим по ссылке реопзитория </w:t>
      </w:r>
      <w:r>
        <w:rPr>
          <w:rFonts w:hint="default"/>
          <w:u w:val="single"/>
          <w:lang w:val="ru-RU"/>
        </w:rPr>
        <w:fldChar w:fldCharType="begin"/>
      </w:r>
      <w:r>
        <w:instrText xml:space="preserve"> HYPERLINK "https://github.com/sakurelle/AperolSpritz" </w:instrText>
      </w:r>
      <w:r>
        <w:rPr>
          <w:rFonts w:hint="default"/>
          <w:u w:val="single"/>
          <w:lang w:val="ru-RU"/>
        </w:rPr>
        <w:fldChar w:fldCharType="separate"/>
      </w:r>
      <w:r>
        <w:rPr>
          <w:rStyle w:val="5"/>
          <w:rFonts w:hint="default"/>
          <w:color w:val="auto"/>
          <w:lang w:val="ru-RU"/>
        </w:rPr>
        <w:t>https://github.com/sakurelle/</w:t>
      </w:r>
      <w:r>
        <w:rPr>
          <w:rStyle w:val="5"/>
          <w:rFonts w:hint="default"/>
          <w:color w:val="auto"/>
          <w:lang w:val="en-US"/>
        </w:rPr>
        <w:t>AperolSpritz</w:t>
      </w:r>
      <w:r>
        <w:rPr>
          <w:rFonts w:hint="default"/>
          <w:u w:val="single"/>
          <w:lang w:val="ru-RU"/>
        </w:rPr>
        <w:fldChar w:fldCharType="end"/>
      </w:r>
      <w:r>
        <w:rPr>
          <w:rFonts w:hint="default"/>
          <w:lang w:val="ru-RU"/>
        </w:rPr>
        <w:t>:</w:t>
      </w:r>
    </w:p>
    <w:p w14:paraId="5E6152D1">
      <w:pPr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Находим последний релиз (</w:t>
      </w:r>
      <w:r>
        <w:rPr>
          <w:rFonts w:hint="default"/>
          <w:lang w:val="en-US"/>
        </w:rPr>
        <w:t>Release</w:t>
      </w:r>
      <w:r>
        <w:rPr>
          <w:rFonts w:hint="default"/>
          <w:lang w:val="ru-RU"/>
        </w:rPr>
        <w:t xml:space="preserve">) из репозитория 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>рис. 1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. На 26.10.2026 это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>v1.</w:t>
      </w:r>
      <w:r>
        <w:rPr>
          <w:rFonts w:hint="default" w:cs="Times New Roman"/>
          <w:b w:val="0"/>
          <w:bCs w:val="0"/>
          <w:sz w:val="28"/>
          <w:szCs w:val="28"/>
          <w:highlight w:val="none"/>
          <w:lang w:val="ru-RU"/>
        </w:rPr>
        <w:t>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  <w:r>
        <w:rPr>
          <w:rFonts w:hint="default" w:cs="Times New Roman"/>
          <w:b w:val="0"/>
          <w:bCs w:val="0"/>
          <w:sz w:val="28"/>
          <w:szCs w:val="28"/>
          <w:highlight w:val="none"/>
          <w:lang w:val="ru-RU"/>
        </w:rPr>
        <w:t>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0BCF5396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скачиваем именно </w:t>
      </w:r>
      <w:r>
        <w:rPr>
          <w:rFonts w:hint="default"/>
          <w:lang w:val="en-US"/>
        </w:rPr>
        <w:t>AperolSpitz-Windowsx64.zip</w:t>
      </w:r>
      <w:r>
        <w:rPr>
          <w:rFonts w:hint="default"/>
          <w:lang w:val="ru-RU"/>
        </w:rPr>
        <w:t>, как на рисунке 2</w:t>
      </w:r>
      <w:r>
        <w:rPr>
          <w:rFonts w:hint="default"/>
          <w:lang w:val="en-US"/>
        </w:rPr>
        <w:t>.</w:t>
      </w:r>
    </w:p>
    <w:p w14:paraId="13EC40DE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6828790" cy="3042285"/>
            <wp:effectExtent l="0" t="0" r="13970" b="5715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28790" cy="304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50A6E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Рисунок 1 - Главная страница репозитория.</w:t>
      </w:r>
    </w:p>
    <w:p w14:paraId="6BECAE67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4803775" cy="2800985"/>
            <wp:effectExtent l="0" t="0" r="12065" b="3175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3775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60E98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Рис. 2 - </w:t>
      </w:r>
      <w:r>
        <w:rPr>
          <w:rFonts w:hint="default"/>
          <w:lang w:val="en-US"/>
        </w:rPr>
        <w:t>AperolSpitz-Windowsx64</w:t>
      </w:r>
    </w:p>
    <w:p w14:paraId="3B05937B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Извлекаем полученный архив (</w:t>
      </w:r>
      <w:r>
        <w:rPr>
          <w:rFonts w:hint="default"/>
          <w:lang w:val="en-US"/>
        </w:rPr>
        <w:t>.zip</w:t>
      </w:r>
      <w:r>
        <w:rPr>
          <w:rFonts w:hint="default"/>
          <w:lang w:val="ru-RU"/>
        </w:rPr>
        <w:t xml:space="preserve">), опционально читаем содержимое </w:t>
      </w:r>
      <w:r>
        <w:rPr>
          <w:rFonts w:hint="default"/>
          <w:lang w:val="en-US"/>
        </w:rPr>
        <w:t>README.md</w:t>
      </w:r>
      <w:r>
        <w:rPr>
          <w:rFonts w:hint="default"/>
          <w:lang w:val="ru-RU"/>
        </w:rPr>
        <w:t>, и приложение готово к работе. На рисунке 3 представлен пример разархивированной папки.</w:t>
      </w:r>
    </w:p>
    <w:p w14:paraId="5D8A4832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6835775" cy="917575"/>
            <wp:effectExtent l="0" t="0" r="6985" b="12065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35775" cy="91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6C56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3 - Пример разархивированной папки.</w:t>
      </w:r>
    </w:p>
    <w:p w14:paraId="2930C693">
      <w:p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226B19EB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Настройка оборудования</w:t>
      </w:r>
    </w:p>
    <w:p w14:paraId="1FD35E9A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Запускаем </w:t>
      </w:r>
      <w:r>
        <w:rPr>
          <w:rFonts w:hint="default"/>
          <w:lang w:val="en-US"/>
        </w:rPr>
        <w:t>AperolSpritz.exe</w:t>
      </w:r>
      <w:r>
        <w:rPr>
          <w:rFonts w:hint="default"/>
          <w:lang w:val="ru-RU"/>
        </w:rPr>
        <w:t>. Возможно уведомление об угрозе (рис. 4), игнорируем его и выполняем в любом случае (все должно быть основано на доверии).</w:t>
      </w:r>
    </w:p>
    <w:p w14:paraId="05D9CB2F">
      <w:pPr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3975735" cy="3780790"/>
            <wp:effectExtent l="0" t="0" r="1905" b="13970"/>
            <wp:docPr id="2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5735" cy="378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6D5C2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4 - Предупреждение угрозы.</w:t>
      </w:r>
    </w:p>
    <w:p w14:paraId="1FD65EF1">
      <w:pPr>
        <w:bidi w:val="0"/>
      </w:pPr>
      <w:r>
        <w:rPr>
          <w:rFonts w:hint="default"/>
          <w:lang w:val="ru-RU"/>
        </w:rPr>
        <w:t>Знакомимся с интерфейсом и выполняем ряд настроек, в том числе ознакомительных. Справа сверху есть возможность добавить новое устройство (рис. 5). Это необходимо в двух случаях: первичная настройка и добавление дополнительных устройств -, в любом случае, нажимаем.</w:t>
      </w:r>
    </w:p>
    <w:p w14:paraId="68186BA6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3162300" cy="1257300"/>
            <wp:effectExtent l="0" t="0" r="7620" b="7620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9129C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5 - Добавление нового устройства.</w:t>
      </w:r>
    </w:p>
    <w:p w14:paraId="0FEFF9BF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чего появится небольшое окно, где сначала будет необходимо ввести </w:t>
      </w:r>
      <w:r>
        <w:rPr>
          <w:rFonts w:hint="default"/>
          <w:b/>
          <w:bCs/>
          <w:lang w:val="ru-RU"/>
        </w:rPr>
        <w:t xml:space="preserve">понятное </w:t>
      </w:r>
      <w:r>
        <w:rPr>
          <w:rFonts w:hint="default"/>
          <w:lang w:val="ru-RU"/>
        </w:rPr>
        <w:t xml:space="preserve">имя устройства, а затем и его </w:t>
      </w:r>
      <w:r>
        <w:rPr>
          <w:rFonts w:hint="default"/>
          <w:lang w:val="en-US"/>
        </w:rPr>
        <w:t>IP</w:t>
      </w:r>
      <w:r>
        <w:rPr>
          <w:rFonts w:hint="default"/>
          <w:lang w:val="ru-RU"/>
        </w:rPr>
        <w:t>-адрес (рис. 6) (он указан на двигателе устройства, у каждого устройства он уникальный внутри локальной сети).</w:t>
      </w:r>
    </w:p>
    <w:p w14:paraId="762DE22A">
      <w:pPr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1861185" cy="1190625"/>
            <wp:effectExtent l="0" t="0" r="13335" b="13335"/>
            <wp:docPr id="2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7"/>
                    <pic:cNvPicPr>
                      <a:picLocks noChangeAspect="1"/>
                    </pic:cNvPicPr>
                  </pic:nvPicPr>
                  <pic:blipFill>
                    <a:blip r:embed="rId16"/>
                    <a:srcRect l="1954" t="1081" r="2155" b="2793"/>
                    <a:stretch>
                      <a:fillRect/>
                    </a:stretch>
                  </pic:blipFill>
                  <pic:spPr>
                    <a:xfrm>
                      <a:off x="0" y="0"/>
                      <a:ext cx="186118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 </w:t>
      </w:r>
      <w:r>
        <w:drawing>
          <wp:inline distT="0" distB="0" distL="114300" distR="114300">
            <wp:extent cx="1866265" cy="1191895"/>
            <wp:effectExtent l="0" t="0" r="8255" b="12065"/>
            <wp:docPr id="24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66265" cy="119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47EFE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6 - Параметры нового устройства.</w:t>
      </w:r>
    </w:p>
    <w:p w14:paraId="7BA746AA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После добавления, уже справа увидим примерно следующую картину, соответствующую вашим добавленным данным, как на рисунке 7.</w:t>
      </w:r>
    </w:p>
    <w:p w14:paraId="4DD6B5E7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3209290" cy="1922145"/>
            <wp:effectExtent l="0" t="0" r="6350" b="13335"/>
            <wp:docPr id="25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9290" cy="192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8977E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7 - Новое устройство.</w:t>
      </w:r>
    </w:p>
    <w:p w14:paraId="6E260F2B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 дальнейшем эти данные можно изменить, но обязательно после чего нажать кнопку Сохранить (рис. 5). А также удалить текущее устройство, соответствующей кнопкой Удалить (рис. 5).</w:t>
      </w:r>
    </w:p>
    <w:p w14:paraId="77A86BE7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Поле устройство представляет собой раскрывающийся список, нажатием на который можно переключаться между устройствами (рис. 8).</w:t>
      </w:r>
    </w:p>
    <w:p w14:paraId="11C082F2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3164840" cy="1885950"/>
            <wp:effectExtent l="0" t="0" r="5080" b="3810"/>
            <wp:docPr id="26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484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4D77B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8 - Доступные устройства.</w:t>
      </w:r>
    </w:p>
    <w:p w14:paraId="04A136BB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Итак, выбранному (а при первоначальной настройке, добавленному) устройству будет произведено автоматическое подключение. После чего можно переходить к работе с устройством.</w:t>
      </w:r>
    </w:p>
    <w:p w14:paraId="453D417E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Ниже имеем 4 вкладки (рис. 9). </w:t>
      </w:r>
    </w:p>
    <w:p w14:paraId="47D5FBBC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3048000" cy="1000125"/>
            <wp:effectExtent l="0" t="0" r="0" b="5715"/>
            <wp:docPr id="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7B2D5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9 - Рабочие вкладки.</w:t>
      </w:r>
    </w:p>
    <w:p w14:paraId="3E9EF57B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Работа нужна для выполнения основных операций по контролю игл (рис. 10). Поле Последнее измерение соответственно показывает результаты последнего измерения, а также, основываясь на допусках, подходит ли данная игла. </w:t>
      </w:r>
    </w:p>
    <w:p w14:paraId="4C7F2A4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Поле Управление необходимо для изменения режима работы устройства, а также отправки некоторых команд. Для версии </w:t>
      </w:r>
      <w:r>
        <w:rPr>
          <w:rFonts w:hint="default"/>
          <w:lang w:val="en-US"/>
        </w:rPr>
        <w:t xml:space="preserve">v1.1.0 </w:t>
      </w:r>
      <w:r>
        <w:rPr>
          <w:rFonts w:hint="default"/>
          <w:lang w:val="ru-RU"/>
        </w:rPr>
        <w:t>это:</w:t>
      </w:r>
    </w:p>
    <w:p w14:paraId="0C549853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- Измерить - при наличии иглы в установке и выполненной калибровке, измеряет ее длину.</w:t>
      </w:r>
    </w:p>
    <w:p w14:paraId="32533758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- Калибровать - запускает ручную калибровку устройства. Ее можно выполнять как при помощи специального калибра на 200мм, так и с помощью ложа для иглы. Для этого необходимо в настройках указать верную длину калибра, либо ложа соответственно.</w:t>
      </w:r>
    </w:p>
    <w:p w14:paraId="3E623FD7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- Включить авто - переход устройства в автоматический режим. В таком случае, при установки иглы в устройство, она будет измеряться автоматически и ждать пока поставять следующую иглу.</w:t>
      </w:r>
    </w:p>
    <w:p w14:paraId="399C0BE3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Аварийное управление нужно для сброса ошибок и перевода устройства в аварийный режим.</w:t>
      </w:r>
    </w:p>
    <w:p w14:paraId="79421EC9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Состояние системы показывает, как ни странно, текущее состояние системы.</w:t>
      </w:r>
    </w:p>
    <w:p w14:paraId="671B74D7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Вкладка Настройки позволяет установить одноимённые настройки устройства.</w:t>
      </w:r>
    </w:p>
    <w:p w14:paraId="4A9B6167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Вкладка сервис необходима для калибровки устройства в случае высокого отклонения измерения от эталонного значения (например измерения штангенциркулем). Необходимо задать сдвиг устройства (отрицательное значение влево, положительное - вправо), измерить действительное перемещение и указать его в строке ниже (рис. 11). После чего программа сама посчитает все необходимые коэффициенты и применит их.</w:t>
      </w:r>
    </w:p>
    <w:p w14:paraId="50134496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6833870" cy="2934970"/>
            <wp:effectExtent l="0" t="0" r="8890" b="6350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33870" cy="293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E6E9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10 - Вкладка Работа.</w:t>
      </w:r>
    </w:p>
    <w:p w14:paraId="4E948970">
      <w:pPr>
        <w:bidi w:val="0"/>
        <w:ind w:left="0" w:leftChars="0" w:firstLine="0" w:firstLineChars="0"/>
        <w:jc w:val="center"/>
        <w:rPr>
          <w:rFonts w:hint="default"/>
          <w:b/>
          <w:bCs/>
          <w:lang w:val="ru-RU"/>
        </w:rPr>
      </w:pPr>
      <w:r>
        <w:drawing>
          <wp:inline distT="0" distB="0" distL="114300" distR="114300">
            <wp:extent cx="6823075" cy="2508885"/>
            <wp:effectExtent l="0" t="0" r="4445" b="5715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23075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3C7E2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11 - Вкладка Сервис.</w:t>
      </w:r>
    </w:p>
    <w:p w14:paraId="38DC31EA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Вкладка История содержит в себе историю всех измерений. Позволяет экспортироват данные в </w:t>
      </w:r>
      <w:r>
        <w:rPr>
          <w:rFonts w:hint="default"/>
          <w:lang w:val="en-US"/>
        </w:rPr>
        <w:t xml:space="preserve">Excel </w:t>
      </w:r>
      <w:r>
        <w:rPr>
          <w:rFonts w:hint="default"/>
          <w:lang w:val="ru-RU"/>
        </w:rPr>
        <w:t>и</w:t>
      </w:r>
      <w:r>
        <w:rPr>
          <w:rFonts w:hint="default"/>
          <w:lang w:val="en-US"/>
        </w:rPr>
        <w:t>/</w:t>
      </w:r>
      <w:r>
        <w:rPr>
          <w:rFonts w:hint="default"/>
          <w:lang w:val="ru-RU"/>
        </w:rPr>
        <w:t xml:space="preserve">или </w:t>
      </w:r>
      <w:r>
        <w:rPr>
          <w:rFonts w:hint="default"/>
          <w:lang w:val="en-US"/>
        </w:rPr>
        <w:t>CSV</w:t>
      </w:r>
      <w:r>
        <w:rPr>
          <w:rFonts w:hint="default"/>
          <w:lang w:val="ru-RU"/>
        </w:rPr>
        <w:t xml:space="preserve"> одноименными кнопками для дальнейшей обработки данных.</w:t>
      </w:r>
      <w:bookmarkStart w:id="0" w:name="_GoBack"/>
      <w:bookmarkEnd w:id="0"/>
    </w:p>
    <w:p w14:paraId="2F1AE32A">
      <w:pPr>
        <w:bidi w:val="0"/>
        <w:rPr>
          <w:rFonts w:hint="default"/>
          <w:lang w:val="ru-RU"/>
        </w:rPr>
      </w:pPr>
    </w:p>
    <w:p w14:paraId="1DA6D9DD">
      <w:pPr>
        <w:bidi w:val="0"/>
        <w:ind w:left="0" w:leftChars="0" w:firstLine="0" w:firstLineChars="0"/>
        <w:jc w:val="both"/>
        <w:rPr>
          <w:rFonts w:hint="default"/>
          <w:lang w:val="ru-RU"/>
        </w:rPr>
      </w:pPr>
    </w:p>
    <w:p w14:paraId="525D8C14">
      <w:pPr>
        <w:bidi w:val="0"/>
        <w:rPr>
          <w:rFonts w:hint="default"/>
          <w:lang w:val="ru-RU"/>
        </w:rPr>
      </w:pPr>
    </w:p>
    <w:p w14:paraId="72FBD347">
      <w:pPr>
        <w:bidi w:val="0"/>
        <w:rPr>
          <w:rFonts w:hint="default"/>
          <w:lang w:val="ru-RU"/>
        </w:rPr>
      </w:pPr>
    </w:p>
    <w:p w14:paraId="0E529933">
      <w:pPr>
        <w:bidi w:val="0"/>
        <w:rPr>
          <w:rFonts w:hint="default"/>
          <w:lang w:val="ru-RU"/>
        </w:rPr>
      </w:pPr>
    </w:p>
    <w:p w14:paraId="1516E563">
      <w:pPr>
        <w:ind w:left="0" w:leftChars="0" w:firstLine="0" w:firstLineChars="0"/>
        <w:jc w:val="center"/>
        <w:rPr>
          <w:rFonts w:hint="default"/>
          <w:lang w:val="ru-RU"/>
        </w:rPr>
      </w:pPr>
    </w:p>
    <w:p w14:paraId="1163F39A">
      <w:pPr>
        <w:rPr>
          <w:rFonts w:hint="default"/>
          <w:lang w:val="ru-RU"/>
        </w:rPr>
      </w:pPr>
    </w:p>
    <w:sectPr>
      <w:footerReference r:id="rId8" w:type="first"/>
      <w:footerReference r:id="rId7" w:type="default"/>
      <w:pgSz w:w="11906" w:h="16838"/>
      <w:pgMar w:top="1134" w:right="567" w:bottom="1134" w:left="567" w:header="567" w:footer="567" w:gutter="0"/>
      <w:pgNumType w:fmt="decimal" w:start="2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15F8A2">
    <w:pPr>
      <w:pStyle w:val="8"/>
      <w:jc w:val="center"/>
      <w:rPr>
        <w:rFonts w:hint="default" w:ascii="Times New Roman" w:hAnsi="Times New Roman" w:cs="Times New Roman"/>
        <w:sz w:val="28"/>
        <w:szCs w:val="28"/>
        <w:lang w:val="ru-RU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2A85BC">
    <w:pPr>
      <w:pStyle w:val="8"/>
      <w:jc w:val="center"/>
      <w:rPr>
        <w:rFonts w:hint="default" w:ascii="Times New Roman" w:hAnsi="Times New Roman" w:cs="Times New Roman"/>
        <w:sz w:val="28"/>
        <w:szCs w:val="28"/>
        <w:lang w:val="ru-RU"/>
      </w:rPr>
    </w:pPr>
    <w:r>
      <w:rPr>
        <w:rFonts w:hint="default" w:ascii="Times New Roman" w:hAnsi="Times New Roman" w:cs="Times New Roman"/>
        <w:sz w:val="28"/>
        <w:szCs w:val="28"/>
        <w:lang w:val="ru-RU"/>
      </w:rPr>
      <w:t>Москва, 2026 г.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CEF513">
    <w:pPr>
      <w:pStyle w:val="8"/>
      <w:jc w:val="center"/>
      <w:rPr>
        <w:rFonts w:hint="default" w:ascii="Times New Roman" w:hAnsi="Times New Roman" w:cs="Times New Roman"/>
        <w:sz w:val="28"/>
        <w:szCs w:val="28"/>
        <w:lang w:val="ru-RU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C7E2A1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9C7E2A1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27355B">
    <w:pPr>
      <w:pStyle w:val="8"/>
      <w:jc w:val="center"/>
      <w:rPr>
        <w:rFonts w:hint="default" w:ascii="Times New Roman" w:hAnsi="Times New Roman" w:cs="Times New Roman"/>
        <w:sz w:val="28"/>
        <w:szCs w:val="28"/>
        <w:lang w:val="ru-RU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249555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2495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62558DD">
                          <w:pPr>
                            <w:pStyle w:val="8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9.65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ja1IINQAAAAEAQAADwAAAAAAAAABACAAAAAi&#10;AAAAZHJzL2Rvd25yZXYueG1sUEsBAhQAFAAAAAgAh07iQGKUmOpHAgAAcgQAAA4AAAAAAAAAAQAg&#10;AAAAIwEAAGRycy9lMm9Eb2MueG1sUEsFBgAAAAAGAAYAWQEAANw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62558DD">
                    <w:pPr>
                      <w:pStyle w:val="8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DA450E"/>
    <w:rsid w:val="0204567E"/>
    <w:rsid w:val="060A2F13"/>
    <w:rsid w:val="1C74412F"/>
    <w:rsid w:val="1D5A0198"/>
    <w:rsid w:val="24DA450E"/>
    <w:rsid w:val="32D60378"/>
    <w:rsid w:val="450A7722"/>
    <w:rsid w:val="626D1F3D"/>
    <w:rsid w:val="62EA35D0"/>
    <w:rsid w:val="744C2A5A"/>
    <w:rsid w:val="7B122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00" w:after="200" w:line="360" w:lineRule="auto"/>
      <w:ind w:firstLine="0"/>
      <w:jc w:val="center"/>
      <w:outlineLvl w:val="0"/>
    </w:pPr>
    <w:rPr>
      <w:rFonts w:cs="Arial"/>
      <w:b/>
      <w:bCs/>
      <w:caps/>
      <w:kern w:val="32"/>
      <w:szCs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3"/>
    <w:uiPriority w:val="0"/>
    <w:rPr>
      <w:color w:val="800080"/>
      <w:u w:val="single"/>
    </w:rPr>
  </w:style>
  <w:style w:type="character" w:styleId="6">
    <w:name w:val="Hyperlink"/>
    <w:basedOn w:val="3"/>
    <w:qFormat/>
    <w:uiPriority w:val="0"/>
    <w:rPr>
      <w:color w:val="0000FF"/>
      <w:u w:val="single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636</Words>
  <Characters>4108</Characters>
  <Lines>0</Lines>
  <Paragraphs>0</Paragraphs>
  <TotalTime>43</TotalTime>
  <ScaleCrop>false</ScaleCrop>
  <LinksUpToDate>false</LinksUpToDate>
  <CharactersWithSpaces>4707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2026-10-22T11:00:00Z</dcterms:created>
  <dc:creator>Егор Девяткин</dc:creator>
  <cp:lastModifiedBy>Егор Девяткин</cp:lastModifiedBy>
  <dcterms:modified xsi:type="dcterms:W3CDTF">2026-10-29T10:01:18Z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1049-12.1.0.29162</vt:lpwstr>
  </property>
  <property fmtid="{D5CDD505-2E9C-101B-9397-08002B2CF9AE}" pid="3" name="ICV">
    <vt:lpwstr>A0ED4F8541214601A1E078A9553C11BE_13</vt:lpwstr>
  </property>
  <property fmtid="{D5CDD505-2E9C-101B-9397-08002B2CF9AE}" pid="4" name="KSOTemplateDocerSaveRecord">
    <vt:lpwstr>eyJoZGlkIjoiMzEyYzI0OTNhMDlkNjg4M2ExNDYxMTUyZjI5Mzk4ZjEiLCJ1c2VySWQiOiI4NDIxMDg0ODU0NjYifQ==</vt:lpwstr>
  </property>
</Properties>
</file>